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509" w:rsidRDefault="008D7509">
      <w:pPr>
        <w:tabs>
          <w:tab w:val="clear" w:pos="4320"/>
          <w:tab w:val="clear" w:pos="9072"/>
        </w:tabs>
        <w:snapToGrid/>
        <w:spacing w:line="360" w:lineRule="auto"/>
        <w:jc w:val="right"/>
      </w:pPr>
      <w:r>
        <w:rPr>
          <w:rFonts w:hint="eastAsia"/>
        </w:rPr>
        <w:t>DC</w:t>
      </w:r>
      <w:r>
        <w:t>PI 1542</w:t>
      </w:r>
      <w:r>
        <w:rPr>
          <w:rFonts w:hint="eastAsia"/>
        </w:rPr>
        <w:t>/200</w:t>
      </w:r>
      <w:r>
        <w:t>6</w:t>
      </w:r>
    </w:p>
    <w:p w:rsidR="008D7509" w:rsidRDefault="008D7509">
      <w:pPr>
        <w:pStyle w:val="normal3"/>
        <w:tabs>
          <w:tab w:val="clear" w:pos="4320"/>
          <w:tab w:val="clear" w:pos="4500"/>
          <w:tab w:val="clear" w:pos="9000"/>
          <w:tab w:val="clear" w:pos="9072"/>
        </w:tabs>
        <w:overflowPunct/>
        <w:autoSpaceDE/>
        <w:autoSpaceDN/>
        <w:snapToGrid/>
        <w:rPr>
          <w:rFonts w:eastAsia="SimSun"/>
          <w:lang w:val="en-US"/>
        </w:rPr>
      </w:pPr>
    </w:p>
    <w:p w:rsidR="008D7509" w:rsidRDefault="008D7509">
      <w:pPr>
        <w:tabs>
          <w:tab w:val="clear" w:pos="4320"/>
          <w:tab w:val="clear" w:pos="9072"/>
        </w:tabs>
        <w:snapToGrid/>
        <w:spacing w:line="360" w:lineRule="auto"/>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8D7509" w:rsidRDefault="008D7509">
      <w:pPr>
        <w:tabs>
          <w:tab w:val="clear" w:pos="4320"/>
          <w:tab w:val="clear" w:pos="9072"/>
        </w:tabs>
        <w:snapToGrid/>
        <w:spacing w:line="360" w:lineRule="auto"/>
        <w:jc w:val="center"/>
        <w:rPr>
          <w:rFonts w:hint="eastAsia"/>
        </w:rPr>
      </w:pPr>
      <w:r>
        <w:rPr>
          <w:rFonts w:hint="eastAsia"/>
        </w:rPr>
        <w:t>IN THE DISTRICT COURT OF THE</w:t>
      </w:r>
    </w:p>
    <w:p w:rsidR="008D7509" w:rsidRDefault="008D7509">
      <w:pPr>
        <w:tabs>
          <w:tab w:val="clear" w:pos="4320"/>
          <w:tab w:val="clear" w:pos="9072"/>
        </w:tabs>
        <w:snapToGrid/>
        <w:spacing w:line="360" w:lineRule="auto"/>
        <w:jc w:val="center"/>
        <w:rPr>
          <w:rFonts w:hint="eastAsia"/>
        </w:rPr>
      </w:pPr>
      <w:r>
        <w:rPr>
          <w:rFonts w:hint="eastAsia"/>
        </w:rPr>
        <w:t>HONG KONG SPECIAL ADMINISTRATIVE REGION</w:t>
      </w:r>
    </w:p>
    <w:p w:rsidR="008D7509" w:rsidRDefault="008D7509">
      <w:pPr>
        <w:tabs>
          <w:tab w:val="clear" w:pos="4320"/>
          <w:tab w:val="clear" w:pos="9072"/>
        </w:tabs>
        <w:snapToGrid/>
        <w:spacing w:line="360" w:lineRule="auto"/>
        <w:jc w:val="center"/>
      </w:pPr>
      <w:r>
        <w:rPr>
          <w:rFonts w:hint="eastAsia"/>
          <w:sz w:val="26"/>
        </w:rPr>
        <w:t xml:space="preserve">PERSONAL INJURIES </w:t>
      </w:r>
      <w:r>
        <w:t>ACTION NO. 1542 OF 2006</w:t>
      </w:r>
    </w:p>
    <w:p w:rsidR="008D7509" w:rsidRDefault="008D7509">
      <w:pPr>
        <w:pStyle w:val="normal2"/>
        <w:tabs>
          <w:tab w:val="clear" w:pos="1411"/>
          <w:tab w:val="clear" w:pos="4320"/>
          <w:tab w:val="clear" w:pos="9072"/>
        </w:tabs>
        <w:overflowPunct/>
        <w:autoSpaceDE/>
        <w:autoSpaceDN/>
        <w:snapToGrid/>
        <w:rPr>
          <w:rFonts w:eastAsia="SimSun" w:hint="eastAsia"/>
          <w:lang w:val="en-US"/>
        </w:rPr>
      </w:pPr>
      <w:r>
        <w:rPr>
          <w:rFonts w:eastAsia="SimSun" w:hint="eastAsia"/>
          <w:lang w:val="en-US"/>
        </w:rPr>
        <w:t>---------------------</w:t>
      </w:r>
    </w:p>
    <w:p w:rsidR="008D7509" w:rsidRDefault="008D7509">
      <w:pPr>
        <w:pStyle w:val="normal3"/>
        <w:tabs>
          <w:tab w:val="clear" w:pos="4320"/>
          <w:tab w:val="clear" w:pos="4500"/>
          <w:tab w:val="clear" w:pos="9000"/>
          <w:tab w:val="clear" w:pos="9072"/>
        </w:tabs>
        <w:overflowPunct/>
        <w:autoSpaceDE/>
        <w:autoSpaceDN/>
        <w:snapToGrid/>
        <w:rPr>
          <w:rFonts w:eastAsia="SimSun"/>
          <w:bCs/>
          <w:lang w:val="en-US"/>
        </w:rPr>
      </w:pPr>
      <w:r>
        <w:rPr>
          <w:rFonts w:eastAsia="SimSun" w:hint="eastAsia"/>
          <w:lang w:val="en-US"/>
        </w:rPr>
        <w:t>BETWEEN</w:t>
      </w:r>
    </w:p>
    <w:p w:rsidR="008D7509" w:rsidRDefault="008D7509">
      <w:pPr>
        <w:tabs>
          <w:tab w:val="clear" w:pos="1440"/>
          <w:tab w:val="clear" w:pos="4320"/>
          <w:tab w:val="clear" w:pos="9072"/>
          <w:tab w:val="left" w:pos="1260"/>
          <w:tab w:val="left" w:pos="7140"/>
        </w:tabs>
        <w:snapToGrid/>
      </w:pPr>
      <w:r>
        <w:tab/>
        <w:t>JOSHUA ONG, a minor by Tung Sau Mei</w:t>
      </w:r>
      <w:r>
        <w:tab/>
        <w:t>Pl</w:t>
      </w:r>
      <w:r>
        <w:rPr>
          <w:bCs/>
        </w:rPr>
        <w:t>aintiff</w:t>
      </w:r>
    </w:p>
    <w:p w:rsidR="008D7509" w:rsidRDefault="008D7509">
      <w:pPr>
        <w:pStyle w:val="normal3"/>
        <w:tabs>
          <w:tab w:val="clear" w:pos="1440"/>
          <w:tab w:val="clear" w:pos="4320"/>
          <w:tab w:val="clear" w:pos="4500"/>
          <w:tab w:val="clear" w:pos="9000"/>
          <w:tab w:val="clear" w:pos="9072"/>
          <w:tab w:val="left" w:pos="1260"/>
          <w:tab w:val="left" w:pos="7140"/>
        </w:tabs>
        <w:overflowPunct/>
        <w:autoSpaceDE/>
        <w:autoSpaceDN/>
        <w:snapToGrid/>
        <w:spacing w:line="240" w:lineRule="auto"/>
        <w:rPr>
          <w:rFonts w:eastAsia="SimSun"/>
          <w:lang w:val="en-US"/>
        </w:rPr>
      </w:pPr>
      <w:r>
        <w:rPr>
          <w:rFonts w:eastAsia="SimSun"/>
          <w:lang w:val="en-US"/>
        </w:rPr>
        <w:tab/>
        <w:t>His next friend and mother</w:t>
      </w:r>
    </w:p>
    <w:p w:rsidR="008D7509" w:rsidRDefault="008D7509">
      <w:pPr>
        <w:tabs>
          <w:tab w:val="clear" w:pos="1440"/>
          <w:tab w:val="clear" w:pos="4320"/>
          <w:tab w:val="clear" w:pos="9072"/>
          <w:tab w:val="left" w:pos="1260"/>
          <w:tab w:val="left" w:pos="7140"/>
        </w:tabs>
        <w:snapToGrid/>
      </w:pPr>
    </w:p>
    <w:p w:rsidR="008D7509" w:rsidRDefault="008D7509">
      <w:pPr>
        <w:pStyle w:val="normal2"/>
        <w:tabs>
          <w:tab w:val="clear" w:pos="1411"/>
          <w:tab w:val="clear" w:pos="1440"/>
          <w:tab w:val="clear" w:pos="4320"/>
          <w:tab w:val="clear" w:pos="9072"/>
          <w:tab w:val="left" w:pos="1260"/>
          <w:tab w:val="left" w:pos="7140"/>
        </w:tabs>
        <w:overflowPunct/>
        <w:autoSpaceDE/>
        <w:autoSpaceDN/>
        <w:snapToGrid/>
        <w:spacing w:line="240" w:lineRule="auto"/>
        <w:rPr>
          <w:rFonts w:eastAsia="SimSun" w:hint="eastAsia"/>
          <w:caps w:val="0"/>
          <w:lang w:val="en-US"/>
        </w:rPr>
      </w:pPr>
      <w:r>
        <w:rPr>
          <w:rFonts w:eastAsia="SimSun"/>
          <w:caps w:val="0"/>
          <w:lang w:val="en-US"/>
        </w:rPr>
        <w:t>a</w:t>
      </w:r>
      <w:r>
        <w:rPr>
          <w:rFonts w:eastAsia="SimSun" w:hint="eastAsia"/>
          <w:caps w:val="0"/>
          <w:lang w:val="en-US"/>
        </w:rPr>
        <w:t>nd</w:t>
      </w:r>
    </w:p>
    <w:p w:rsidR="008D7509" w:rsidRDefault="008D7509">
      <w:pPr>
        <w:tabs>
          <w:tab w:val="clear" w:pos="1440"/>
          <w:tab w:val="clear" w:pos="4320"/>
          <w:tab w:val="clear" w:pos="9072"/>
          <w:tab w:val="left" w:pos="1260"/>
          <w:tab w:val="left" w:pos="7140"/>
        </w:tabs>
        <w:snapToGrid/>
      </w:pPr>
      <w:r>
        <w:tab/>
      </w:r>
    </w:p>
    <w:p w:rsidR="008D7509" w:rsidRDefault="008D7509">
      <w:pPr>
        <w:tabs>
          <w:tab w:val="clear" w:pos="1440"/>
          <w:tab w:val="clear" w:pos="4320"/>
          <w:tab w:val="clear" w:pos="9072"/>
          <w:tab w:val="left" w:pos="1260"/>
          <w:tab w:val="left" w:pos="7140"/>
        </w:tabs>
        <w:snapToGrid/>
      </w:pPr>
      <w:r>
        <w:tab/>
        <w:t>MALAYSIAN AIRLINE SYSTEM BERHAD</w:t>
      </w:r>
      <w:r>
        <w:tab/>
      </w:r>
      <w:r>
        <w:rPr>
          <w:bCs/>
        </w:rPr>
        <w:t>Defendant</w:t>
      </w:r>
    </w:p>
    <w:p w:rsidR="008D7509" w:rsidRDefault="008D7509">
      <w:pPr>
        <w:tabs>
          <w:tab w:val="clear" w:pos="1440"/>
          <w:tab w:val="clear" w:pos="4320"/>
          <w:tab w:val="clear" w:pos="9072"/>
          <w:tab w:val="left" w:pos="1540"/>
          <w:tab w:val="left" w:pos="6720"/>
        </w:tabs>
        <w:snapToGrid/>
      </w:pPr>
      <w:r>
        <w:tab/>
      </w:r>
    </w:p>
    <w:p w:rsidR="008D7509" w:rsidRDefault="008D7509">
      <w:pPr>
        <w:pStyle w:val="normal2"/>
        <w:tabs>
          <w:tab w:val="clear" w:pos="1411"/>
          <w:tab w:val="clear" w:pos="4320"/>
          <w:tab w:val="clear" w:pos="9072"/>
        </w:tabs>
        <w:overflowPunct/>
        <w:autoSpaceDE/>
        <w:autoSpaceDN/>
        <w:snapToGrid/>
        <w:rPr>
          <w:rFonts w:eastAsia="SimSun" w:hint="eastAsia"/>
          <w:caps w:val="0"/>
          <w:lang w:val="en-US"/>
        </w:rPr>
      </w:pPr>
      <w:r>
        <w:rPr>
          <w:rFonts w:eastAsia="SimSun" w:hint="eastAsia"/>
          <w:caps w:val="0"/>
          <w:lang w:val="en-US"/>
        </w:rPr>
        <w:t>-------------------</w:t>
      </w:r>
    </w:p>
    <w:p w:rsidR="008D7509" w:rsidRDefault="008D7509">
      <w:pPr>
        <w:tabs>
          <w:tab w:val="clear" w:pos="4320"/>
          <w:tab w:val="clear" w:pos="9072"/>
        </w:tabs>
        <w:snapToGrid/>
        <w:spacing w:line="360" w:lineRule="auto"/>
      </w:pPr>
    </w:p>
    <w:p w:rsidR="008D7509" w:rsidRDefault="008D7509">
      <w:pPr>
        <w:tabs>
          <w:tab w:val="clear" w:pos="4320"/>
          <w:tab w:val="clear" w:pos="9072"/>
        </w:tabs>
        <w:snapToGrid/>
        <w:spacing w:line="360" w:lineRule="auto"/>
        <w:rPr>
          <w:rFonts w:hint="eastAsia"/>
        </w:rPr>
      </w:pPr>
      <w:r>
        <w:rPr>
          <w:rFonts w:hint="eastAsia"/>
        </w:rPr>
        <w:t>Coram</w:t>
      </w:r>
      <w:r>
        <w:t xml:space="preserve">  </w:t>
      </w:r>
      <w:r>
        <w:rPr>
          <w:rFonts w:hint="eastAsia"/>
        </w:rPr>
        <w:t xml:space="preserve">:  </w:t>
      </w:r>
      <w:r>
        <w:t>His</w:t>
      </w:r>
      <w:r>
        <w:rPr>
          <w:rFonts w:hint="eastAsia"/>
        </w:rPr>
        <w:t xml:space="preserve"> Honour Judge </w:t>
      </w:r>
      <w:r>
        <w:t>Stanley C</w:t>
      </w:r>
      <w:r>
        <w:rPr>
          <w:rFonts w:hint="eastAsia"/>
        </w:rPr>
        <w:t xml:space="preserve">han in Chambers </w:t>
      </w:r>
    </w:p>
    <w:p w:rsidR="008D7509" w:rsidRDefault="008D7509">
      <w:pPr>
        <w:tabs>
          <w:tab w:val="clear" w:pos="4320"/>
          <w:tab w:val="clear" w:pos="9072"/>
        </w:tabs>
        <w:snapToGrid/>
        <w:spacing w:line="360" w:lineRule="auto"/>
      </w:pPr>
      <w:r>
        <w:rPr>
          <w:rFonts w:hint="eastAsia"/>
        </w:rPr>
        <w:t>Date of Hearing</w:t>
      </w:r>
      <w:r>
        <w:t xml:space="preserve">  </w:t>
      </w:r>
      <w:r>
        <w:rPr>
          <w:rFonts w:hint="eastAsia"/>
        </w:rPr>
        <w:t xml:space="preserve">:  </w:t>
      </w:r>
      <w:r>
        <w:t>2</w:t>
      </w:r>
      <w:r>
        <w:rPr>
          <w:vertAlign w:val="superscript"/>
        </w:rPr>
        <w:t>nd</w:t>
      </w:r>
      <w:r>
        <w:t xml:space="preserve"> May 2007</w:t>
      </w:r>
    </w:p>
    <w:p w:rsidR="008D7509" w:rsidRDefault="008D7509">
      <w:pPr>
        <w:tabs>
          <w:tab w:val="clear" w:pos="4320"/>
          <w:tab w:val="clear" w:pos="9072"/>
        </w:tabs>
        <w:snapToGrid/>
        <w:spacing w:line="360" w:lineRule="auto"/>
      </w:pPr>
      <w:r>
        <w:rPr>
          <w:rFonts w:hint="eastAsia"/>
        </w:rPr>
        <w:t>Date of Handing Down of Decision</w:t>
      </w:r>
      <w:r>
        <w:t xml:space="preserve">  :</w:t>
      </w:r>
      <w:r>
        <w:rPr>
          <w:rFonts w:hint="eastAsia"/>
        </w:rPr>
        <w:t xml:space="preserve">  5</w:t>
      </w:r>
      <w:r>
        <w:rPr>
          <w:rFonts w:hint="eastAsia"/>
          <w:vertAlign w:val="superscript"/>
        </w:rPr>
        <w:t>th</w:t>
      </w:r>
      <w:r>
        <w:rPr>
          <w:rFonts w:hint="eastAsia"/>
        </w:rPr>
        <w:t xml:space="preserve"> July 2007</w:t>
      </w:r>
    </w:p>
    <w:p w:rsidR="008D7509" w:rsidRDefault="008D7509">
      <w:pPr>
        <w:tabs>
          <w:tab w:val="clear" w:pos="4320"/>
          <w:tab w:val="clear" w:pos="9072"/>
        </w:tabs>
        <w:snapToGrid/>
        <w:spacing w:line="360" w:lineRule="auto"/>
        <w:rPr>
          <w:rFonts w:eastAsia="PMingLiU"/>
          <w:lang w:eastAsia="zh-TW"/>
        </w:rPr>
      </w:pPr>
    </w:p>
    <w:p w:rsidR="008D7509" w:rsidRDefault="008D7509">
      <w:pPr>
        <w:tabs>
          <w:tab w:val="clear" w:pos="4320"/>
          <w:tab w:val="clear" w:pos="9072"/>
        </w:tabs>
        <w:snapToGrid/>
        <w:spacing w:line="360" w:lineRule="auto"/>
        <w:jc w:val="center"/>
        <w:rPr>
          <w:rFonts w:eastAsia="PMingLiU" w:hint="eastAsia"/>
          <w:u w:val="single"/>
          <w:lang w:eastAsia="zh-TW"/>
        </w:rPr>
      </w:pPr>
      <w:r>
        <w:rPr>
          <w:rFonts w:eastAsia="PMingLiU"/>
          <w:u w:val="single"/>
          <w:lang w:eastAsia="zh-TW"/>
        </w:rPr>
        <w:t>DECISION</w:t>
      </w:r>
    </w:p>
    <w:p w:rsidR="008D7509" w:rsidRDefault="008D7509">
      <w:pPr>
        <w:pStyle w:val="para"/>
        <w:numPr>
          <w:ilvl w:val="0"/>
          <w:numId w:val="0"/>
        </w:numPr>
        <w:tabs>
          <w:tab w:val="left" w:pos="1440"/>
        </w:tabs>
        <w:snapToGrid/>
        <w:spacing w:before="0"/>
        <w:rPr>
          <w:lang w:val="en-US" w:eastAsia="zh-CN"/>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This Chambers</w:t>
      </w:r>
      <w:r>
        <w:t>’</w:t>
      </w:r>
      <w:r>
        <w:rPr>
          <w:rFonts w:hint="eastAsia"/>
        </w:rPr>
        <w:t xml:space="preserve"> application is made in </w:t>
      </w:r>
      <w:r>
        <w:t>pursuance</w:t>
      </w:r>
      <w:r>
        <w:rPr>
          <w:rFonts w:hint="eastAsia"/>
        </w:rPr>
        <w:t xml:space="preserve"> of Order 12 Rule 8 of the Rules of the District Court and the inherent jurisdiction of the Court. The </w:t>
      </w:r>
      <w:r>
        <w:t>Defendant</w:t>
      </w:r>
      <w:r>
        <w:rPr>
          <w:rFonts w:hint="eastAsia"/>
        </w:rPr>
        <w:t xml:space="preserve"> asks for an Order that:-</w:t>
      </w:r>
    </w:p>
    <w:p w:rsidR="008D7509" w:rsidRDefault="008D7509">
      <w:pPr>
        <w:tabs>
          <w:tab w:val="clear" w:pos="4320"/>
          <w:tab w:val="clear" w:pos="9072"/>
        </w:tabs>
        <w:snapToGrid/>
        <w:spacing w:line="360" w:lineRule="auto"/>
        <w:jc w:val="both"/>
        <w:rPr>
          <w:rFonts w:hint="eastAsia"/>
        </w:rPr>
      </w:pPr>
    </w:p>
    <w:p w:rsidR="008D7509" w:rsidRDefault="008D7509">
      <w:pPr>
        <w:numPr>
          <w:ilvl w:val="1"/>
          <w:numId w:val="52"/>
        </w:numPr>
        <w:tabs>
          <w:tab w:val="clear" w:pos="1440"/>
          <w:tab w:val="clear" w:pos="1470"/>
          <w:tab w:val="clear" w:pos="4320"/>
          <w:tab w:val="clear" w:pos="9072"/>
          <w:tab w:val="left" w:pos="2100"/>
        </w:tabs>
        <w:snapToGrid/>
        <w:spacing w:line="360" w:lineRule="auto"/>
        <w:ind w:left="2100" w:hanging="700"/>
        <w:jc w:val="both"/>
        <w:rPr>
          <w:rFonts w:hint="eastAsia"/>
        </w:rPr>
      </w:pPr>
      <w:r>
        <w:rPr>
          <w:rFonts w:hint="eastAsia"/>
        </w:rPr>
        <w:t xml:space="preserve">the Courts of </w:t>
      </w:r>
      <w:r>
        <w:t>Hong Kong</w:t>
      </w:r>
      <w:r>
        <w:rPr>
          <w:rFonts w:hint="eastAsia"/>
        </w:rPr>
        <w:t xml:space="preserve"> have no jurisdiction to hear the action under the </w:t>
      </w:r>
      <w:r>
        <w:t>Plaintiff’</w:t>
      </w:r>
      <w:r>
        <w:rPr>
          <w:rFonts w:hint="eastAsia"/>
        </w:rPr>
        <w:t>s Writ of Summons issued on 23 August 2006; and/or</w:t>
      </w:r>
    </w:p>
    <w:p w:rsidR="008D7509" w:rsidRDefault="008D7509">
      <w:pPr>
        <w:numPr>
          <w:ilvl w:val="1"/>
          <w:numId w:val="52"/>
        </w:numPr>
        <w:tabs>
          <w:tab w:val="clear" w:pos="1440"/>
          <w:tab w:val="clear" w:pos="1470"/>
          <w:tab w:val="clear" w:pos="4320"/>
          <w:tab w:val="clear" w:pos="9072"/>
          <w:tab w:val="left" w:pos="2100"/>
        </w:tabs>
        <w:snapToGrid/>
        <w:spacing w:line="360" w:lineRule="auto"/>
        <w:ind w:left="2100" w:hanging="700"/>
        <w:jc w:val="both"/>
        <w:rPr>
          <w:rFonts w:hint="eastAsia"/>
        </w:rPr>
      </w:pPr>
      <w:r>
        <w:rPr>
          <w:rFonts w:hint="eastAsia"/>
        </w:rPr>
        <w:t xml:space="preserve">the </w:t>
      </w:r>
      <w:r>
        <w:t>Plaintiff’</w:t>
      </w:r>
      <w:r>
        <w:rPr>
          <w:rFonts w:hint="eastAsia"/>
        </w:rPr>
        <w:t>s action was time barred.</w:t>
      </w:r>
    </w:p>
    <w:p w:rsidR="008D7509" w:rsidRDefault="008D7509">
      <w:pPr>
        <w:pStyle w:val="Heading1"/>
        <w:tabs>
          <w:tab w:val="left" w:pos="1440"/>
          <w:tab w:val="center" w:pos="4320"/>
          <w:tab w:val="right" w:pos="9072"/>
        </w:tabs>
        <w:snapToGrid w:val="0"/>
        <w:spacing w:before="0" w:after="0"/>
        <w:rPr>
          <w:rFonts w:ascii="Times New Roman" w:hAnsi="Times New Roman" w:hint="eastAsia"/>
          <w:bCs/>
          <w:kern w:val="0"/>
          <w:lang w:val="en-US"/>
        </w:rPr>
      </w:pPr>
      <w:r>
        <w:rPr>
          <w:rFonts w:ascii="Times New Roman" w:hAnsi="Times New Roman" w:hint="eastAsia"/>
          <w:bCs/>
          <w:kern w:val="0"/>
          <w:lang w:val="en-US"/>
        </w:rPr>
        <w:lastRenderedPageBreak/>
        <w:t>Facts of the Action</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was born on 11 March 1991 and aged 13 years old at the time of the accident. He was the holder of an air ticket allowing him to travel from Kuala Lumpur, Malaysia to </w:t>
      </w:r>
      <w:r>
        <w:t>Hong Kong</w:t>
      </w:r>
      <w:r>
        <w:rPr>
          <w:rFonts w:hint="eastAsia"/>
        </w:rPr>
        <w:t xml:space="preserve"> via the </w:t>
      </w:r>
      <w:r>
        <w:t>Defendant’</w:t>
      </w:r>
      <w:r>
        <w:rPr>
          <w:rFonts w:hint="eastAsia"/>
        </w:rPr>
        <w:t xml:space="preserve">s flight No. MH 72Q on 14 August 2004. At the material time, the </w:t>
      </w:r>
      <w:r>
        <w:t>Plaintiff</w:t>
      </w:r>
      <w:r>
        <w:rPr>
          <w:rFonts w:hint="eastAsia"/>
        </w:rPr>
        <w:t xml:space="preserve"> was a young passenger </w:t>
      </w:r>
      <w:r>
        <w:t>traveling</w:t>
      </w:r>
      <w:r>
        <w:rPr>
          <w:rFonts w:hint="eastAsia"/>
        </w:rPr>
        <w:t xml:space="preserve"> alone and was taken as an unaccompanied minor (</w:t>
      </w:r>
      <w:r>
        <w:t>‘</w:t>
      </w:r>
      <w:r>
        <w:rPr>
          <w:rFonts w:hint="eastAsia"/>
        </w:rPr>
        <w:t>UM</w:t>
      </w:r>
      <w:r>
        <w:t>’</w:t>
      </w:r>
      <w:r>
        <w:rPr>
          <w:rFonts w:hint="eastAsia"/>
        </w:rPr>
        <w:t xml:space="preserve">). The </w:t>
      </w:r>
      <w:r>
        <w:t>Plaintiff</w:t>
      </w:r>
      <w:r>
        <w:rPr>
          <w:rFonts w:hint="eastAsia"/>
        </w:rPr>
        <w:t xml:space="preserve"> took the said flight and arrived at the </w:t>
      </w:r>
      <w:r>
        <w:t>Hong Kong</w:t>
      </w:r>
      <w:r>
        <w:rPr>
          <w:rFonts w:hint="eastAsia"/>
        </w:rPr>
        <w:t xml:space="preserve"> International </w:t>
      </w:r>
      <w:r>
        <w:t>Airport</w:t>
      </w:r>
      <w:r>
        <w:rPr>
          <w:rFonts w:hint="eastAsia"/>
        </w:rPr>
        <w:t xml:space="preserve"> at about 1:00 pm on 14 August 2004. The </w:t>
      </w:r>
      <w:r>
        <w:t>Plaintiff</w:t>
      </w:r>
      <w:r>
        <w:rPr>
          <w:rFonts w:hint="eastAsia"/>
        </w:rPr>
        <w:t>, being an U</w:t>
      </w:r>
      <w:r>
        <w:rPr>
          <w:rFonts w:hint="eastAsia"/>
        </w:rPr>
        <w:t xml:space="preserve">M, was greeted and collected by the </w:t>
      </w:r>
      <w:r>
        <w:t>Defendant’</w:t>
      </w:r>
      <w:r>
        <w:rPr>
          <w:rFonts w:hint="eastAsia"/>
        </w:rPr>
        <w:t xml:space="preserve">s agent, Ms Evon, who accompanied the </w:t>
      </w:r>
      <w:r>
        <w:t>Plaintiff</w:t>
      </w:r>
      <w:r>
        <w:rPr>
          <w:rFonts w:hint="eastAsia"/>
        </w:rPr>
        <w:t xml:space="preserve"> to walk to the Customs and Immigration area. Ms Evon noted that the </w:t>
      </w:r>
      <w:r>
        <w:t>Plaintiff</w:t>
      </w:r>
      <w:r>
        <w:rPr>
          <w:rFonts w:hint="eastAsia"/>
        </w:rPr>
        <w:t xml:space="preserve"> </w:t>
      </w:r>
      <w:r>
        <w:t>looked</w:t>
      </w:r>
      <w:r>
        <w:rPr>
          <w:rFonts w:hint="eastAsia"/>
        </w:rPr>
        <w:t xml:space="preserve"> pale and was told that the </w:t>
      </w:r>
      <w:r>
        <w:t>Plaintiff</w:t>
      </w:r>
      <w:r>
        <w:rPr>
          <w:rFonts w:hint="eastAsia"/>
        </w:rPr>
        <w:t xml:space="preserve"> had a headache. Ms Evon directed the </w:t>
      </w:r>
      <w:r>
        <w:t>Plaintiff</w:t>
      </w:r>
      <w:r>
        <w:rPr>
          <w:rFonts w:hint="eastAsia"/>
        </w:rPr>
        <w:t xml:space="preserve"> to line up for immigration formalities, and she left the </w:t>
      </w:r>
      <w:r>
        <w:t>Plaintiff</w:t>
      </w:r>
      <w:r>
        <w:rPr>
          <w:rFonts w:hint="eastAsia"/>
        </w:rPr>
        <w:t xml:space="preserve"> in the queue and walked towards the immigration channel for cabin crew. When it came to the </w:t>
      </w:r>
      <w:r>
        <w:t>Plaintiff’</w:t>
      </w:r>
      <w:r>
        <w:rPr>
          <w:rFonts w:hint="eastAsia"/>
        </w:rPr>
        <w:t xml:space="preserve">s turn to walk up to the immigration counter, the </w:t>
      </w:r>
      <w:r>
        <w:t>Plaintiff</w:t>
      </w:r>
      <w:r>
        <w:rPr>
          <w:rFonts w:hint="eastAsia"/>
        </w:rPr>
        <w:t xml:space="preserve"> fainted and fell dow</w:t>
      </w:r>
      <w:r>
        <w:rPr>
          <w:rFonts w:hint="eastAsia"/>
        </w:rPr>
        <w:t xml:space="preserve">n. He hit his head on </w:t>
      </w:r>
      <w:r>
        <w:t>the</w:t>
      </w:r>
      <w:r>
        <w:rPr>
          <w:rFonts w:hint="eastAsia"/>
        </w:rPr>
        <w:t xml:space="preserve"> marble flooring and consequently sustained severe head injury. The </w:t>
      </w:r>
      <w:r>
        <w:t>Plaintiff</w:t>
      </w:r>
      <w:r>
        <w:rPr>
          <w:rFonts w:hint="eastAsia"/>
        </w:rPr>
        <w:t xml:space="preserve"> was later admitted to the Princess of Margaret Hospital (</w:t>
      </w:r>
      <w:r>
        <w:t>‘</w:t>
      </w:r>
      <w:r>
        <w:rPr>
          <w:rFonts w:hint="eastAsia"/>
        </w:rPr>
        <w:t>PMH</w:t>
      </w:r>
      <w:r>
        <w:t>’</w:t>
      </w:r>
      <w:r>
        <w:rPr>
          <w:rFonts w:hint="eastAsia"/>
        </w:rPr>
        <w:t xml:space="preserve">). The </w:t>
      </w:r>
      <w:r>
        <w:t>Plaintiff</w:t>
      </w:r>
      <w:r>
        <w:rPr>
          <w:rFonts w:hint="eastAsia"/>
        </w:rPr>
        <w:t xml:space="preserve"> suffered fracture skull and right frontal lobe contusion and subdural haematoma. Craniotomy operation to remove the intracerebral haematoma and sudural haematoma was only carried out on 26 August 2006.  The </w:t>
      </w:r>
      <w:r>
        <w:t>Plaintiff</w:t>
      </w:r>
      <w:r>
        <w:rPr>
          <w:rFonts w:hint="eastAsia"/>
        </w:rPr>
        <w:t xml:space="preserve"> is still suffering from attentional problems, forgetfulness, reduced efficiency in learning and emotional problem</w:t>
      </w:r>
      <w:r>
        <w:rPr>
          <w:rFonts w:hint="eastAsia"/>
        </w:rPr>
        <w:t>s. There is a risk of epilepsy and the chance of attack is 20%.</w:t>
      </w:r>
    </w:p>
    <w:p w:rsidR="008D7509" w:rsidRDefault="008D7509">
      <w:pPr>
        <w:snapToGrid/>
        <w:spacing w:line="360" w:lineRule="auto"/>
        <w:rPr>
          <w:b/>
          <w:bCs/>
        </w:rPr>
      </w:pPr>
    </w:p>
    <w:p w:rsidR="008D7509" w:rsidRDefault="008D7509">
      <w:pPr>
        <w:pStyle w:val="Heading1"/>
        <w:tabs>
          <w:tab w:val="left" w:pos="1440"/>
          <w:tab w:val="center" w:pos="4320"/>
          <w:tab w:val="right" w:pos="9072"/>
        </w:tabs>
        <w:snapToGrid w:val="0"/>
        <w:spacing w:before="0" w:after="0"/>
        <w:rPr>
          <w:rFonts w:ascii="Times New Roman" w:hAnsi="Times New Roman"/>
          <w:bCs/>
          <w:kern w:val="0"/>
          <w:lang w:val="en-US"/>
        </w:rPr>
      </w:pPr>
      <w:r>
        <w:rPr>
          <w:rFonts w:ascii="Times New Roman" w:hAnsi="Times New Roman" w:hint="eastAsia"/>
          <w:bCs/>
          <w:kern w:val="0"/>
          <w:lang w:val="en-US"/>
        </w:rPr>
        <w:t>Legal issues not in dispute</w:t>
      </w:r>
    </w:p>
    <w:p w:rsidR="008D7509" w:rsidRDefault="008D7509"/>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Counsel for the </w:t>
      </w:r>
      <w:r>
        <w:t>Plaintiff</w:t>
      </w:r>
      <w:r>
        <w:rPr>
          <w:rFonts w:hint="eastAsia"/>
        </w:rPr>
        <w:t xml:space="preserve"> accepts that:-</w:t>
      </w:r>
    </w:p>
    <w:p w:rsidR="008D7509" w:rsidRDefault="008D7509">
      <w:pPr>
        <w:pStyle w:val="para"/>
        <w:numPr>
          <w:ilvl w:val="0"/>
          <w:numId w:val="0"/>
        </w:numPr>
        <w:tabs>
          <w:tab w:val="left" w:pos="1440"/>
        </w:tabs>
        <w:snapToGrid/>
        <w:spacing w:before="0"/>
        <w:rPr>
          <w:rFonts w:hint="eastAsia"/>
          <w:lang w:val="en-US" w:eastAsia="zh-CN"/>
        </w:rPr>
      </w:pPr>
    </w:p>
    <w:p w:rsidR="008D7509" w:rsidRDefault="008D7509">
      <w:pPr>
        <w:tabs>
          <w:tab w:val="clear" w:pos="1440"/>
          <w:tab w:val="clear" w:pos="4320"/>
          <w:tab w:val="clear" w:pos="9072"/>
          <w:tab w:val="left" w:pos="2100"/>
        </w:tabs>
        <w:snapToGrid/>
        <w:spacing w:line="360" w:lineRule="auto"/>
        <w:ind w:left="2100" w:hanging="700"/>
        <w:jc w:val="both"/>
        <w:rPr>
          <w:rFonts w:hint="eastAsia"/>
        </w:rPr>
      </w:pPr>
      <w:r>
        <w:t>(1)</w:t>
      </w:r>
      <w:r>
        <w:tab/>
      </w:r>
      <w:r>
        <w:rPr>
          <w:rFonts w:hint="eastAsia"/>
        </w:rPr>
        <w:t xml:space="preserve">the </w:t>
      </w:r>
      <w:r>
        <w:t>Plaintiff’</w:t>
      </w:r>
      <w:r>
        <w:rPr>
          <w:rFonts w:hint="eastAsia"/>
        </w:rPr>
        <w:t>s flight was covered by the Amended Warsaw Convention (</w:t>
      </w:r>
      <w:r>
        <w:t>‘</w:t>
      </w:r>
      <w:r>
        <w:rPr>
          <w:rFonts w:hint="eastAsia"/>
        </w:rPr>
        <w:t>the Convention</w:t>
      </w:r>
      <w:r>
        <w:t>’</w:t>
      </w:r>
      <w:r>
        <w:rPr>
          <w:rFonts w:hint="eastAsia"/>
        </w:rPr>
        <w:t xml:space="preserve">) </w:t>
      </w:r>
      <w:r>
        <w:t>which</w:t>
      </w:r>
      <w:r>
        <w:rPr>
          <w:rFonts w:hint="eastAsia"/>
        </w:rPr>
        <w:t xml:space="preserve"> is given the force </w:t>
      </w:r>
      <w:r>
        <w:t>of law</w:t>
      </w:r>
      <w:r>
        <w:rPr>
          <w:rFonts w:hint="eastAsia"/>
        </w:rPr>
        <w:t xml:space="preserve"> by the Carriage by Air </w:t>
      </w:r>
      <w:r>
        <w:t>Ordinance</w:t>
      </w:r>
      <w:r>
        <w:rPr>
          <w:rFonts w:hint="eastAsia"/>
        </w:rPr>
        <w:t>, Cap 500 (</w:t>
      </w:r>
      <w:r>
        <w:t>‘</w:t>
      </w:r>
      <w:r>
        <w:rPr>
          <w:rFonts w:hint="eastAsia"/>
        </w:rPr>
        <w:t xml:space="preserve">the </w:t>
      </w:r>
      <w:r>
        <w:t>Ordinance’</w:t>
      </w:r>
      <w:r>
        <w:rPr>
          <w:rFonts w:hint="eastAsia"/>
        </w:rPr>
        <w:t>).</w:t>
      </w:r>
    </w:p>
    <w:p w:rsidR="008D7509" w:rsidRDefault="008D7509">
      <w:pPr>
        <w:tabs>
          <w:tab w:val="clear" w:pos="1440"/>
          <w:tab w:val="clear" w:pos="4320"/>
          <w:tab w:val="clear" w:pos="9072"/>
          <w:tab w:val="left" w:pos="2100"/>
        </w:tabs>
        <w:snapToGrid/>
        <w:spacing w:line="360" w:lineRule="auto"/>
        <w:ind w:left="2100" w:hanging="700"/>
        <w:jc w:val="both"/>
        <w:rPr>
          <w:rFonts w:hint="eastAsia"/>
        </w:rPr>
      </w:pPr>
      <w:r>
        <w:t>(2)</w:t>
      </w:r>
      <w:r>
        <w:tab/>
      </w:r>
      <w:r>
        <w:rPr>
          <w:rFonts w:hint="eastAsia"/>
        </w:rPr>
        <w:t>The Convention while it applies, provides the exclusive code for relief displacing ordinary Common Law actions.</w:t>
      </w:r>
    </w:p>
    <w:p w:rsidR="008D7509" w:rsidRDefault="008D7509">
      <w:pPr>
        <w:tabs>
          <w:tab w:val="clear" w:pos="1440"/>
          <w:tab w:val="clear" w:pos="4320"/>
          <w:tab w:val="clear" w:pos="9072"/>
          <w:tab w:val="left" w:pos="2100"/>
        </w:tabs>
        <w:snapToGrid/>
        <w:spacing w:line="360" w:lineRule="auto"/>
        <w:ind w:left="2100" w:hanging="700"/>
        <w:jc w:val="both"/>
        <w:rPr>
          <w:rFonts w:hint="eastAsia"/>
        </w:rPr>
      </w:pPr>
      <w:r>
        <w:t>(3)</w:t>
      </w:r>
      <w:r>
        <w:tab/>
      </w:r>
      <w:r>
        <w:rPr>
          <w:rFonts w:hint="eastAsia"/>
        </w:rPr>
        <w:t>The Convention is an international treaty and should be considered as a whole, and the purposive interpretation should be adopted.</w:t>
      </w:r>
    </w:p>
    <w:p w:rsidR="008D7509" w:rsidRDefault="008D7509">
      <w:pPr>
        <w:tabs>
          <w:tab w:val="clear" w:pos="1440"/>
          <w:tab w:val="clear" w:pos="4320"/>
          <w:tab w:val="clear" w:pos="9072"/>
          <w:tab w:val="left" w:pos="2100"/>
        </w:tabs>
        <w:snapToGrid/>
        <w:spacing w:line="360" w:lineRule="auto"/>
        <w:ind w:left="2100" w:hanging="700"/>
        <w:jc w:val="both"/>
        <w:rPr>
          <w:rFonts w:hint="eastAsia"/>
        </w:rPr>
      </w:pPr>
      <w:r>
        <w:t>(4)</w:t>
      </w:r>
      <w:r>
        <w:tab/>
      </w:r>
      <w:r>
        <w:rPr>
          <w:rFonts w:hint="eastAsia"/>
        </w:rPr>
        <w:t xml:space="preserve">The Convention is to provide a uniform and exclusive international code relating to the </w:t>
      </w:r>
      <w:r>
        <w:t>liabilities</w:t>
      </w:r>
      <w:r>
        <w:rPr>
          <w:rFonts w:hint="eastAsia"/>
        </w:rPr>
        <w:t xml:space="preserve"> of air carriers in </w:t>
      </w:r>
      <w:r>
        <w:t>respect</w:t>
      </w:r>
      <w:r>
        <w:rPr>
          <w:rFonts w:hint="eastAsia"/>
        </w:rPr>
        <w:t xml:space="preserve"> of claims arising out or in the course of international carriage by air, to be applied in the courts of all signatories to the Convention without reference to their domestic law.</w:t>
      </w:r>
    </w:p>
    <w:p w:rsidR="008D7509" w:rsidRDefault="008D7509">
      <w:pPr>
        <w:tabs>
          <w:tab w:val="clear" w:pos="1440"/>
          <w:tab w:val="clear" w:pos="4320"/>
          <w:tab w:val="clear" w:pos="9072"/>
          <w:tab w:val="left" w:pos="2100"/>
        </w:tabs>
        <w:snapToGrid/>
        <w:spacing w:line="360" w:lineRule="auto"/>
        <w:ind w:left="2100" w:hanging="700"/>
        <w:jc w:val="both"/>
        <w:rPr>
          <w:rFonts w:hint="eastAsia"/>
        </w:rPr>
      </w:pPr>
      <w:r>
        <w:t>(5)</w:t>
      </w:r>
      <w:r>
        <w:tab/>
      </w:r>
      <w:r>
        <w:rPr>
          <w:rFonts w:hint="eastAsia"/>
        </w:rPr>
        <w:t xml:space="preserve">The Convention also sets out the limits of </w:t>
      </w:r>
      <w:r>
        <w:t>liabilities</w:t>
      </w:r>
      <w:r>
        <w:rPr>
          <w:rFonts w:hint="eastAsia"/>
        </w:rPr>
        <w:t xml:space="preserve"> and the conditions under </w:t>
      </w:r>
      <w:r>
        <w:t>which</w:t>
      </w:r>
      <w:r>
        <w:rPr>
          <w:rFonts w:hint="eastAsia"/>
        </w:rPr>
        <w:t xml:space="preserve"> claims to </w:t>
      </w:r>
      <w:r>
        <w:t>establish</w:t>
      </w:r>
      <w:r>
        <w:rPr>
          <w:rFonts w:hint="eastAsia"/>
        </w:rPr>
        <w:t xml:space="preserve"> </w:t>
      </w:r>
      <w:r>
        <w:t xml:space="preserve">liability are to be met. </w:t>
      </w:r>
      <w:r>
        <w:rPr>
          <w:rFonts w:hint="eastAsia"/>
        </w:rPr>
        <w:t>A balance should be struck in the interests of certainty and uniformity.</w:t>
      </w:r>
    </w:p>
    <w:p w:rsidR="008D7509" w:rsidRDefault="008D7509">
      <w:pPr>
        <w:tabs>
          <w:tab w:val="clear" w:pos="4320"/>
          <w:tab w:val="clear" w:pos="9072"/>
        </w:tabs>
        <w:snapToGrid/>
        <w:spacing w:line="360" w:lineRule="auto"/>
        <w:jc w:val="both"/>
        <w:rPr>
          <w:b/>
          <w:bCs/>
        </w:rPr>
      </w:pPr>
    </w:p>
    <w:p w:rsidR="008D7509" w:rsidRDefault="008D7509">
      <w:pPr>
        <w:tabs>
          <w:tab w:val="clear" w:pos="4320"/>
          <w:tab w:val="clear" w:pos="9072"/>
        </w:tabs>
        <w:snapToGrid/>
        <w:spacing w:line="360" w:lineRule="auto"/>
        <w:jc w:val="both"/>
        <w:rPr>
          <w:rFonts w:hint="eastAsia"/>
          <w:b/>
          <w:bCs/>
        </w:rPr>
      </w:pPr>
      <w:r>
        <w:rPr>
          <w:rFonts w:hint="eastAsia"/>
          <w:b/>
          <w:bCs/>
        </w:rPr>
        <w:t>The Amended Warsaw Convention (</w:t>
      </w:r>
      <w:r>
        <w:rPr>
          <w:b/>
          <w:bCs/>
        </w:rPr>
        <w:t>‘</w:t>
      </w:r>
      <w:r>
        <w:rPr>
          <w:rFonts w:hint="eastAsia"/>
          <w:b/>
          <w:bCs/>
        </w:rPr>
        <w:t>the Convention</w:t>
      </w:r>
      <w:r>
        <w:rPr>
          <w:b/>
          <w:bCs/>
        </w:rPr>
        <w:t>’</w:t>
      </w:r>
      <w:r>
        <w:rPr>
          <w:rFonts w:hint="eastAsia"/>
          <w:b/>
          <w:bCs/>
        </w:rPr>
        <w:t>)</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Schedule 1 to the </w:t>
      </w:r>
      <w:r>
        <w:t>Ordinance</w:t>
      </w:r>
      <w:r>
        <w:rPr>
          <w:rFonts w:hint="eastAsia"/>
        </w:rPr>
        <w:t xml:space="preserve"> lists out the provisions of the Convention so far as they relate to the rights and liabilities of carriers</w:t>
      </w:r>
      <w:r>
        <w:t>’</w:t>
      </w:r>
      <w:r>
        <w:rPr>
          <w:rFonts w:hint="eastAsia"/>
        </w:rPr>
        <w:t xml:space="preserve"> servants and agents, passengers etc. Under section 3 of the </w:t>
      </w:r>
      <w:r>
        <w:t>Ordinance</w:t>
      </w:r>
      <w:r>
        <w:rPr>
          <w:rFonts w:hint="eastAsia"/>
        </w:rPr>
        <w:t xml:space="preserve">, it grants the provisions of the Convention have the force of law in relation to any carriage by air to which the Convention applies. There is no dispute that both </w:t>
      </w:r>
      <w:r>
        <w:t>Malaysia</w:t>
      </w:r>
      <w:r>
        <w:rPr>
          <w:rFonts w:hint="eastAsia"/>
        </w:rPr>
        <w:t xml:space="preserve"> and Hong Kong are the High Contracting Parties under the Convention. Under Art.1 of the Convention, the expression of </w:t>
      </w:r>
      <w:r>
        <w:t>“</w:t>
      </w:r>
      <w:r>
        <w:rPr>
          <w:rFonts w:hint="eastAsia"/>
        </w:rPr>
        <w:t>international carriage</w:t>
      </w:r>
      <w:r>
        <w:t>”</w:t>
      </w:r>
      <w:r>
        <w:rPr>
          <w:rFonts w:hint="eastAsia"/>
        </w:rPr>
        <w:t xml:space="preserve"> means an</w:t>
      </w:r>
      <w:r>
        <w:rPr>
          <w:rFonts w:hint="eastAsia"/>
        </w:rPr>
        <w:t xml:space="preserve">y carriage in which, according to the agreement between the parties, the place of departure and the place of destination, whether or not there be a break in the carriage </w:t>
      </w:r>
      <w:r>
        <w:t>…</w:t>
      </w:r>
      <w:r>
        <w:rPr>
          <w:rFonts w:hint="eastAsia"/>
        </w:rPr>
        <w:t xml:space="preserve"> are situated either within the territories of two High </w:t>
      </w:r>
      <w:r>
        <w:t>Contracting</w:t>
      </w:r>
      <w:r>
        <w:rPr>
          <w:rFonts w:hint="eastAsia"/>
        </w:rPr>
        <w:t xml:space="preserve"> Parties. </w:t>
      </w:r>
    </w:p>
    <w:p w:rsidR="008D7509" w:rsidRDefault="008D7509">
      <w:pPr>
        <w:tabs>
          <w:tab w:val="clear" w:pos="4320"/>
          <w:tab w:val="clear" w:pos="9072"/>
        </w:tabs>
        <w:snapToGrid/>
        <w:spacing w:line="360" w:lineRule="auto"/>
        <w:jc w:val="both"/>
        <w:rPr>
          <w:rFonts w:hint="eastAsia"/>
        </w:rPr>
      </w:pPr>
    </w:p>
    <w:p w:rsidR="008D7509" w:rsidRDefault="008D7509">
      <w:pPr>
        <w:pStyle w:val="Heading1"/>
        <w:spacing w:line="360" w:lineRule="auto"/>
        <w:jc w:val="both"/>
        <w:rPr>
          <w:rFonts w:ascii="Times New Roman" w:hAnsi="Times New Roman" w:hint="eastAsia"/>
        </w:rPr>
      </w:pPr>
      <w:r>
        <w:rPr>
          <w:rFonts w:ascii="Times New Roman" w:hAnsi="Times New Roman" w:hint="eastAsia"/>
        </w:rPr>
        <w:t>Applicability of the Convention</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Art.17 of the Conventions is in these terms:-</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ind w:left="1400" w:right="860"/>
        <w:jc w:val="both"/>
        <w:rPr>
          <w:sz w:val="24"/>
        </w:rPr>
      </w:pPr>
      <w:r>
        <w:rPr>
          <w:sz w:val="24"/>
        </w:rPr>
        <w:t>“</w:t>
      </w:r>
      <w:r>
        <w:rPr>
          <w:rFonts w:hint="eastAsia"/>
          <w:sz w:val="24"/>
        </w:rPr>
        <w:t xml:space="preserve">The carrier is liable for damage sustained in the event of the death or wounding of a passenger or any </w:t>
      </w:r>
      <w:r>
        <w:rPr>
          <w:sz w:val="24"/>
        </w:rPr>
        <w:t>other</w:t>
      </w:r>
      <w:r>
        <w:rPr>
          <w:rFonts w:hint="eastAsia"/>
          <w:sz w:val="24"/>
        </w:rPr>
        <w:t xml:space="preserve"> bodily injury suffered by a passenger, if the accident which caused the damage so sustained took place on board the aircraft or in the course of any of the operation of embarking or disembarking.</w:t>
      </w:r>
      <w:r>
        <w:rPr>
          <w:sz w:val="24"/>
        </w:rPr>
        <w:t>”</w:t>
      </w:r>
    </w:p>
    <w:p w:rsidR="008D7509" w:rsidRDefault="008D7509">
      <w:pPr>
        <w:tabs>
          <w:tab w:val="clear" w:pos="4320"/>
          <w:tab w:val="clear" w:pos="9072"/>
        </w:tabs>
        <w:snapToGrid/>
        <w:ind w:left="1400" w:right="860"/>
        <w:jc w:val="both"/>
        <w:rPr>
          <w:rFonts w:hint="eastAsia"/>
          <w:sz w:val="24"/>
        </w:rPr>
      </w:pP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Under Art.24(2), it stipulates that:</w:t>
      </w:r>
    </w:p>
    <w:p w:rsidR="008D7509" w:rsidRDefault="008D7509">
      <w:pPr>
        <w:tabs>
          <w:tab w:val="clear" w:pos="4320"/>
          <w:tab w:val="clear" w:pos="9072"/>
        </w:tabs>
        <w:snapToGrid/>
        <w:spacing w:line="360" w:lineRule="auto"/>
        <w:jc w:val="both"/>
      </w:pPr>
    </w:p>
    <w:p w:rsidR="008D7509" w:rsidRDefault="008D7509">
      <w:pPr>
        <w:tabs>
          <w:tab w:val="clear" w:pos="4320"/>
          <w:tab w:val="clear" w:pos="9072"/>
        </w:tabs>
        <w:snapToGrid/>
        <w:ind w:left="1400" w:right="746"/>
        <w:jc w:val="both"/>
        <w:rPr>
          <w:sz w:val="24"/>
        </w:rPr>
      </w:pPr>
      <w:r>
        <w:rPr>
          <w:sz w:val="24"/>
        </w:rPr>
        <w:t>“</w:t>
      </w:r>
      <w:r>
        <w:rPr>
          <w:rFonts w:hint="eastAsia"/>
          <w:sz w:val="24"/>
        </w:rPr>
        <w:t xml:space="preserve">in the cases covered by Article 17 the provisions of the preceding </w:t>
      </w:r>
      <w:r>
        <w:rPr>
          <w:sz w:val="24"/>
        </w:rPr>
        <w:t>paragraph</w:t>
      </w:r>
      <w:r>
        <w:rPr>
          <w:rFonts w:hint="eastAsia"/>
          <w:sz w:val="24"/>
        </w:rPr>
        <w:t xml:space="preserve"> [that is any action for damages, however founded, can only be brought subject to the conditions and </w:t>
      </w:r>
      <w:r>
        <w:rPr>
          <w:sz w:val="24"/>
        </w:rPr>
        <w:t>limits</w:t>
      </w:r>
      <w:r>
        <w:rPr>
          <w:rFonts w:hint="eastAsia"/>
          <w:sz w:val="24"/>
        </w:rPr>
        <w:t xml:space="preserve"> set out in this Convention.</w:t>
      </w:r>
      <w:r>
        <w:rPr>
          <w:sz w:val="24"/>
        </w:rPr>
        <w:t xml:space="preserve">] </w:t>
      </w:r>
      <w:r>
        <w:rPr>
          <w:rFonts w:hint="eastAsia"/>
          <w:sz w:val="24"/>
        </w:rPr>
        <w:t>also apply, without prejudice to the questions as to who are the persons who have the right to bring suit and what are their respective rights..</w:t>
      </w:r>
      <w:r>
        <w:rPr>
          <w:sz w:val="24"/>
        </w:rPr>
        <w:t>”</w:t>
      </w:r>
    </w:p>
    <w:p w:rsidR="008D7509" w:rsidRDefault="008D7509">
      <w:pPr>
        <w:tabs>
          <w:tab w:val="clear" w:pos="4320"/>
          <w:tab w:val="clear" w:pos="9072"/>
        </w:tabs>
        <w:snapToGrid/>
        <w:ind w:left="1400" w:right="746"/>
        <w:jc w:val="both"/>
        <w:rPr>
          <w:rFonts w:hint="eastAsia"/>
          <w:sz w:val="24"/>
        </w:rPr>
      </w:pP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has conceded that the issue of </w:t>
      </w:r>
      <w:r>
        <w:t>‘willful</w:t>
      </w:r>
      <w:r>
        <w:rPr>
          <w:rFonts w:hint="eastAsia"/>
        </w:rPr>
        <w:t xml:space="preserve"> misconduct</w:t>
      </w:r>
      <w:r>
        <w:t>’</w:t>
      </w:r>
      <w:r>
        <w:rPr>
          <w:rFonts w:hint="eastAsia"/>
        </w:rPr>
        <w:t xml:space="preserve"> is only relevant under Art.25 of the original Warsaw Convention which does not apply in the present case. As such, the issue of </w:t>
      </w:r>
      <w:r>
        <w:t>willful</w:t>
      </w:r>
      <w:r>
        <w:rPr>
          <w:rFonts w:hint="eastAsia"/>
        </w:rPr>
        <w:t xml:space="preserve"> misconduct will not be pursued.</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 stance of the </w:t>
      </w:r>
      <w:r>
        <w:t>Plaintiff</w:t>
      </w:r>
      <w:r>
        <w:rPr>
          <w:rFonts w:hint="eastAsia"/>
        </w:rPr>
        <w:t xml:space="preserve"> is not difficult to discern. Counsel for the </w:t>
      </w:r>
      <w:r>
        <w:t>Plaintiff</w:t>
      </w:r>
      <w:r>
        <w:rPr>
          <w:rFonts w:hint="eastAsia"/>
        </w:rPr>
        <w:t xml:space="preserve"> contended that the Convention is not applicable in the present case. If the Convention is not applicable, it follows that the issue of jurisdiction under Art.28 and the time limit imposed under Art. 29 of the Convention will have no effect. If that is the case, then the domestic law </w:t>
      </w:r>
      <w:r>
        <w:t>relating</w:t>
      </w:r>
      <w:r>
        <w:rPr>
          <w:rFonts w:hint="eastAsia"/>
        </w:rPr>
        <w:t xml:space="preserve"> to the time limit applies and the Common Law actions could </w:t>
      </w:r>
      <w:r>
        <w:t>then</w:t>
      </w:r>
      <w:r>
        <w:rPr>
          <w:rFonts w:hint="eastAsia"/>
        </w:rPr>
        <w:t xml:space="preserve"> be </w:t>
      </w:r>
      <w:r>
        <w:t>instituted</w:t>
      </w:r>
      <w:r>
        <w:rPr>
          <w:rFonts w:hint="eastAsia"/>
        </w:rPr>
        <w:t xml:space="preserve">. </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Counsel for the </w:t>
      </w:r>
      <w:r>
        <w:t>Plaintiff</w:t>
      </w:r>
      <w:r>
        <w:rPr>
          <w:rFonts w:hint="eastAsia"/>
        </w:rPr>
        <w:t xml:space="preserve"> argued that at the material time, the </w:t>
      </w:r>
      <w:r>
        <w:t>Plaintiff</w:t>
      </w:r>
      <w:r>
        <w:rPr>
          <w:rFonts w:hint="eastAsia"/>
        </w:rPr>
        <w:t xml:space="preserve"> had completed the process of disembarkation and hence the accident so </w:t>
      </w:r>
      <w:r>
        <w:t>occurred</w:t>
      </w:r>
      <w:r>
        <w:rPr>
          <w:rFonts w:hint="eastAsia"/>
        </w:rPr>
        <w:t xml:space="preserve"> was outside the scope as stipulated in Art.17 as it was happened not in the course of any of the operation of disembarking. Counsel for the </w:t>
      </w:r>
      <w:r>
        <w:t>Plaintiff</w:t>
      </w:r>
      <w:r>
        <w:rPr>
          <w:rFonts w:hint="eastAsia"/>
        </w:rPr>
        <w:t xml:space="preserve"> relied on a number of overseas authorities . In </w:t>
      </w:r>
      <w:r>
        <w:rPr>
          <w:rFonts w:hint="eastAsia"/>
          <w:u w:val="single"/>
        </w:rPr>
        <w:t>Eileen Dick v American Airlines, Inc.</w:t>
      </w:r>
      <w:r>
        <w:rPr>
          <w:rFonts w:hint="eastAsia"/>
        </w:rPr>
        <w:t xml:space="preserve"> US District Court of Massachusetts Action No 05-10446-GAO, 12 March 2007, the </w:t>
      </w:r>
      <w:r>
        <w:t>Plaintiff</w:t>
      </w:r>
      <w:r>
        <w:rPr>
          <w:rFonts w:hint="eastAsia"/>
        </w:rPr>
        <w:t xml:space="preserve"> sustained injury while </w:t>
      </w:r>
      <w:r>
        <w:t>traveling</w:t>
      </w:r>
      <w:r>
        <w:rPr>
          <w:rFonts w:hint="eastAsia"/>
        </w:rPr>
        <w:t xml:space="preserve"> from Trinidad to C</w:t>
      </w:r>
      <w:r>
        <w:rPr>
          <w:rFonts w:hint="eastAsia"/>
        </w:rPr>
        <w:t xml:space="preserve">anada on 25 February 2002. The </w:t>
      </w:r>
      <w:r>
        <w:t>Plaintiff</w:t>
      </w:r>
      <w:r>
        <w:rPr>
          <w:rFonts w:hint="eastAsia"/>
        </w:rPr>
        <w:t xml:space="preserve"> was traveling with her elderly mother who required wheelchair assistance within the airline terminal from </w:t>
      </w:r>
      <w:r>
        <w:t>American</w:t>
      </w:r>
      <w:r>
        <w:rPr>
          <w:rFonts w:hint="eastAsia"/>
        </w:rPr>
        <w:t xml:space="preserve"> Airlines. </w:t>
      </w:r>
      <w:r>
        <w:t>The</w:t>
      </w:r>
      <w:r>
        <w:rPr>
          <w:rFonts w:hint="eastAsia"/>
        </w:rPr>
        <w:t xml:space="preserve"> </w:t>
      </w:r>
      <w:r>
        <w:t>Plaintiff</w:t>
      </w:r>
      <w:r>
        <w:rPr>
          <w:rFonts w:hint="eastAsia"/>
        </w:rPr>
        <w:t xml:space="preserve"> and her elderly </w:t>
      </w:r>
      <w:r>
        <w:t>mother</w:t>
      </w:r>
      <w:r>
        <w:rPr>
          <w:rFonts w:hint="eastAsia"/>
        </w:rPr>
        <w:t xml:space="preserve"> had to stop at Miami International Airport. In Miami, the </w:t>
      </w:r>
      <w:r>
        <w:t>Plaintiff</w:t>
      </w:r>
      <w:r>
        <w:rPr>
          <w:rFonts w:hint="eastAsia"/>
        </w:rPr>
        <w:t xml:space="preserve"> and her mother were proceeding from one gate to another and were directed by their escort to use an escalator. While </w:t>
      </w:r>
      <w:r>
        <w:t>riding</w:t>
      </w:r>
      <w:r>
        <w:rPr>
          <w:rFonts w:hint="eastAsia"/>
        </w:rPr>
        <w:t xml:space="preserve"> the escalator, the </w:t>
      </w:r>
      <w:r>
        <w:t>Plaintiff’</w:t>
      </w:r>
      <w:r>
        <w:rPr>
          <w:rFonts w:hint="eastAsia"/>
        </w:rPr>
        <w:t xml:space="preserve">s mother fell backward on the </w:t>
      </w:r>
      <w:r>
        <w:t>Plaintiff</w:t>
      </w:r>
      <w:r>
        <w:rPr>
          <w:rFonts w:hint="eastAsia"/>
        </w:rPr>
        <w:t>, injuring her. In that case, the US District Cou</w:t>
      </w:r>
      <w:r>
        <w:rPr>
          <w:rFonts w:hint="eastAsia"/>
        </w:rPr>
        <w:t xml:space="preserve">rt took the view that the applicability of the Warsaw Convention depends on </w:t>
      </w:r>
      <w:r>
        <w:t>whether</w:t>
      </w:r>
      <w:r>
        <w:rPr>
          <w:rFonts w:hint="eastAsia"/>
        </w:rPr>
        <w:t xml:space="preserve"> the </w:t>
      </w:r>
      <w:r>
        <w:t>injury</w:t>
      </w:r>
      <w:r>
        <w:rPr>
          <w:rFonts w:hint="eastAsia"/>
        </w:rPr>
        <w:t xml:space="preserve"> </w:t>
      </w:r>
      <w:r>
        <w:t>occurred</w:t>
      </w:r>
      <w:r>
        <w:rPr>
          <w:rFonts w:hint="eastAsia"/>
        </w:rPr>
        <w:t xml:space="preserve"> </w:t>
      </w:r>
      <w:r>
        <w:t>‘</w:t>
      </w:r>
      <w:r>
        <w:rPr>
          <w:rFonts w:hint="eastAsia"/>
        </w:rPr>
        <w:t>on board the aircraft or in the course of any of the operation of embarking or disembarking</w:t>
      </w:r>
      <w:r>
        <w:t>’</w:t>
      </w:r>
      <w:r>
        <w:rPr>
          <w:rFonts w:hint="eastAsia"/>
        </w:rPr>
        <w:t xml:space="preserve">. The phrase could be paraphrased as: </w:t>
      </w:r>
      <w:r>
        <w:t>‘</w:t>
      </w:r>
      <w:r>
        <w:rPr>
          <w:rFonts w:hint="eastAsia"/>
        </w:rPr>
        <w:t>on board the aircraft or in the course of any of the operation of getting on or getting off the aircraft.</w:t>
      </w:r>
      <w:r>
        <w:t>”</w:t>
      </w:r>
      <w:r>
        <w:rPr>
          <w:rFonts w:hint="eastAsia"/>
        </w:rPr>
        <w:t xml:space="preserve"> As such, there must be a </w:t>
      </w:r>
      <w:r>
        <w:t>‘</w:t>
      </w:r>
      <w:r>
        <w:rPr>
          <w:rFonts w:hint="eastAsia"/>
        </w:rPr>
        <w:t>tight tie</w:t>
      </w:r>
      <w:r>
        <w:t>’</w:t>
      </w:r>
      <w:r>
        <w:rPr>
          <w:rFonts w:hint="eastAsia"/>
        </w:rPr>
        <w:t xml:space="preserve"> between the accident and the physical act of entering an aircraft.</w:t>
      </w:r>
      <w:r>
        <w:t>’</w:t>
      </w:r>
      <w:r>
        <w:rPr>
          <w:rFonts w:hint="eastAsia"/>
        </w:rPr>
        <w:t xml:space="preserve"> It was said, </w:t>
      </w:r>
      <w:r>
        <w:t>“</w:t>
      </w:r>
      <w:r>
        <w:rPr>
          <w:rFonts w:hint="eastAsia"/>
        </w:rPr>
        <w:t>a court must consider (1) the passenger</w:t>
      </w:r>
      <w:r>
        <w:t>’</w:t>
      </w:r>
      <w:r>
        <w:rPr>
          <w:rFonts w:hint="eastAsia"/>
        </w:rPr>
        <w:t>s activity</w:t>
      </w:r>
      <w:r>
        <w:rPr>
          <w:rFonts w:hint="eastAsia"/>
        </w:rPr>
        <w:t xml:space="preserve"> at the time of injury, (2) his or her whereabouts when injured, and (3) the extent to which the carrier was </w:t>
      </w:r>
      <w:r>
        <w:t>exercising</w:t>
      </w:r>
      <w:r>
        <w:rPr>
          <w:rFonts w:hint="eastAsia"/>
        </w:rPr>
        <w:t xml:space="preserve"> control. These </w:t>
      </w:r>
      <w:r>
        <w:t>factors</w:t>
      </w:r>
      <w:r>
        <w:rPr>
          <w:rFonts w:hint="eastAsia"/>
        </w:rPr>
        <w:t xml:space="preserve"> </w:t>
      </w:r>
      <w:r>
        <w:t>–</w:t>
      </w:r>
      <w:r>
        <w:rPr>
          <w:rFonts w:hint="eastAsia"/>
        </w:rPr>
        <w:t xml:space="preserve"> </w:t>
      </w:r>
      <w:r>
        <w:t>activity</w:t>
      </w:r>
      <w:r>
        <w:rPr>
          <w:rFonts w:hint="eastAsia"/>
        </w:rPr>
        <w:t xml:space="preserve">, location and control </w:t>
      </w:r>
      <w:r>
        <w:t>–</w:t>
      </w:r>
      <w:r>
        <w:rPr>
          <w:rFonts w:hint="eastAsia"/>
        </w:rPr>
        <w:t xml:space="preserve"> as separate legs of a stool, but, rather as forming a single, unitary base.</w:t>
      </w:r>
      <w:r>
        <w:t>”</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In </w:t>
      </w:r>
      <w:r>
        <w:rPr>
          <w:rFonts w:hint="eastAsia"/>
          <w:u w:val="single"/>
        </w:rPr>
        <w:t>Adatia v Air Canada</w:t>
      </w:r>
      <w:r>
        <w:rPr>
          <w:rFonts w:hint="eastAsia"/>
        </w:rPr>
        <w:t xml:space="preserve"> [1992] P.I.Q.R 238, the </w:t>
      </w:r>
      <w:r>
        <w:t>Plaintiff’</w:t>
      </w:r>
      <w:r>
        <w:rPr>
          <w:rFonts w:hint="eastAsia"/>
        </w:rPr>
        <w:t xml:space="preserve">s mother required a wheelchair in order to disembark from an aircraft at Heathrow Airport, and a employee of the defendant wheeled her off the aircraft and on to a moving walkway or travelator inside the terminal building. The </w:t>
      </w:r>
      <w:r>
        <w:t>Plaintiff</w:t>
      </w:r>
      <w:r>
        <w:rPr>
          <w:rFonts w:hint="eastAsia"/>
        </w:rPr>
        <w:t xml:space="preserve">, who was standing close behind the wheelchair on the travelator, was injured. It was ruled that the Convention did not apply as the </w:t>
      </w:r>
      <w:r>
        <w:t>Plaintiff</w:t>
      </w:r>
      <w:r>
        <w:rPr>
          <w:rFonts w:hint="eastAsia"/>
        </w:rPr>
        <w:t xml:space="preserve"> was not engaged upon the operation of disembarking at the time when she sustain</w:t>
      </w:r>
      <w:r>
        <w:rPr>
          <w:rFonts w:hint="eastAsia"/>
        </w:rPr>
        <w:t xml:space="preserve">ed her injuries. A triparte test suggested that the court should consider the location of the injured passenger, the nature of his activity and whether he was under the control of the carrier at the time of his injury. By relying on the test, the UK Court of Appeal ruled that the claim was not governed by the provisions of the </w:t>
      </w:r>
      <w:r>
        <w:t>Convention</w:t>
      </w:r>
      <w:r>
        <w:rPr>
          <w:rFonts w:hint="eastAsia"/>
        </w:rPr>
        <w:t xml:space="preserve"> and was not time-barred.</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 point to be resolved was whether the injury sustained by the </w:t>
      </w:r>
      <w:r>
        <w:t>Plaintiff</w:t>
      </w:r>
      <w:r>
        <w:rPr>
          <w:rFonts w:hint="eastAsia"/>
        </w:rPr>
        <w:t xml:space="preserve"> was caused </w:t>
      </w:r>
      <w:r>
        <w:t>“</w:t>
      </w:r>
      <w:r>
        <w:rPr>
          <w:rFonts w:hint="eastAsia"/>
        </w:rPr>
        <w:t xml:space="preserve">in the course of any of the operation of </w:t>
      </w:r>
      <w:r>
        <w:t>…</w:t>
      </w:r>
      <w:r>
        <w:rPr>
          <w:rFonts w:hint="eastAsia"/>
        </w:rPr>
        <w:t xml:space="preserve"> disembarking.</w:t>
      </w:r>
      <w:r>
        <w:t>”</w:t>
      </w:r>
      <w:r>
        <w:rPr>
          <w:rFonts w:hint="eastAsia"/>
        </w:rPr>
        <w:t xml:space="preserve"> I got no assistance as to whether there is any authority specifically deals with the meaning of those words. The case </w:t>
      </w:r>
      <w:r>
        <w:rPr>
          <w:rFonts w:hint="eastAsia"/>
          <w:u w:val="single"/>
        </w:rPr>
        <w:t>MacDonald v Air Canada</w:t>
      </w:r>
      <w:r>
        <w:rPr>
          <w:rFonts w:hint="eastAsia"/>
        </w:rPr>
        <w:t xml:space="preserve"> 439 F.2d 1402 (1</w:t>
      </w:r>
      <w:r>
        <w:rPr>
          <w:rFonts w:hint="eastAsia"/>
          <w:vertAlign w:val="superscript"/>
        </w:rPr>
        <w:t>st</w:t>
      </w:r>
      <w:r>
        <w:rPr>
          <w:rFonts w:hint="eastAsia"/>
        </w:rPr>
        <w:t xml:space="preserve"> Circ., 1971) was cited. In that case, the United States Court of Appeals concluded that </w:t>
      </w:r>
      <w:r>
        <w:t>“</w:t>
      </w:r>
      <w:r>
        <w:rPr>
          <w:rFonts w:hint="eastAsia"/>
        </w:rPr>
        <w:t>if these words [operations of disembarking] are given their ordinary meaning, it would seem that the operation of disembarking has terminated by the time the passenger has descended f</w:t>
      </w:r>
      <w:r>
        <w:rPr>
          <w:rFonts w:hint="eastAsia"/>
        </w:rPr>
        <w:t xml:space="preserve">rom the plane by the use of whatever mechanical means have been supplied and has reached a safe point inside the terminal, even though he may remain in the </w:t>
      </w:r>
      <w:r>
        <w:t>status</w:t>
      </w:r>
      <w:r>
        <w:rPr>
          <w:rFonts w:hint="eastAsia"/>
        </w:rPr>
        <w:t xml:space="preserve"> of a passenger of the carrier </w:t>
      </w:r>
      <w:r>
        <w:t>while</w:t>
      </w:r>
      <w:r>
        <w:rPr>
          <w:rFonts w:hint="eastAsia"/>
        </w:rPr>
        <w:t xml:space="preserve"> inside the building.</w:t>
      </w:r>
      <w:r>
        <w:t>”</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Counsel for the </w:t>
      </w:r>
      <w:r>
        <w:t>Plaintiff</w:t>
      </w:r>
      <w:r>
        <w:rPr>
          <w:rFonts w:hint="eastAsia"/>
        </w:rPr>
        <w:t xml:space="preserve"> submitted that in the present case, disembarkation took effect once the </w:t>
      </w:r>
      <w:r>
        <w:t>Plaintiff</w:t>
      </w:r>
      <w:r>
        <w:rPr>
          <w:rFonts w:hint="eastAsia"/>
        </w:rPr>
        <w:t xml:space="preserve"> has reached a safe point in the terminal even though he was still regarded as a passenger of the carrier.</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In my view, by applying the triparte test based on activity, location and control, the cases cited above can be distinguished from </w:t>
      </w:r>
      <w:r>
        <w:t>the</w:t>
      </w:r>
      <w:r>
        <w:rPr>
          <w:rFonts w:hint="eastAsia"/>
        </w:rPr>
        <w:t xml:space="preserve"> present case. Here the </w:t>
      </w:r>
      <w:r>
        <w:t>Plaintiff</w:t>
      </w:r>
      <w:r>
        <w:rPr>
          <w:rFonts w:hint="eastAsia"/>
        </w:rPr>
        <w:t xml:space="preserve"> was the UM of </w:t>
      </w:r>
      <w:r>
        <w:t>the</w:t>
      </w:r>
      <w:r>
        <w:rPr>
          <w:rFonts w:hint="eastAsia"/>
        </w:rPr>
        <w:t xml:space="preserve"> airline. Although there was no evidence presented as to the exact scope and nature of being a UM of the airline, it is not difficult to envisage that an UM should not be taken as an ordinary passenger as such and he would not be allowed to go anywhere he wanted to even though he had left the airplane and was still in the airport. The UM has to be accompanied by the airline staff to clear the Immigration and Customs checkpoints. The UM was under the cont</w:t>
      </w:r>
      <w:r>
        <w:rPr>
          <w:rFonts w:hint="eastAsia"/>
        </w:rPr>
        <w:t xml:space="preserve">rol of the airline or its agent. The UM has to be literally delivered to the appointed guardian at the airport before the duty of escorting a UM by the airline could be fully discharged. In the </w:t>
      </w:r>
      <w:r>
        <w:t>circumstances</w:t>
      </w:r>
      <w:r>
        <w:rPr>
          <w:rFonts w:hint="eastAsia"/>
        </w:rPr>
        <w:t xml:space="preserve">, I find that the </w:t>
      </w:r>
      <w:r>
        <w:t>Plaintiff</w:t>
      </w:r>
      <w:r>
        <w:rPr>
          <w:rFonts w:hint="eastAsia"/>
        </w:rPr>
        <w:t xml:space="preserve"> was still in the process of disembarking up till the </w:t>
      </w:r>
      <w:r>
        <w:t>Plaintiff</w:t>
      </w:r>
      <w:r>
        <w:rPr>
          <w:rFonts w:hint="eastAsia"/>
        </w:rPr>
        <w:t xml:space="preserve"> was actually handed over to the appointed guardian at the airport. In these </w:t>
      </w:r>
      <w:r>
        <w:t>circumstances</w:t>
      </w:r>
      <w:r>
        <w:rPr>
          <w:rFonts w:hint="eastAsia"/>
        </w:rPr>
        <w:t>, Art.17 is applicable in this case.</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The effect of Art.17 is to displace completely the passenger</w:t>
      </w:r>
      <w:r>
        <w:t>’</w:t>
      </w:r>
      <w:r>
        <w:rPr>
          <w:rFonts w:hint="eastAsia"/>
        </w:rPr>
        <w:t xml:space="preserve">s rights at common law. As per Lord Hope of Craighead in </w:t>
      </w:r>
      <w:r>
        <w:rPr>
          <w:rFonts w:hint="eastAsia"/>
          <w:u w:val="single"/>
        </w:rPr>
        <w:t>Sidu v British Airways</w:t>
      </w:r>
      <w:r>
        <w:rPr>
          <w:rFonts w:hint="eastAsia"/>
        </w:rPr>
        <w:t xml:space="preserve"> [1997] AC 430 at 447F:-</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ind w:left="1400" w:right="860"/>
        <w:jc w:val="both"/>
        <w:rPr>
          <w:sz w:val="24"/>
        </w:rPr>
      </w:pPr>
      <w:r>
        <w:rPr>
          <w:sz w:val="24"/>
        </w:rPr>
        <w:t>“</w:t>
      </w:r>
      <w:r>
        <w:rPr>
          <w:rFonts w:hint="eastAsia"/>
          <w:sz w:val="24"/>
        </w:rPr>
        <w:t xml:space="preserve">The intention seems to be to provide a secure regime, within which the </w:t>
      </w:r>
      <w:r>
        <w:rPr>
          <w:sz w:val="24"/>
        </w:rPr>
        <w:t>restriction</w:t>
      </w:r>
      <w:r>
        <w:rPr>
          <w:rFonts w:hint="eastAsia"/>
          <w:sz w:val="24"/>
        </w:rPr>
        <w:t xml:space="preserve"> on the carrier</w:t>
      </w:r>
      <w:r>
        <w:rPr>
          <w:sz w:val="24"/>
        </w:rPr>
        <w:t>’</w:t>
      </w:r>
      <w:r>
        <w:rPr>
          <w:rFonts w:hint="eastAsia"/>
          <w:sz w:val="24"/>
        </w:rPr>
        <w:t xml:space="preserve">s freedom of contract is to operate. Benefits are given to the passenger in return, but only in clearly defined </w:t>
      </w:r>
      <w:r>
        <w:rPr>
          <w:sz w:val="24"/>
        </w:rPr>
        <w:t>circumstances</w:t>
      </w:r>
      <w:r>
        <w:rPr>
          <w:rFonts w:hint="eastAsia"/>
          <w:sz w:val="24"/>
        </w:rPr>
        <w:t xml:space="preserve"> to which the limits of liability set out by the Convention are to apply. To permit exceptions, whereby a passenger could sue outwith the Convention for losses sustained in the course of international </w:t>
      </w:r>
      <w:r>
        <w:rPr>
          <w:sz w:val="24"/>
        </w:rPr>
        <w:t>carriage</w:t>
      </w:r>
      <w:r>
        <w:rPr>
          <w:rFonts w:hint="eastAsia"/>
          <w:sz w:val="24"/>
        </w:rPr>
        <w:t xml:space="preserve"> by air, would distort the whole system, even in cases for </w:t>
      </w:r>
      <w:r>
        <w:rPr>
          <w:sz w:val="24"/>
        </w:rPr>
        <w:t>which</w:t>
      </w:r>
      <w:r>
        <w:rPr>
          <w:rFonts w:hint="eastAsia"/>
          <w:sz w:val="24"/>
        </w:rPr>
        <w:t xml:space="preserve"> the Convention </w:t>
      </w:r>
      <w:r>
        <w:rPr>
          <w:rFonts w:hint="eastAsia"/>
          <w:sz w:val="24"/>
        </w:rPr>
        <w:t xml:space="preserve">did not create any liability on the part of carrier. Thus the purpose is to ensure </w:t>
      </w:r>
      <w:r>
        <w:rPr>
          <w:sz w:val="24"/>
        </w:rPr>
        <w:t>…</w:t>
      </w:r>
      <w:r>
        <w:rPr>
          <w:rFonts w:hint="eastAsia"/>
          <w:sz w:val="24"/>
        </w:rPr>
        <w:t xml:space="preserve"> it is the provisions of the Convention which apply and that the passenger does not have access to any other remedies, whether under the common law or otherwise, which may be available within the particular country where he chooses to raise his action.</w:t>
      </w:r>
      <w:r>
        <w:rPr>
          <w:sz w:val="24"/>
        </w:rPr>
        <w:t>”</w:t>
      </w:r>
    </w:p>
    <w:p w:rsidR="008D7509" w:rsidRDefault="008D7509">
      <w:pPr>
        <w:tabs>
          <w:tab w:val="clear" w:pos="4320"/>
          <w:tab w:val="clear" w:pos="9072"/>
        </w:tabs>
        <w:snapToGrid/>
        <w:ind w:left="1400" w:right="860"/>
        <w:jc w:val="both"/>
        <w:rPr>
          <w:rFonts w:hint="eastAsia"/>
          <w:sz w:val="24"/>
        </w:rPr>
      </w:pPr>
    </w:p>
    <w:p w:rsidR="008D7509" w:rsidRDefault="008D7509">
      <w:pPr>
        <w:tabs>
          <w:tab w:val="clear" w:pos="4320"/>
          <w:tab w:val="clear" w:pos="9072"/>
        </w:tabs>
        <w:snapToGrid/>
        <w:spacing w:line="360" w:lineRule="auto"/>
        <w:jc w:val="both"/>
        <w:rPr>
          <w:rFonts w:hint="eastAsia"/>
        </w:rPr>
      </w:pPr>
    </w:p>
    <w:p w:rsidR="008D7509" w:rsidRDefault="008D7509">
      <w:pPr>
        <w:pStyle w:val="Heading1"/>
        <w:spacing w:line="360" w:lineRule="auto"/>
        <w:jc w:val="both"/>
        <w:rPr>
          <w:rFonts w:ascii="Times New Roman" w:hAnsi="Times New Roman" w:hint="eastAsia"/>
        </w:rPr>
      </w:pPr>
      <w:r>
        <w:rPr>
          <w:rFonts w:ascii="Times New Roman" w:hAnsi="Times New Roman" w:hint="eastAsia"/>
        </w:rPr>
        <w:t>The First Issue - Jurisdiction</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Now I turn to the first legal issue involved, namely, the jurisdiction of the </w:t>
      </w:r>
      <w:r>
        <w:t>Hong Kong</w:t>
      </w:r>
      <w:r>
        <w:rPr>
          <w:rFonts w:hint="eastAsia"/>
        </w:rPr>
        <w:t xml:space="preserve"> courts. To this end, Art.28 comes into play.</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Art.28(1)  reads as follows:-</w:t>
      </w:r>
    </w:p>
    <w:p w:rsidR="008D7509" w:rsidRDefault="008D7509">
      <w:pPr>
        <w:tabs>
          <w:tab w:val="clear" w:pos="4320"/>
          <w:tab w:val="clear" w:pos="9072"/>
        </w:tabs>
        <w:snapToGrid/>
        <w:spacing w:line="360" w:lineRule="auto"/>
        <w:jc w:val="both"/>
      </w:pPr>
    </w:p>
    <w:p w:rsidR="008D7509" w:rsidRDefault="008D7509">
      <w:pPr>
        <w:tabs>
          <w:tab w:val="clear" w:pos="4320"/>
          <w:tab w:val="clear" w:pos="9072"/>
        </w:tabs>
        <w:snapToGrid/>
        <w:ind w:left="1400" w:right="860"/>
        <w:jc w:val="both"/>
        <w:rPr>
          <w:sz w:val="24"/>
        </w:rPr>
      </w:pPr>
      <w:r>
        <w:rPr>
          <w:sz w:val="24"/>
        </w:rPr>
        <w:t>“</w:t>
      </w:r>
      <w:r>
        <w:rPr>
          <w:rFonts w:hint="eastAsia"/>
          <w:sz w:val="24"/>
        </w:rPr>
        <w:t xml:space="preserve">An action for damages must be brought, at the option of the </w:t>
      </w:r>
      <w:r>
        <w:rPr>
          <w:sz w:val="24"/>
        </w:rPr>
        <w:t>Plaintiff</w:t>
      </w:r>
      <w:r>
        <w:rPr>
          <w:rFonts w:hint="eastAsia"/>
          <w:sz w:val="24"/>
        </w:rPr>
        <w:t xml:space="preserve">, in the territory of one of the High Contracting Parties, </w:t>
      </w:r>
      <w:r>
        <w:rPr>
          <w:sz w:val="24"/>
        </w:rPr>
        <w:t>either</w:t>
      </w:r>
      <w:r>
        <w:rPr>
          <w:rFonts w:hint="eastAsia"/>
          <w:sz w:val="24"/>
        </w:rPr>
        <w:t xml:space="preserve"> before the court having jurisdiction where the carrier is ordinarily resident, or has his principal place of </w:t>
      </w:r>
      <w:r>
        <w:rPr>
          <w:sz w:val="24"/>
        </w:rPr>
        <w:t>business</w:t>
      </w:r>
      <w:r>
        <w:rPr>
          <w:rFonts w:hint="eastAsia"/>
          <w:sz w:val="24"/>
        </w:rPr>
        <w:t>, or has an establishment by which the contract has been made or before the court having jurisdiction at the place of destination.</w:t>
      </w:r>
      <w:r>
        <w:rPr>
          <w:sz w:val="24"/>
        </w:rPr>
        <w:t>”</w:t>
      </w:r>
    </w:p>
    <w:p w:rsidR="008D7509" w:rsidRDefault="008D7509">
      <w:pPr>
        <w:tabs>
          <w:tab w:val="clear" w:pos="4320"/>
          <w:tab w:val="clear" w:pos="9072"/>
        </w:tabs>
        <w:snapToGrid/>
        <w:ind w:left="1400" w:right="860"/>
        <w:jc w:val="both"/>
        <w:rPr>
          <w:rFonts w:hint="eastAsia"/>
          <w:sz w:val="24"/>
        </w:rPr>
      </w:pP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In the present case, the return ticket was bought by the </w:t>
      </w:r>
      <w:r>
        <w:t>Plaintiff’</w:t>
      </w:r>
      <w:r>
        <w:rPr>
          <w:rFonts w:hint="eastAsia"/>
        </w:rPr>
        <w:t xml:space="preserve">s uncle in Malaysia. The contract of carriage was made between the parties, not by reference to a particular journey or flight. There is one place of departure and one place of </w:t>
      </w:r>
      <w:r>
        <w:t>destination</w:t>
      </w:r>
      <w:r>
        <w:rPr>
          <w:rFonts w:hint="eastAsia"/>
        </w:rPr>
        <w:t xml:space="preserve"> for the purposes of the Convention. In </w:t>
      </w:r>
      <w:r>
        <w:rPr>
          <w:rFonts w:hint="eastAsia"/>
          <w:u w:val="single"/>
        </w:rPr>
        <w:t>Grein v Imperial Airways Ltd</w:t>
      </w:r>
      <w:r>
        <w:rPr>
          <w:rFonts w:hint="eastAsia"/>
        </w:rPr>
        <w:t xml:space="preserve"> [1937] 1 KB 50, the </w:t>
      </w:r>
      <w:r>
        <w:t>Plaintiff</w:t>
      </w:r>
      <w:r>
        <w:rPr>
          <w:rFonts w:hint="eastAsia"/>
        </w:rPr>
        <w:t xml:space="preserve"> took a ticket from London to Antwerp and back, with an agreed stopping place at Brussels, by the defendant</w:t>
      </w:r>
      <w:r>
        <w:t>’</w:t>
      </w:r>
      <w:r>
        <w:rPr>
          <w:rFonts w:hint="eastAsia"/>
        </w:rPr>
        <w:t xml:space="preserve">s air service. On the journey back from Antwerp to London, the </w:t>
      </w:r>
      <w:r>
        <w:t>aero</w:t>
      </w:r>
      <w:r>
        <w:rPr>
          <w:rFonts w:hint="eastAsia"/>
        </w:rPr>
        <w:t>p</w:t>
      </w:r>
      <w:r>
        <w:t>lane</w:t>
      </w:r>
      <w:r>
        <w:rPr>
          <w:rFonts w:hint="eastAsia"/>
        </w:rPr>
        <w:t xml:space="preserve">, in which G was </w:t>
      </w:r>
      <w:r>
        <w:t>traveling</w:t>
      </w:r>
      <w:r>
        <w:rPr>
          <w:rFonts w:hint="eastAsia"/>
        </w:rPr>
        <w:t>, was wrec</w:t>
      </w:r>
      <w:r>
        <w:rPr>
          <w:rFonts w:hint="eastAsia"/>
        </w:rPr>
        <w:t>ked in Belgium, and G was killed. In that case, the UK Court of Appeal (at p.77) considered  that:</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ind w:left="1400" w:right="860"/>
        <w:jc w:val="both"/>
        <w:rPr>
          <w:sz w:val="24"/>
        </w:rPr>
      </w:pPr>
      <w:r>
        <w:rPr>
          <w:sz w:val="24"/>
        </w:rPr>
        <w:t>“</w:t>
      </w:r>
      <w:r>
        <w:rPr>
          <w:rFonts w:hint="eastAsia"/>
          <w:sz w:val="24"/>
        </w:rPr>
        <w:t xml:space="preserve"> </w:t>
      </w:r>
      <w:r>
        <w:rPr>
          <w:sz w:val="24"/>
        </w:rPr>
        <w:t>…</w:t>
      </w:r>
      <w:r>
        <w:rPr>
          <w:rFonts w:hint="eastAsia"/>
          <w:sz w:val="24"/>
        </w:rPr>
        <w:t xml:space="preserve"> the [Warsaw] Convention lays down rules governing the terms and operation of contracts of carriage which will be enforced in the courts of the High Contracting Parties. The rules are rules relating not to journeys, not to flights, not to parts of journeys, but to carriage performed under one contract of carriage. The contract is , so to speak, the unit to which attention is to be paid in considering whether the carriage to be performed under it is international or not. It is next to be observed that the </w:t>
      </w:r>
      <w:r>
        <w:rPr>
          <w:rFonts w:hint="eastAsia"/>
          <w:sz w:val="24"/>
        </w:rPr>
        <w:t xml:space="preserve">fact that there is a break in the </w:t>
      </w:r>
      <w:r>
        <w:rPr>
          <w:sz w:val="24"/>
        </w:rPr>
        <w:t>carriage</w:t>
      </w:r>
      <w:r>
        <w:rPr>
          <w:rFonts w:hint="eastAsia"/>
          <w:sz w:val="24"/>
        </w:rPr>
        <w:t xml:space="preserve"> is immaterial. In other words, once the contract is ascertained to be a contract for the class of carriage described, it matters not that the journey is broken. </w:t>
      </w:r>
      <w:r>
        <w:rPr>
          <w:sz w:val="24"/>
        </w:rPr>
        <w:t>…</w:t>
      </w:r>
      <w:r>
        <w:rPr>
          <w:rFonts w:hint="eastAsia"/>
          <w:sz w:val="24"/>
        </w:rPr>
        <w:t xml:space="preserve"> [I]n the minds of the parties to </w:t>
      </w:r>
      <w:r>
        <w:rPr>
          <w:sz w:val="24"/>
        </w:rPr>
        <w:t>the</w:t>
      </w:r>
      <w:r>
        <w:rPr>
          <w:rFonts w:hint="eastAsia"/>
          <w:sz w:val="24"/>
        </w:rPr>
        <w:t xml:space="preserve"> Convention every contract of carriage has one place of departure and one place of destination. An intermediate place at which the carriage may be broken </w:t>
      </w:r>
      <w:r>
        <w:rPr>
          <w:sz w:val="24"/>
        </w:rPr>
        <w:t>is not regarded as a ‘</w:t>
      </w:r>
      <w:r>
        <w:rPr>
          <w:rFonts w:hint="eastAsia"/>
          <w:sz w:val="24"/>
        </w:rPr>
        <w:t xml:space="preserve">place of </w:t>
      </w:r>
      <w:r>
        <w:rPr>
          <w:sz w:val="24"/>
        </w:rPr>
        <w:t>destination’</w:t>
      </w:r>
      <w:r>
        <w:rPr>
          <w:rFonts w:hint="eastAsia"/>
          <w:sz w:val="24"/>
        </w:rPr>
        <w:t>.</w:t>
      </w:r>
      <w:r>
        <w:rPr>
          <w:sz w:val="24"/>
        </w:rPr>
        <w:t>”</w:t>
      </w:r>
    </w:p>
    <w:p w:rsidR="008D7509" w:rsidRDefault="008D7509">
      <w:pPr>
        <w:tabs>
          <w:tab w:val="clear" w:pos="4320"/>
          <w:tab w:val="clear" w:pos="9072"/>
        </w:tabs>
        <w:snapToGrid/>
        <w:ind w:left="1400" w:right="860"/>
        <w:jc w:val="both"/>
        <w:rPr>
          <w:rFonts w:hint="eastAsia"/>
          <w:sz w:val="24"/>
        </w:rPr>
      </w:pP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The Court further held, at p.81, that:</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ind w:left="1400" w:right="860"/>
        <w:jc w:val="both"/>
        <w:rPr>
          <w:rFonts w:hint="eastAsia"/>
          <w:sz w:val="24"/>
        </w:rPr>
      </w:pPr>
      <w:r>
        <w:rPr>
          <w:sz w:val="24"/>
        </w:rPr>
        <w:t>“</w:t>
      </w:r>
      <w:r>
        <w:rPr>
          <w:rFonts w:hint="eastAsia"/>
          <w:sz w:val="24"/>
        </w:rPr>
        <w:t xml:space="preserve">[T]he contract by reference to which the place of departure and the place of destination are to be ascertained may be any contract of carriage whether for a single journey, for a circular journey of for a return journey; the place of departure and the place of destination mean the places at which under the particular contract in question the contractual carriage begins and ends. In the case of a return journey this will be or include, as the case may be, the place out to and back from which by the contract </w:t>
      </w:r>
      <w:r>
        <w:rPr>
          <w:rFonts w:hint="eastAsia"/>
          <w:sz w:val="24"/>
        </w:rPr>
        <w:t>the passenger is to be carried.</w:t>
      </w:r>
      <w:r>
        <w:rPr>
          <w:sz w:val="24"/>
        </w:rPr>
        <w:t>”</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 case of </w:t>
      </w:r>
      <w:r>
        <w:rPr>
          <w:rFonts w:hint="eastAsia"/>
          <w:u w:val="single"/>
        </w:rPr>
        <w:t>Grein</w:t>
      </w:r>
      <w:r>
        <w:rPr>
          <w:rFonts w:hint="eastAsia"/>
        </w:rPr>
        <w:t xml:space="preserve"> was adopted by the </w:t>
      </w:r>
      <w:r>
        <w:t>Hong Kong</w:t>
      </w:r>
      <w:r>
        <w:rPr>
          <w:rFonts w:hint="eastAsia"/>
        </w:rPr>
        <w:t xml:space="preserve"> Court of Appeal in </w:t>
      </w:r>
      <w:r>
        <w:rPr>
          <w:rFonts w:hint="eastAsia"/>
          <w:u w:val="single"/>
        </w:rPr>
        <w:t>Manohar t/a Vinamito Trading House v Hill &amp; Delamain (</w:t>
      </w:r>
      <w:r>
        <w:rPr>
          <w:u w:val="single"/>
        </w:rPr>
        <w:t>Hong Kong</w:t>
      </w:r>
      <w:r>
        <w:rPr>
          <w:rFonts w:hint="eastAsia"/>
          <w:u w:val="single"/>
        </w:rPr>
        <w:t xml:space="preserve">) Ltd </w:t>
      </w:r>
      <w:r>
        <w:rPr>
          <w:rFonts w:hint="eastAsia"/>
        </w:rPr>
        <w:t>[1993] 2 HKC 342 at 345-A where Litton JA (as he then was) held that:</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ind w:left="1400" w:right="860"/>
        <w:jc w:val="both"/>
        <w:rPr>
          <w:sz w:val="24"/>
        </w:rPr>
      </w:pPr>
      <w:r>
        <w:rPr>
          <w:sz w:val="24"/>
        </w:rPr>
        <w:t>“</w:t>
      </w:r>
      <w:r>
        <w:rPr>
          <w:rFonts w:hint="eastAsia"/>
          <w:sz w:val="24"/>
        </w:rPr>
        <w:t>It should be borne in mind that in considering the amended Warsaw Convention the court is having to give meaning to words which, in other countries, may be expressed in a language other than English: those words should therefore not be construed in our courts restrictively.</w:t>
      </w:r>
      <w:r>
        <w:rPr>
          <w:sz w:val="24"/>
        </w:rPr>
        <w:t>”</w:t>
      </w:r>
    </w:p>
    <w:p w:rsidR="008D7509" w:rsidRDefault="008D7509">
      <w:pPr>
        <w:tabs>
          <w:tab w:val="clear" w:pos="4320"/>
          <w:tab w:val="clear" w:pos="9072"/>
        </w:tabs>
        <w:snapToGrid/>
        <w:ind w:left="1400" w:right="860"/>
        <w:jc w:val="both"/>
        <w:rPr>
          <w:rFonts w:hint="eastAsia"/>
          <w:sz w:val="24"/>
        </w:rPr>
      </w:pP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Whilst accepting the basic </w:t>
      </w:r>
      <w:r>
        <w:t>principles</w:t>
      </w:r>
      <w:r>
        <w:rPr>
          <w:rFonts w:hint="eastAsia"/>
        </w:rPr>
        <w:t xml:space="preserve"> as elicited in </w:t>
      </w:r>
      <w:r>
        <w:rPr>
          <w:rFonts w:hint="eastAsia"/>
          <w:u w:val="single"/>
        </w:rPr>
        <w:t>Grein</w:t>
      </w:r>
      <w:r>
        <w:rPr>
          <w:rFonts w:hint="eastAsia"/>
        </w:rPr>
        <w:t xml:space="preserve">, Counsel for the </w:t>
      </w:r>
      <w:r>
        <w:t>Plaintiff</w:t>
      </w:r>
      <w:r>
        <w:rPr>
          <w:rFonts w:hint="eastAsia"/>
        </w:rPr>
        <w:t xml:space="preserve"> submitted that </w:t>
      </w:r>
      <w:r>
        <w:t>Hong Kong</w:t>
      </w:r>
      <w:r>
        <w:rPr>
          <w:rFonts w:hint="eastAsia"/>
        </w:rPr>
        <w:t xml:space="preserve"> can be regarded as the place of destination as the return trip was severed by the accident. If that is the case, then it would bring this action within the jurisdiction of </w:t>
      </w:r>
      <w:r>
        <w:t>Hong Kong</w:t>
      </w:r>
      <w:r>
        <w:rPr>
          <w:rFonts w:hint="eastAsia"/>
        </w:rPr>
        <w:t xml:space="preserve"> courts by virtue of Art.28(1). </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There is a need to give the Convention a purposive interpretation and to consider the same as a whole. In my judgment, the fact that the return trip back to Kuala Lumpur by the </w:t>
      </w:r>
      <w:r>
        <w:t>Plaintiff</w:t>
      </w:r>
      <w:r>
        <w:rPr>
          <w:rFonts w:hint="eastAsia"/>
        </w:rPr>
        <w:t xml:space="preserve"> was abandoned because of the accident on 14 August 2004 cannot be taken to transform </w:t>
      </w:r>
      <w:r>
        <w:t>Hong Kong</w:t>
      </w:r>
      <w:r>
        <w:rPr>
          <w:rFonts w:hint="eastAsia"/>
        </w:rPr>
        <w:t xml:space="preserve">, being a stopping place in this contract of carriage, to the place of destination for the purpose of Art.28.   </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In the present case, it is my judgment that the intermediate stop at Hong Kong by the </w:t>
      </w:r>
      <w:r>
        <w:t>Plaintiff</w:t>
      </w:r>
      <w:r>
        <w:rPr>
          <w:rFonts w:hint="eastAsia"/>
        </w:rPr>
        <w:t xml:space="preserve"> did not break the contract of carriage. Under the contract of </w:t>
      </w:r>
      <w:r>
        <w:t>carriage</w:t>
      </w:r>
      <w:r>
        <w:rPr>
          <w:rFonts w:hint="eastAsia"/>
        </w:rPr>
        <w:t>, Kuala Lumpur was both the place of departure and destination of the contractual carriage for the purposes of the Convention.</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In the </w:t>
      </w:r>
      <w:r>
        <w:t>circumstances</w:t>
      </w:r>
      <w:r>
        <w:rPr>
          <w:rFonts w:hint="eastAsia"/>
        </w:rPr>
        <w:t xml:space="preserve">, with the purposive interpretation of Art.28, I find that the </w:t>
      </w:r>
      <w:r>
        <w:t>Hong Kong</w:t>
      </w:r>
      <w:r>
        <w:rPr>
          <w:rFonts w:hint="eastAsia"/>
        </w:rPr>
        <w:t xml:space="preserve"> courts do not have jurisdiction to hear the claims made by the </w:t>
      </w:r>
      <w:r>
        <w:t>Plaintiff</w:t>
      </w:r>
      <w:r>
        <w:rPr>
          <w:rFonts w:hint="eastAsia"/>
        </w:rPr>
        <w:t>.</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spacing w:line="360" w:lineRule="auto"/>
        <w:jc w:val="both"/>
        <w:rPr>
          <w:rFonts w:hint="eastAsia"/>
          <w:b/>
          <w:bCs/>
        </w:rPr>
      </w:pPr>
      <w:r>
        <w:rPr>
          <w:rFonts w:hint="eastAsia"/>
          <w:b/>
          <w:bCs/>
        </w:rPr>
        <w:t xml:space="preserve">The Second Issue </w:t>
      </w:r>
      <w:r>
        <w:rPr>
          <w:b/>
          <w:bCs/>
        </w:rPr>
        <w:t>–</w:t>
      </w:r>
      <w:r>
        <w:rPr>
          <w:rFonts w:hint="eastAsia"/>
          <w:b/>
          <w:bCs/>
        </w:rPr>
        <w:t xml:space="preserve"> Time Limit</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As I have ruled that the </w:t>
      </w:r>
      <w:r>
        <w:t>Hong Kong</w:t>
      </w:r>
      <w:r>
        <w:rPr>
          <w:rFonts w:hint="eastAsia"/>
        </w:rPr>
        <w:t xml:space="preserve"> courts have no jurisdiction to hear this claim, strictly speaking, I do not have to decide on the second legal issue relating to the time bar under Art.29. However, it is my judgment that the issue of time limit is an open-ended question and there may well be an arguable case for the </w:t>
      </w:r>
      <w:r>
        <w:t>Plaintiff</w:t>
      </w:r>
      <w:r>
        <w:rPr>
          <w:rFonts w:hint="eastAsia"/>
        </w:rPr>
        <w:t>.</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Art.29(1) reads as follows:</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ind w:left="1400" w:right="860"/>
        <w:jc w:val="both"/>
        <w:rPr>
          <w:sz w:val="24"/>
        </w:rPr>
      </w:pPr>
      <w:r>
        <w:rPr>
          <w:sz w:val="24"/>
        </w:rPr>
        <w:t>“</w:t>
      </w:r>
      <w:r>
        <w:rPr>
          <w:rFonts w:hint="eastAsia"/>
          <w:sz w:val="24"/>
        </w:rPr>
        <w:t xml:space="preserve"> The right to damages shall be extinguished if an action is not brought within 2 years, reckoned from the date of arrival at the destination, or from the date on </w:t>
      </w:r>
      <w:r>
        <w:rPr>
          <w:sz w:val="24"/>
        </w:rPr>
        <w:t>which</w:t>
      </w:r>
      <w:r>
        <w:rPr>
          <w:rFonts w:hint="eastAsia"/>
          <w:sz w:val="24"/>
        </w:rPr>
        <w:t xml:space="preserve"> the aircraft ought to have arrived, or from the date on which the carriage stopped.</w:t>
      </w:r>
      <w:r>
        <w:rPr>
          <w:sz w:val="24"/>
        </w:rPr>
        <w:t>”</w:t>
      </w:r>
    </w:p>
    <w:p w:rsidR="008D7509" w:rsidRDefault="008D7509">
      <w:pPr>
        <w:tabs>
          <w:tab w:val="clear" w:pos="4320"/>
          <w:tab w:val="clear" w:pos="9072"/>
        </w:tabs>
        <w:snapToGrid/>
        <w:ind w:left="1400" w:right="860"/>
        <w:jc w:val="both"/>
        <w:rPr>
          <w:rFonts w:hint="eastAsia"/>
          <w:sz w:val="24"/>
        </w:rPr>
      </w:pP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Both Counsel could not provide the rationale of or assist the court as to the real meaning of the last limb of Art.29(1), namely, </w:t>
      </w:r>
      <w:r>
        <w:t>“</w:t>
      </w:r>
      <w:r>
        <w:rPr>
          <w:rFonts w:hint="eastAsia"/>
        </w:rPr>
        <w:t>from the date on which the carriage stopped.</w:t>
      </w:r>
      <w:r>
        <w:t>”</w:t>
      </w:r>
      <w:r>
        <w:rPr>
          <w:rFonts w:hint="eastAsia"/>
        </w:rPr>
        <w:t xml:space="preserve"> Be that as it may, the purposive interpretation and the literal meaning of the provisions should be adopted. The Writ of summons was issued on 23 August 2006 and the accident was happened on 14 August 2004, a lapse of </w:t>
      </w:r>
      <w:r>
        <w:t>more</w:t>
      </w:r>
      <w:r>
        <w:rPr>
          <w:rFonts w:hint="eastAsia"/>
        </w:rPr>
        <w:t xml:space="preserve"> than 2 years.</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It is established that the discharge given by Art.29 is substantive not procedural in that the proceedings before the court must have been brought in time otherwise they must fail. It is a bar of a special kind, viz one which extinguishes the claim, not one which, as most English statutes of limitation and some international conventions do, bars the remedy while leaving the claim itself in existence: </w:t>
      </w:r>
      <w:r>
        <w:rPr>
          <w:rFonts w:hint="eastAsia"/>
          <w:u w:val="single"/>
        </w:rPr>
        <w:t>The Nordglimt</w:t>
      </w:r>
      <w:r>
        <w:rPr>
          <w:rFonts w:hint="eastAsia"/>
        </w:rPr>
        <w:t xml:space="preserve"> [1988] 1 QB 183 at p.190-D to G.</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left for </w:t>
      </w:r>
      <w:r>
        <w:t>Hong Kong</w:t>
      </w:r>
      <w:r>
        <w:rPr>
          <w:rFonts w:hint="eastAsia"/>
        </w:rPr>
        <w:t xml:space="preserve"> on 14 August 2004 and sustained injury on the day of his arrival in </w:t>
      </w:r>
      <w:r>
        <w:t>Hong Kong</w:t>
      </w:r>
      <w:r>
        <w:rPr>
          <w:rFonts w:hint="eastAsia"/>
        </w:rPr>
        <w:t xml:space="preserve">. He was scheduled to return to Kuala Lumpur on 21 August 2004. The </w:t>
      </w:r>
      <w:r>
        <w:t>Plaintiff</w:t>
      </w:r>
      <w:r>
        <w:rPr>
          <w:rFonts w:hint="eastAsia"/>
        </w:rPr>
        <w:t xml:space="preserve"> did not use the return ticket to return to Kuala Lumpur. Instead, in February or March 2005, the </w:t>
      </w:r>
      <w:r>
        <w:t>Plaintiff</w:t>
      </w:r>
      <w:r>
        <w:rPr>
          <w:rFonts w:hint="eastAsia"/>
        </w:rPr>
        <w:t xml:space="preserve"> returned to Australia direct with the use of another </w:t>
      </w:r>
      <w:r>
        <w:t>air ticket</w:t>
      </w:r>
      <w:r>
        <w:rPr>
          <w:rFonts w:hint="eastAsia"/>
        </w:rPr>
        <w:t xml:space="preserve"> which was purchased subsequently. No submissions were made in respect of the possibility of a variation of the contract of carriage as the original return ti</w:t>
      </w:r>
      <w:r>
        <w:rPr>
          <w:rFonts w:hint="eastAsia"/>
        </w:rPr>
        <w:t xml:space="preserve">cket had never been used by the </w:t>
      </w:r>
      <w:r>
        <w:t>Plaintiff</w:t>
      </w:r>
      <w:r>
        <w:rPr>
          <w:rFonts w:hint="eastAsia"/>
        </w:rPr>
        <w:t xml:space="preserve">. It is my judgment that the fact that the return trip was not used by the </w:t>
      </w:r>
      <w:r>
        <w:t>Plaintiff</w:t>
      </w:r>
      <w:r>
        <w:rPr>
          <w:rFonts w:hint="eastAsia"/>
        </w:rPr>
        <w:t xml:space="preserve"> might well be taken as a kind of variation of the contract of carriage depending on the nature and status of the air ticket that the </w:t>
      </w:r>
      <w:r>
        <w:t>Plaintiff</w:t>
      </w:r>
      <w:r>
        <w:rPr>
          <w:rFonts w:hint="eastAsia"/>
        </w:rPr>
        <w:t xml:space="preserve"> possessed at the time.</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 consider that the destination of the contract of carriage was Kuala Lumpur. Hence, the first limb of Art.29, namely, the date of arrival at the destination, is not applicable as the </w:t>
      </w:r>
      <w:r>
        <w:t>Plaintiff</w:t>
      </w:r>
      <w:r>
        <w:rPr>
          <w:rFonts w:hint="eastAsia"/>
        </w:rPr>
        <w:t xml:space="preserve"> never returned to Kuala Lumpur by using the same contract of carriage. The date of arrival should be the actual date the passenger arrived at the destination wherever it is under the contract of carriage.</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The second limb, that is, </w:t>
      </w:r>
      <w:r>
        <w:t>“</w:t>
      </w:r>
      <w:r>
        <w:rPr>
          <w:rFonts w:hint="eastAsia"/>
        </w:rPr>
        <w:t>from the date the aircraft ought to have arrived</w:t>
      </w:r>
      <w:r>
        <w:t>”</w:t>
      </w:r>
      <w:r>
        <w:rPr>
          <w:rFonts w:hint="eastAsia"/>
        </w:rPr>
        <w:t xml:space="preserve">, does not apply either as it seems that it applies to those, say, plane crash situation in which the aircraft could be said </w:t>
      </w:r>
      <w:r>
        <w:t>‘</w:t>
      </w:r>
      <w:r>
        <w:rPr>
          <w:rFonts w:hint="eastAsia"/>
        </w:rPr>
        <w:t>ought to have arrived</w:t>
      </w:r>
      <w:r>
        <w:t>’</w:t>
      </w:r>
      <w:r>
        <w:rPr>
          <w:rFonts w:hint="eastAsia"/>
        </w:rPr>
        <w:t xml:space="preserve"> but it never happened.  Counsel for the </w:t>
      </w:r>
      <w:r>
        <w:t>Defendant</w:t>
      </w:r>
      <w:r>
        <w:rPr>
          <w:rFonts w:hint="eastAsia"/>
        </w:rPr>
        <w:t xml:space="preserve"> submitted that as the return date of the original contract of carriage was 21 August 2004, hence 21 August should be taken as the date that the aircraft ought to have arrived. In this regard, the issue of the Writ by the </w:t>
      </w:r>
      <w:r>
        <w:t>Plaintiff</w:t>
      </w:r>
      <w:r>
        <w:rPr>
          <w:rFonts w:hint="eastAsia"/>
        </w:rPr>
        <w:t xml:space="preserve"> on 23 August 2006 still brought </w:t>
      </w:r>
      <w:r>
        <w:rPr>
          <w:rFonts w:hint="eastAsia"/>
        </w:rPr>
        <w:t xml:space="preserve">it outside the 2-year limit as prescribed by Art.29. If one has to give the Convention a purposive interpretation, the words </w:t>
      </w:r>
      <w:r>
        <w:t>“</w:t>
      </w:r>
      <w:r>
        <w:rPr>
          <w:rFonts w:hint="eastAsia"/>
        </w:rPr>
        <w:t>ought to have arrived</w:t>
      </w:r>
      <w:r>
        <w:t>”</w:t>
      </w:r>
      <w:r>
        <w:rPr>
          <w:rFonts w:hint="eastAsia"/>
        </w:rPr>
        <w:t xml:space="preserve"> should not simply be taken as the date as stated in the contract as it ignores the possibility of the contract of carriage being varied by, say, certain intervening events.</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For the third limb, namely, </w:t>
      </w:r>
      <w:r>
        <w:t>“</w:t>
      </w:r>
      <w:r>
        <w:rPr>
          <w:rFonts w:hint="eastAsia"/>
        </w:rPr>
        <w:t>from the date on which the carriage stopped</w:t>
      </w:r>
      <w:r>
        <w:t>”</w:t>
      </w:r>
      <w:r>
        <w:rPr>
          <w:rFonts w:hint="eastAsia"/>
        </w:rPr>
        <w:t xml:space="preserve">, it seems that there is no clear definition as to what constituted or caused a carriage stopped. It is to be noted that, unlike what is stated in the first limb, the second limb and third limb is connected by the disjunctive word </w:t>
      </w:r>
      <w:r>
        <w:t>‘</w:t>
      </w:r>
      <w:r>
        <w:rPr>
          <w:rFonts w:hint="eastAsia"/>
        </w:rPr>
        <w:t>or</w:t>
      </w:r>
      <w:r>
        <w:t>’</w:t>
      </w:r>
      <w:r>
        <w:rPr>
          <w:rFonts w:hint="eastAsia"/>
        </w:rPr>
        <w:t xml:space="preserve">. There should be two situations envisaged under the latter 2 limbs. There is no definition of carriage in the </w:t>
      </w:r>
      <w:r>
        <w:t>Ordinance</w:t>
      </w:r>
      <w:r>
        <w:rPr>
          <w:rFonts w:hint="eastAsia"/>
        </w:rPr>
        <w:t xml:space="preserve"> itself but Art.1 of the Convention provides the scope of the carriage. It can be argued that the date the carri</w:t>
      </w:r>
      <w:r>
        <w:rPr>
          <w:rFonts w:hint="eastAsia"/>
        </w:rPr>
        <w:t xml:space="preserve">age stopped was the date when the contract of carriage ceased to have any effect. If this argument is accepted then the issue of the Writ by the </w:t>
      </w:r>
      <w:r>
        <w:t>Plaintiff</w:t>
      </w:r>
      <w:r>
        <w:rPr>
          <w:rFonts w:hint="eastAsia"/>
        </w:rPr>
        <w:t xml:space="preserve"> might well be within the prescribed 2-year limit under Art.29.</w:t>
      </w:r>
    </w:p>
    <w:p w:rsidR="008D7509" w:rsidRDefault="008D7509">
      <w:pPr>
        <w:tabs>
          <w:tab w:val="clear" w:pos="4320"/>
          <w:tab w:val="clear" w:pos="9072"/>
        </w:tabs>
        <w:snapToGrid/>
        <w:spacing w:line="360" w:lineRule="auto"/>
        <w:jc w:val="both"/>
        <w:rPr>
          <w:rFonts w:hint="eastAsia"/>
        </w:rPr>
      </w:pPr>
    </w:p>
    <w:p w:rsidR="008D7509" w:rsidRDefault="008D7509">
      <w:pPr>
        <w:pStyle w:val="Heading1"/>
        <w:spacing w:line="360" w:lineRule="auto"/>
        <w:jc w:val="both"/>
        <w:rPr>
          <w:rFonts w:ascii="Times New Roman" w:hAnsi="Times New Roman" w:hint="eastAsia"/>
        </w:rPr>
      </w:pPr>
      <w:r>
        <w:rPr>
          <w:rFonts w:ascii="Times New Roman" w:hAnsi="Times New Roman" w:hint="eastAsia"/>
        </w:rPr>
        <w:t>The issue of mis-representation</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It was submitted by Counsel for the </w:t>
      </w:r>
      <w:r>
        <w:t>Plaintiff</w:t>
      </w:r>
      <w:r>
        <w:rPr>
          <w:rFonts w:hint="eastAsia"/>
        </w:rPr>
        <w:t xml:space="preserve"> that the issue of misrepresentation constitutes another sustainable claim which is outside the scope of the Convention. As such, it was argued that even if I ruled that the </w:t>
      </w:r>
      <w:r>
        <w:t>Hong Kong</w:t>
      </w:r>
      <w:r>
        <w:rPr>
          <w:rFonts w:hint="eastAsia"/>
        </w:rPr>
        <w:t xml:space="preserve"> courts have no jurisdiction to hear the present claim and that the </w:t>
      </w:r>
    </w:p>
    <w:p w:rsidR="008D7509" w:rsidRDefault="008D7509">
      <w:pPr>
        <w:tabs>
          <w:tab w:val="clear" w:pos="4320"/>
          <w:tab w:val="clear" w:pos="9072"/>
        </w:tabs>
        <w:snapToGrid/>
        <w:spacing w:line="360" w:lineRule="auto"/>
        <w:jc w:val="both"/>
        <w:rPr>
          <w:rFonts w:hint="eastAsia"/>
        </w:rPr>
      </w:pPr>
      <w:r>
        <w:rPr>
          <w:rFonts w:hint="eastAsia"/>
        </w:rPr>
        <w:t xml:space="preserve">present claim was time-barred, the </w:t>
      </w:r>
      <w:r>
        <w:t>Plaintiff</w:t>
      </w:r>
      <w:r>
        <w:rPr>
          <w:rFonts w:hint="eastAsia"/>
        </w:rPr>
        <w:t xml:space="preserve"> should be allowed to proceed with the claim under the ground of mis-representation.</w:t>
      </w:r>
    </w:p>
    <w:p w:rsidR="008D7509" w:rsidRDefault="008D7509">
      <w:pPr>
        <w:tabs>
          <w:tab w:val="clear" w:pos="4320"/>
          <w:tab w:val="clear" w:pos="9072"/>
        </w:tabs>
        <w:snapToGrid/>
        <w:spacing w:line="360" w:lineRule="auto"/>
        <w:jc w:val="both"/>
        <w:rPr>
          <w:rFonts w:hint="eastAsia"/>
        </w:rPr>
      </w:pP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In reply, Counsel for the </w:t>
      </w:r>
      <w:r>
        <w:t>Defendant</w:t>
      </w:r>
      <w:r>
        <w:rPr>
          <w:rFonts w:hint="eastAsia"/>
        </w:rPr>
        <w:t xml:space="preserve"> submitted that the issue of mis-representation was not pleaded in the Amended Statement of Claim dated 8 </w:t>
      </w:r>
      <w:r>
        <w:t>December</w:t>
      </w:r>
      <w:r>
        <w:rPr>
          <w:rFonts w:hint="eastAsia"/>
        </w:rPr>
        <w:t xml:space="preserve"> 2006. This is a separate issue. I agreed. Accordingly, it is my judgment that the </w:t>
      </w:r>
      <w:r>
        <w:t>Plaintiff</w:t>
      </w:r>
      <w:r>
        <w:rPr>
          <w:rFonts w:hint="eastAsia"/>
        </w:rPr>
        <w:t xml:space="preserve"> is not allowed to continue to proceed with his claim on the ground of mis-representation for the purpose of the present summons proceedings.</w:t>
      </w:r>
    </w:p>
    <w:p w:rsidR="008D7509" w:rsidRDefault="008D7509">
      <w:pPr>
        <w:tabs>
          <w:tab w:val="clear" w:pos="4320"/>
          <w:tab w:val="clear" w:pos="9072"/>
        </w:tabs>
        <w:snapToGrid/>
        <w:spacing w:line="360" w:lineRule="auto"/>
        <w:jc w:val="both"/>
        <w:rPr>
          <w:rFonts w:hint="eastAsia"/>
        </w:rPr>
      </w:pPr>
    </w:p>
    <w:p w:rsidR="008D7509" w:rsidRDefault="008D7509">
      <w:pPr>
        <w:pStyle w:val="Heading1"/>
        <w:spacing w:line="360" w:lineRule="auto"/>
        <w:jc w:val="both"/>
        <w:rPr>
          <w:rFonts w:ascii="Times New Roman" w:hAnsi="Times New Roman" w:hint="eastAsia"/>
        </w:rPr>
      </w:pPr>
      <w:r>
        <w:rPr>
          <w:rFonts w:ascii="Times New Roman" w:hAnsi="Times New Roman" w:hint="eastAsia"/>
        </w:rPr>
        <w:t>Order</w:t>
      </w:r>
    </w:p>
    <w:p w:rsidR="008D7509" w:rsidRDefault="008D7509">
      <w:pPr>
        <w:tabs>
          <w:tab w:val="clear" w:pos="4320"/>
          <w:tab w:val="clear" w:pos="9072"/>
        </w:tabs>
        <w:snapToGrid/>
        <w:spacing w:line="360" w:lineRule="auto"/>
        <w:jc w:val="both"/>
        <w:rPr>
          <w:rFonts w:hint="eastAsia"/>
        </w:rPr>
      </w:pPr>
    </w:p>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For the reasons aforesaid, I would grant the application of a declaration that the courts of </w:t>
      </w:r>
      <w:r>
        <w:t>Hong Kong</w:t>
      </w:r>
      <w:r>
        <w:rPr>
          <w:rFonts w:hint="eastAsia"/>
        </w:rPr>
        <w:t xml:space="preserve"> have no jurisdiction over the </w:t>
      </w:r>
      <w:r>
        <w:t>Defendant</w:t>
      </w:r>
      <w:r>
        <w:rPr>
          <w:rFonts w:hint="eastAsia"/>
        </w:rPr>
        <w:t xml:space="preserve"> in respect of the subject matter of the claim in this action. It is not necessary for me to make the ruling on the issue of time limit. In the </w:t>
      </w:r>
      <w:r>
        <w:t>circumstances</w:t>
      </w:r>
      <w:r>
        <w:rPr>
          <w:rFonts w:hint="eastAsia"/>
        </w:rPr>
        <w:t xml:space="preserve">, I rule the application made by the </w:t>
      </w:r>
      <w:r>
        <w:t>Defendant</w:t>
      </w:r>
      <w:r>
        <w:rPr>
          <w:rFonts w:hint="eastAsia"/>
        </w:rPr>
        <w:t xml:space="preserve"> successful to the extent that the Hong Kong courts have no jurisdiction in this matter and, accordingly, the </w:t>
      </w:r>
      <w:r>
        <w:t>Plaintiff’</w:t>
      </w:r>
      <w:r>
        <w:rPr>
          <w:rFonts w:hint="eastAsia"/>
        </w:rPr>
        <w:t>s action is dismissed under Order 33 Rule 7.</w:t>
      </w:r>
    </w:p>
    <w:p w:rsidR="008D7509" w:rsidRDefault="008D7509">
      <w:pPr>
        <w:tabs>
          <w:tab w:val="clear" w:pos="4320"/>
          <w:tab w:val="clear" w:pos="9072"/>
        </w:tabs>
        <w:snapToGrid/>
        <w:spacing w:line="360" w:lineRule="auto"/>
        <w:jc w:val="both"/>
        <w:rPr>
          <w:rFonts w:hint="eastAsia"/>
        </w:rPr>
      </w:pPr>
    </w:p>
    <w:p w:rsidR="008D7509" w:rsidRDefault="008D7509">
      <w:pPr>
        <w:pStyle w:val="Heading1"/>
        <w:spacing w:line="360" w:lineRule="auto"/>
        <w:jc w:val="both"/>
        <w:rPr>
          <w:rFonts w:ascii="Times New Roman" w:hAnsi="Times New Roman"/>
        </w:rPr>
      </w:pPr>
      <w:r>
        <w:rPr>
          <w:rFonts w:ascii="Times New Roman" w:hAnsi="Times New Roman" w:hint="eastAsia"/>
        </w:rPr>
        <w:t>Costs</w:t>
      </w:r>
    </w:p>
    <w:p w:rsidR="008D7509" w:rsidRDefault="008D7509"/>
    <w:p w:rsidR="008D7509" w:rsidRDefault="008D7509">
      <w:pPr>
        <w:numPr>
          <w:ilvl w:val="0"/>
          <w:numId w:val="52"/>
        </w:numPr>
        <w:tabs>
          <w:tab w:val="clear" w:pos="720"/>
          <w:tab w:val="clear" w:pos="4320"/>
          <w:tab w:val="clear" w:pos="9072"/>
        </w:tabs>
        <w:snapToGrid/>
        <w:spacing w:line="360" w:lineRule="auto"/>
        <w:ind w:left="0" w:firstLine="0"/>
        <w:jc w:val="both"/>
        <w:rPr>
          <w:rFonts w:hint="eastAsia"/>
        </w:rPr>
      </w:pPr>
      <w:r>
        <w:rPr>
          <w:rFonts w:hint="eastAsia"/>
        </w:rPr>
        <w:t xml:space="preserve">I </w:t>
      </w:r>
      <w:r>
        <w:t xml:space="preserve">make an order nisi that </w:t>
      </w:r>
      <w:r>
        <w:rPr>
          <w:rFonts w:hint="eastAsia"/>
        </w:rPr>
        <w:t xml:space="preserve">costs of this application and this action </w:t>
      </w:r>
      <w:r>
        <w:t xml:space="preserve">be </w:t>
      </w:r>
      <w:r>
        <w:rPr>
          <w:rFonts w:hint="eastAsia"/>
        </w:rPr>
        <w:t xml:space="preserve">to the </w:t>
      </w:r>
      <w:r>
        <w:t>Defendant</w:t>
      </w:r>
      <w:r>
        <w:rPr>
          <w:rFonts w:hint="eastAsia"/>
        </w:rPr>
        <w:t>, to be taxed if not agreed, with certificate for counsel and the Applicant</w:t>
      </w:r>
      <w:r>
        <w:t>’</w:t>
      </w:r>
      <w:r>
        <w:rPr>
          <w:rFonts w:hint="eastAsia"/>
        </w:rPr>
        <w:t xml:space="preserve">s own costs be taxed in accordance with the Legal Aid Regulations.  </w:t>
      </w:r>
      <w:r>
        <w:t>Such</w:t>
      </w:r>
      <w:r>
        <w:rPr>
          <w:rFonts w:hint="eastAsia"/>
        </w:rPr>
        <w:t xml:space="preserve"> order nisi </w:t>
      </w:r>
      <w:r>
        <w:t xml:space="preserve">is to be </w:t>
      </w:r>
      <w:r>
        <w:rPr>
          <w:rFonts w:hint="eastAsia"/>
        </w:rPr>
        <w:t xml:space="preserve">made absolute 14 days after </w:t>
      </w:r>
      <w:r>
        <w:t xml:space="preserve">the date of this </w:t>
      </w:r>
      <w:r>
        <w:rPr>
          <w:rFonts w:hint="eastAsia"/>
        </w:rPr>
        <w:t>judgment.</w:t>
      </w:r>
    </w:p>
    <w:p w:rsidR="008D7509" w:rsidRDefault="008D7509">
      <w:pPr>
        <w:tabs>
          <w:tab w:val="clear" w:pos="4320"/>
          <w:tab w:val="clear" w:pos="9072"/>
        </w:tabs>
        <w:snapToGrid/>
        <w:spacing w:line="360" w:lineRule="auto"/>
        <w:jc w:val="both"/>
        <w:rPr>
          <w:rFonts w:hint="eastAsia"/>
        </w:rPr>
      </w:pPr>
      <w:r>
        <w:rPr>
          <w:rFonts w:hint="eastAsia"/>
        </w:rPr>
        <w:t xml:space="preserve">                                                                              </w:t>
      </w:r>
    </w:p>
    <w:p w:rsidR="008D7509" w:rsidRDefault="008D7509">
      <w:pPr>
        <w:tabs>
          <w:tab w:val="clear" w:pos="1440"/>
          <w:tab w:val="clear" w:pos="4320"/>
          <w:tab w:val="clear" w:pos="9072"/>
          <w:tab w:val="center" w:pos="6020"/>
        </w:tabs>
        <w:snapToGrid/>
        <w:jc w:val="both"/>
      </w:pPr>
      <w:r>
        <w:tab/>
        <w:t xml:space="preserve">( </w:t>
      </w:r>
      <w:r>
        <w:rPr>
          <w:rFonts w:hint="eastAsia"/>
        </w:rPr>
        <w:t>Stanley Chan</w:t>
      </w:r>
      <w:r>
        <w:t xml:space="preserve"> )</w:t>
      </w:r>
    </w:p>
    <w:p w:rsidR="008D7509" w:rsidRDefault="008D7509">
      <w:pPr>
        <w:tabs>
          <w:tab w:val="clear" w:pos="1440"/>
          <w:tab w:val="clear" w:pos="4320"/>
          <w:tab w:val="clear" w:pos="9072"/>
          <w:tab w:val="center" w:pos="6020"/>
        </w:tabs>
        <w:snapToGrid/>
        <w:jc w:val="both"/>
        <w:rPr>
          <w:rFonts w:hint="eastAsia"/>
        </w:rPr>
      </w:pPr>
      <w:r>
        <w:tab/>
        <w:t>District Judge</w:t>
      </w:r>
    </w:p>
    <w:p w:rsidR="008D7509" w:rsidRDefault="008D7509">
      <w:pPr>
        <w:tabs>
          <w:tab w:val="clear" w:pos="4320"/>
          <w:tab w:val="clear" w:pos="9072"/>
        </w:tabs>
        <w:snapToGrid/>
        <w:spacing w:line="360" w:lineRule="auto"/>
        <w:jc w:val="both"/>
        <w:rPr>
          <w:rFonts w:hint="eastAsia"/>
          <w:color w:val="000000"/>
          <w:u w:val="single"/>
        </w:rPr>
      </w:pPr>
    </w:p>
    <w:p w:rsidR="008D7509" w:rsidRDefault="008D7509">
      <w:pPr>
        <w:tabs>
          <w:tab w:val="clear" w:pos="4320"/>
          <w:tab w:val="clear" w:pos="9072"/>
        </w:tabs>
        <w:snapToGrid/>
        <w:spacing w:line="360" w:lineRule="auto"/>
        <w:jc w:val="both"/>
        <w:rPr>
          <w:rFonts w:hint="eastAsia"/>
          <w:color w:val="000000"/>
          <w:u w:val="single"/>
        </w:rPr>
      </w:pPr>
    </w:p>
    <w:p w:rsidR="008D7509" w:rsidRDefault="008D7509">
      <w:pPr>
        <w:tabs>
          <w:tab w:val="clear" w:pos="4320"/>
          <w:tab w:val="clear" w:pos="9072"/>
        </w:tabs>
        <w:snapToGrid/>
        <w:spacing w:line="360" w:lineRule="auto"/>
        <w:jc w:val="both"/>
        <w:rPr>
          <w:rFonts w:hint="eastAsia"/>
          <w:color w:val="000000"/>
        </w:rPr>
      </w:pPr>
      <w:r>
        <w:rPr>
          <w:rFonts w:hint="eastAsia"/>
          <w:color w:val="000000"/>
          <w:u w:val="single"/>
        </w:rPr>
        <w:t>Representation</w:t>
      </w:r>
      <w:r>
        <w:rPr>
          <w:rFonts w:hint="eastAsia"/>
          <w:color w:val="000000"/>
        </w:rPr>
        <w:t>:</w:t>
      </w:r>
    </w:p>
    <w:p w:rsidR="008D7509" w:rsidRDefault="008D7509">
      <w:pPr>
        <w:tabs>
          <w:tab w:val="clear" w:pos="4320"/>
          <w:tab w:val="clear" w:pos="9072"/>
        </w:tabs>
        <w:snapToGrid/>
        <w:jc w:val="both"/>
      </w:pPr>
      <w:r>
        <w:rPr>
          <w:rFonts w:hint="eastAsia"/>
        </w:rPr>
        <w:t>M</w:t>
      </w:r>
      <w:r>
        <w:t>r</w:t>
      </w:r>
      <w:r>
        <w:rPr>
          <w:rFonts w:hint="eastAsia"/>
        </w:rPr>
        <w:t xml:space="preserve">. </w:t>
      </w:r>
      <w:r>
        <w:t xml:space="preserve">Thomas Lai </w:t>
      </w:r>
      <w:r>
        <w:rPr>
          <w:rFonts w:hint="eastAsia"/>
        </w:rPr>
        <w:t>instructed by</w:t>
      </w:r>
      <w:r>
        <w:t xml:space="preserve"> </w:t>
      </w:r>
      <w:r>
        <w:rPr>
          <w:rFonts w:hint="eastAsia"/>
        </w:rPr>
        <w:t xml:space="preserve">Messrs. </w:t>
      </w:r>
      <w:r>
        <w:t>Au Yeung, Cheng, Ho &amp; Tin</w:t>
      </w:r>
      <w:r>
        <w:rPr>
          <w:rFonts w:hint="eastAsia"/>
        </w:rPr>
        <w:t xml:space="preserve"> assigned by DLA for the </w:t>
      </w:r>
      <w:r>
        <w:t>Plaintiff</w:t>
      </w:r>
      <w:r>
        <w:rPr>
          <w:rFonts w:hint="eastAsia"/>
        </w:rPr>
        <w:t>.</w:t>
      </w:r>
    </w:p>
    <w:p w:rsidR="008D7509" w:rsidRDefault="008D7509">
      <w:pPr>
        <w:tabs>
          <w:tab w:val="clear" w:pos="4320"/>
          <w:tab w:val="clear" w:pos="9072"/>
        </w:tabs>
        <w:snapToGrid/>
        <w:jc w:val="both"/>
      </w:pPr>
    </w:p>
    <w:p w:rsidR="008D7509" w:rsidRDefault="008D7509">
      <w:pPr>
        <w:tabs>
          <w:tab w:val="clear" w:pos="4320"/>
          <w:tab w:val="clear" w:pos="9072"/>
        </w:tabs>
        <w:snapToGrid/>
        <w:jc w:val="both"/>
        <w:rPr>
          <w:rFonts w:hint="eastAsia"/>
        </w:rPr>
      </w:pPr>
      <w:r>
        <w:rPr>
          <w:rFonts w:hint="eastAsia"/>
        </w:rPr>
        <w:t>Mr</w:t>
      </w:r>
      <w:r>
        <w:t>.</w:t>
      </w:r>
      <w:r>
        <w:rPr>
          <w:rFonts w:hint="eastAsia"/>
        </w:rPr>
        <w:t xml:space="preserve"> </w:t>
      </w:r>
      <w:r>
        <w:t>Alexander Stock instructed by</w:t>
      </w:r>
      <w:r>
        <w:rPr>
          <w:rFonts w:hint="eastAsia"/>
        </w:rPr>
        <w:t xml:space="preserve"> Messrs. </w:t>
      </w:r>
      <w:r>
        <w:t>Clyde &amp; Co. for the Defendant.</w:t>
      </w:r>
    </w:p>
    <w:sectPr w:rsidR="00000000">
      <w:headerReference w:type="default" r:id="rId10"/>
      <w:type w:val="continuous"/>
      <w:pgSz w:w="11906" w:h="16838" w:code="9"/>
      <w:pgMar w:top="1800" w:right="1686"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7509" w:rsidRDefault="008D7509">
      <w:r>
        <w:separator/>
      </w:r>
    </w:p>
  </w:endnote>
  <w:endnote w:type="continuationSeparator" w:id="0">
    <w:p w:rsidR="008D7509" w:rsidRDefault="008D7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7509" w:rsidRDefault="008D75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7509" w:rsidRDefault="008D75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7509" w:rsidRDefault="008D7509">
    <w:pPr>
      <w:pStyle w:val="Footer"/>
      <w:framePr w:wrap="around" w:vAnchor="text" w:hAnchor="margin" w:xAlign="right" w:y="1"/>
      <w:rPr>
        <w:rStyle w:val="PageNumber"/>
      </w:rPr>
    </w:pPr>
  </w:p>
  <w:p w:rsidR="008D7509" w:rsidRDefault="008D7509">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7509" w:rsidRDefault="008D7509">
      <w:r>
        <w:separator/>
      </w:r>
    </w:p>
  </w:footnote>
  <w:footnote w:type="continuationSeparator" w:id="0">
    <w:p w:rsidR="008D7509" w:rsidRDefault="008D7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7509" w:rsidRDefault="008D7509">
    <w:pPr>
      <w:pStyle w:val="Header"/>
      <w:rPr>
        <w:rFonts w:hint="eastAsia"/>
      </w:rPr>
    </w:pPr>
    <w:r>
      <w:rPr>
        <w:noProof/>
        <w:sz w:val="20"/>
      </w:rPr>
    </w:r>
    <w:r w:rsidR="008D750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D7509" w:rsidRDefault="008D7509">
                <w:pPr>
                  <w:rPr>
                    <w:rFonts w:hint="eastAsia"/>
                    <w:b/>
                    <w:sz w:val="20"/>
                  </w:rPr>
                </w:pPr>
                <w:r>
                  <w:rPr>
                    <w:rFonts w:hint="eastAsia"/>
                    <w:b/>
                    <w:sz w:val="20"/>
                  </w:rPr>
                  <w:t>A</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B</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C</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2"/>
                  <w:rPr>
                    <w:rFonts w:hint="eastAsia"/>
                    <w:sz w:val="16"/>
                  </w:rPr>
                </w:pPr>
                <w:r>
                  <w:rPr>
                    <w:rFonts w:hint="eastAsia"/>
                  </w:rPr>
                  <w:t>D</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E</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F</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G</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H</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I</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J</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K</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L</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M</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N</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O</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P</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Q</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R</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S</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T</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U</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3"/>
                  <w:jc w:val="left"/>
                  <w:rPr>
                    <w:rFonts w:hint="eastAsia"/>
                  </w:rPr>
                </w:pPr>
                <w:r>
                  <w:rPr>
                    <w:rFonts w:hint="eastAsia"/>
                  </w:rPr>
                  <w:t>V</w:t>
                </w:r>
              </w:p>
            </w:txbxContent>
          </v:textbox>
        </v:shape>
      </w:pict>
    </w:r>
    <w:r>
      <w:rPr>
        <w:noProof/>
        <w:sz w:val="20"/>
      </w:rPr>
    </w:r>
    <w:r w:rsidR="008D750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D7509" w:rsidRDefault="008D7509">
                <w:pPr>
                  <w:rPr>
                    <w:rFonts w:eastAsia="SimHei" w:hint="eastAsia"/>
                    <w:b/>
                    <w:sz w:val="18"/>
                  </w:rPr>
                </w:pPr>
                <w:r>
                  <w:rPr>
                    <w:rFonts w:eastAsia="SimHei" w:hint="eastAsia"/>
                    <w:b/>
                    <w:sz w:val="18"/>
                  </w:rPr>
                  <w:t>由此</w:t>
                </w:r>
              </w:p>
            </w:txbxContent>
          </v:textbox>
        </v:shape>
      </w:pict>
    </w:r>
    <w:r>
      <w:rPr>
        <w:noProof/>
        <w:sz w:val="20"/>
      </w:rPr>
    </w:r>
    <w:r w:rsidR="008D750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D7509" w:rsidRDefault="008D7509">
                <w:pPr>
                  <w:rPr>
                    <w:rFonts w:hint="eastAsia"/>
                    <w:b/>
                    <w:sz w:val="20"/>
                  </w:rPr>
                </w:pPr>
                <w:r>
                  <w:rPr>
                    <w:rFonts w:hint="eastAsia"/>
                    <w:b/>
                    <w:sz w:val="20"/>
                  </w:rPr>
                  <w:t>A</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B</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C</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2"/>
                  <w:rPr>
                    <w:rFonts w:hint="eastAsia"/>
                    <w:sz w:val="16"/>
                  </w:rPr>
                </w:pPr>
                <w:r>
                  <w:rPr>
                    <w:rFonts w:hint="eastAsia"/>
                  </w:rPr>
                  <w:t>D</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E</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F</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G</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H</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I</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J</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K</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L</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M</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N</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O</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P</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Q</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R</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S</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T</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U</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7509" w:rsidRDefault="008D7509">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15</w:t>
    </w:r>
    <w:r>
      <w:rPr>
        <w:rStyle w:val="PageNumber"/>
        <w:sz w:val="28"/>
      </w:rPr>
      <w:fldChar w:fldCharType="end"/>
    </w:r>
    <w:r>
      <w:rPr>
        <w:rStyle w:val="PageNumber"/>
        <w:rFonts w:hint="eastAsia"/>
        <w:sz w:val="28"/>
      </w:rPr>
      <w:t xml:space="preserve">  -</w:t>
    </w:r>
    <w:r>
      <w:rPr>
        <w:noProof/>
        <w:sz w:val="28"/>
      </w:rPr>
    </w:r>
    <w:r w:rsidR="008D750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D7509" w:rsidRDefault="008D7509">
                <w:pPr>
                  <w:rPr>
                    <w:rFonts w:hint="eastAsia"/>
                    <w:b/>
                    <w:sz w:val="20"/>
                  </w:rPr>
                </w:pPr>
                <w:r>
                  <w:rPr>
                    <w:rFonts w:hint="eastAsia"/>
                    <w:b/>
                    <w:sz w:val="20"/>
                  </w:rPr>
                  <w:t>A</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B</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C</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2"/>
                  <w:rPr>
                    <w:rFonts w:hint="eastAsia"/>
                    <w:sz w:val="16"/>
                  </w:rPr>
                </w:pPr>
                <w:r>
                  <w:rPr>
                    <w:rFonts w:hint="eastAsia"/>
                  </w:rPr>
                  <w:t>D</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E</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F</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G</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H</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I</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J</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K</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L</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M</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N</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O</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P</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Q</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R</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S</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T</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U</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3"/>
                  <w:jc w:val="left"/>
                  <w:rPr>
                    <w:rFonts w:hint="eastAsia"/>
                  </w:rPr>
                </w:pPr>
                <w:r>
                  <w:rPr>
                    <w:rFonts w:hint="eastAsia"/>
                  </w:rPr>
                  <w:t>V</w:t>
                </w:r>
              </w:p>
            </w:txbxContent>
          </v:textbox>
        </v:shape>
      </w:pict>
    </w:r>
    <w:r>
      <w:rPr>
        <w:noProof/>
        <w:sz w:val="28"/>
      </w:rPr>
    </w:r>
    <w:r w:rsidR="008D750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D7509" w:rsidRDefault="008D7509">
                <w:pPr>
                  <w:rPr>
                    <w:rFonts w:eastAsia="SimHei" w:hint="eastAsia"/>
                    <w:b/>
                    <w:sz w:val="18"/>
                  </w:rPr>
                </w:pPr>
                <w:r>
                  <w:rPr>
                    <w:rFonts w:eastAsia="SimHei" w:hint="eastAsia"/>
                    <w:b/>
                    <w:sz w:val="18"/>
                  </w:rPr>
                  <w:t>由此</w:t>
                </w:r>
              </w:p>
            </w:txbxContent>
          </v:textbox>
        </v:shape>
      </w:pict>
    </w:r>
    <w:r>
      <w:rPr>
        <w:noProof/>
        <w:sz w:val="28"/>
      </w:rPr>
    </w:r>
    <w:r w:rsidR="008D750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D7509" w:rsidRDefault="008D7509">
                <w:pPr>
                  <w:rPr>
                    <w:rFonts w:hint="eastAsia"/>
                    <w:b/>
                    <w:sz w:val="20"/>
                  </w:rPr>
                </w:pPr>
                <w:r>
                  <w:rPr>
                    <w:rFonts w:hint="eastAsia"/>
                    <w:b/>
                    <w:sz w:val="20"/>
                  </w:rPr>
                  <w:t>A</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B</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C</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2"/>
                  <w:rPr>
                    <w:rFonts w:hint="eastAsia"/>
                    <w:sz w:val="16"/>
                  </w:rPr>
                </w:pPr>
                <w:r>
                  <w:rPr>
                    <w:rFonts w:hint="eastAsia"/>
                  </w:rPr>
                  <w:t>D</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E</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20"/>
                  </w:rPr>
                </w:pPr>
                <w:r>
                  <w:rPr>
                    <w:rFonts w:hint="eastAsia"/>
                    <w:b/>
                    <w:sz w:val="20"/>
                  </w:rPr>
                  <w:t>F</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G</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H</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I</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J</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K</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L</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M</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N</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O</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P</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Q</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R</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S</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T</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rPr>
                    <w:rFonts w:hint="eastAsia"/>
                    <w:b/>
                    <w:sz w:val="16"/>
                  </w:rPr>
                </w:pPr>
                <w:r>
                  <w:rPr>
                    <w:rFonts w:hint="eastAsia"/>
                    <w:b/>
                    <w:sz w:val="20"/>
                  </w:rPr>
                  <w:t>U</w:t>
                </w:r>
              </w:p>
              <w:p w:rsidR="008D7509" w:rsidRDefault="008D7509">
                <w:pPr>
                  <w:rPr>
                    <w:rFonts w:hint="eastAsia"/>
                    <w:b/>
                    <w:sz w:val="10"/>
                  </w:rPr>
                </w:pPr>
              </w:p>
              <w:p w:rsidR="008D7509" w:rsidRDefault="008D7509">
                <w:pPr>
                  <w:rPr>
                    <w:rFonts w:hint="eastAsia"/>
                    <w:b/>
                    <w:sz w:val="16"/>
                  </w:rPr>
                </w:pPr>
              </w:p>
              <w:p w:rsidR="008D7509" w:rsidRDefault="008D7509">
                <w:pPr>
                  <w:rPr>
                    <w:rFonts w:hint="eastAsia"/>
                    <w:b/>
                    <w:sz w:val="16"/>
                  </w:rPr>
                </w:pPr>
              </w:p>
              <w:p w:rsidR="008D7509" w:rsidRDefault="008D750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BE506D"/>
    <w:multiLevelType w:val="hybridMultilevel"/>
    <w:tmpl w:val="F1AE276E"/>
    <w:lvl w:ilvl="0" w:tplc="8DF8DA3C">
      <w:start w:val="1"/>
      <w:numFmt w:val="lowerLetter"/>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352DB6"/>
    <w:multiLevelType w:val="hybridMultilevel"/>
    <w:tmpl w:val="00BEDE9A"/>
    <w:lvl w:ilvl="0" w:tplc="3C9EDB8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D802A3B"/>
    <w:multiLevelType w:val="hybridMultilevel"/>
    <w:tmpl w:val="6FBC1592"/>
    <w:lvl w:ilvl="0" w:tplc="F99A4F6C">
      <w:start w:val="2"/>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4BF0684"/>
    <w:multiLevelType w:val="multilevel"/>
    <w:tmpl w:val="E500F24C"/>
    <w:lvl w:ilvl="0">
      <w:start w:val="1"/>
      <w:numFmt w:val="decimal"/>
      <w:lvlText w:val="(%1)"/>
      <w:lvlJc w:val="left"/>
      <w:pPr>
        <w:tabs>
          <w:tab w:val="num" w:pos="1920"/>
        </w:tabs>
        <w:ind w:left="1920" w:hanging="480"/>
      </w:pPr>
      <w:rPr>
        <w:rFonts w:hint="default"/>
      </w:rPr>
    </w:lvl>
    <w:lvl w:ilvl="1">
      <w:start w:val="1"/>
      <w:numFmt w:val="lowerLetter"/>
      <w:lvlText w:val="%2."/>
      <w:lvlJc w:val="left"/>
      <w:pPr>
        <w:tabs>
          <w:tab w:val="num" w:pos="2520"/>
        </w:tabs>
        <w:ind w:left="2520" w:hanging="360"/>
      </w:pPr>
    </w:lvl>
    <w:lvl w:ilvl="2">
      <w:start w:val="2"/>
      <w:numFmt w:val="lowerRoman"/>
      <w:lvlText w:val="(%3)"/>
      <w:lvlJc w:val="left"/>
      <w:pPr>
        <w:tabs>
          <w:tab w:val="num" w:pos="3780"/>
        </w:tabs>
        <w:ind w:left="3780" w:hanging="720"/>
      </w:pPr>
      <w:rPr>
        <w:rFonts w:hint="default"/>
      </w:r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58D6842"/>
    <w:multiLevelType w:val="hybridMultilevel"/>
    <w:tmpl w:val="1346BCBA"/>
    <w:lvl w:ilvl="0" w:tplc="0409000F">
      <w:start w:val="1"/>
      <w:numFmt w:val="decimal"/>
      <w:lvlText w:val="%1."/>
      <w:lvlJc w:val="left"/>
      <w:pPr>
        <w:tabs>
          <w:tab w:val="num" w:pos="720"/>
        </w:tabs>
        <w:ind w:left="720" w:hanging="360"/>
      </w:pPr>
    </w:lvl>
    <w:lvl w:ilvl="1" w:tplc="AC5A9862">
      <w:start w:val="1"/>
      <w:numFmt w:val="decimal"/>
      <w:lvlText w:val="(%2)"/>
      <w:lvlJc w:val="left"/>
      <w:pPr>
        <w:tabs>
          <w:tab w:val="num" w:pos="1470"/>
        </w:tabs>
        <w:ind w:left="1470" w:hanging="39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7" w15:restartNumberingAfterBreak="0">
    <w:nsid w:val="262469AB"/>
    <w:multiLevelType w:val="singleLevel"/>
    <w:tmpl w:val="0F8E1914"/>
    <w:lvl w:ilvl="0">
      <w:start w:val="1"/>
      <w:numFmt w:val="decimal"/>
      <w:lvlText w:val="%1."/>
      <w:lvlJc w:val="left"/>
      <w:pPr>
        <w:tabs>
          <w:tab w:val="num" w:pos="360"/>
        </w:tabs>
        <w:ind w:left="0" w:firstLine="0"/>
      </w:pPr>
      <w:rPr>
        <w:rFonts w:hint="eastAsia"/>
      </w:rPr>
    </w:lvl>
  </w:abstractNum>
  <w:abstractNum w:abstractNumId="1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4"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4C7103"/>
    <w:multiLevelType w:val="hybridMultilevel"/>
    <w:tmpl w:val="775A1ED0"/>
    <w:lvl w:ilvl="0" w:tplc="E3D4EA62">
      <w:start w:val="1"/>
      <w:numFmt w:val="decimal"/>
      <w:lvlText w:val="%1."/>
      <w:lvlJc w:val="left"/>
      <w:pPr>
        <w:tabs>
          <w:tab w:val="num" w:pos="720"/>
        </w:tabs>
        <w:ind w:left="720" w:hanging="720"/>
      </w:pPr>
      <w:rPr>
        <w:rFonts w:hint="eastAsia"/>
      </w:rPr>
    </w:lvl>
    <w:lvl w:ilvl="1" w:tplc="75780DD2">
      <w:start w:val="1"/>
      <w:numFmt w:val="lowerLetter"/>
      <w:lvlText w:val="(%2)"/>
      <w:lvlJc w:val="left"/>
      <w:pPr>
        <w:tabs>
          <w:tab w:val="num" w:pos="1455"/>
        </w:tabs>
        <w:ind w:left="1455" w:hanging="375"/>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3C8D202E"/>
    <w:multiLevelType w:val="hybridMultilevel"/>
    <w:tmpl w:val="4724A238"/>
    <w:lvl w:ilvl="0" w:tplc="7D2803E2">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FFE234A"/>
    <w:multiLevelType w:val="hybridMultilevel"/>
    <w:tmpl w:val="0BF8A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0843B32"/>
    <w:multiLevelType w:val="hybridMultilevel"/>
    <w:tmpl w:val="49EE9D96"/>
    <w:lvl w:ilvl="0" w:tplc="7500E114">
      <w:start w:val="1"/>
      <w:numFmt w:val="decimal"/>
      <w:lvlText w:val="%1."/>
      <w:lvlJc w:val="left"/>
      <w:pPr>
        <w:tabs>
          <w:tab w:val="num" w:pos="1440"/>
        </w:tabs>
        <w:ind w:left="144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B250A64"/>
    <w:multiLevelType w:val="hybridMultilevel"/>
    <w:tmpl w:val="06544204"/>
    <w:lvl w:ilvl="0" w:tplc="25904D04">
      <w:start w:val="3"/>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3745803"/>
    <w:multiLevelType w:val="hybridMultilevel"/>
    <w:tmpl w:val="41C20A7A"/>
    <w:lvl w:ilvl="0" w:tplc="F1AAB126">
      <w:start w:val="1"/>
      <w:numFmt w:val="decimal"/>
      <w:lvlText w:val="%1."/>
      <w:lvlJc w:val="left"/>
      <w:pPr>
        <w:tabs>
          <w:tab w:val="num" w:pos="360"/>
        </w:tabs>
        <w:ind w:left="0" w:firstLine="0"/>
      </w:pPr>
      <w:rPr>
        <w:rFonts w:hint="eastAsia"/>
      </w:rPr>
    </w:lvl>
    <w:lvl w:ilvl="1" w:tplc="0B16B3EA">
      <w:start w:val="1"/>
      <w:numFmt w:val="decimal"/>
      <w:lvlText w:val="%2）"/>
      <w:lvlJc w:val="left"/>
      <w:pPr>
        <w:tabs>
          <w:tab w:val="num" w:pos="180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6F95748"/>
    <w:multiLevelType w:val="multilevel"/>
    <w:tmpl w:val="90488FC4"/>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5A292AFE"/>
    <w:multiLevelType w:val="hybridMultilevel"/>
    <w:tmpl w:val="1668FF62"/>
    <w:lvl w:ilvl="0" w:tplc="124EC17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5" w15:restartNumberingAfterBreak="0">
    <w:nsid w:val="6E592C59"/>
    <w:multiLevelType w:val="hybridMultilevel"/>
    <w:tmpl w:val="27A69610"/>
    <w:lvl w:ilvl="0" w:tplc="F64ED1D8">
      <w:start w:val="1"/>
      <w:numFmt w:val="decimal"/>
      <w:lvlText w:val="%1."/>
      <w:lvlJc w:val="left"/>
      <w:pPr>
        <w:tabs>
          <w:tab w:val="num" w:pos="720"/>
        </w:tabs>
        <w:ind w:left="720" w:hanging="720"/>
      </w:pPr>
      <w:rPr>
        <w:rFonts w:hint="eastAsia"/>
      </w:rPr>
    </w:lvl>
    <w:lvl w:ilvl="1" w:tplc="59D4831E">
      <w:start w:val="1"/>
      <w:numFmt w:val="upperRoman"/>
      <w:lvlText w:val="(%2)"/>
      <w:lvlJc w:val="left"/>
      <w:pPr>
        <w:tabs>
          <w:tab w:val="num" w:pos="1800"/>
        </w:tabs>
        <w:ind w:left="1800" w:hanging="720"/>
      </w:pPr>
      <w:rPr>
        <w:rFonts w:hint="eastAsia"/>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74CB57B9"/>
    <w:multiLevelType w:val="hybridMultilevel"/>
    <w:tmpl w:val="E8D24390"/>
    <w:lvl w:ilvl="0" w:tplc="004A6242">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9B13CDC"/>
    <w:multiLevelType w:val="singleLevel"/>
    <w:tmpl w:val="0D408D74"/>
    <w:lvl w:ilvl="0">
      <w:start w:val="1"/>
      <w:numFmt w:val="lowerLetter"/>
      <w:lvlText w:val="(%1)"/>
      <w:lvlJc w:val="left"/>
      <w:pPr>
        <w:tabs>
          <w:tab w:val="num" w:pos="2543"/>
        </w:tabs>
        <w:ind w:left="2543" w:hanging="570"/>
      </w:pPr>
      <w:rPr>
        <w:rFonts w:hint="default"/>
      </w:rPr>
    </w:lvl>
  </w:abstractNum>
  <w:abstractNum w:abstractNumId="49" w15:restartNumberingAfterBreak="0">
    <w:nsid w:val="7A7F216C"/>
    <w:multiLevelType w:val="hybridMultilevel"/>
    <w:tmpl w:val="B2FAC254"/>
    <w:lvl w:ilvl="0" w:tplc="662C3064">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BD614EC"/>
    <w:multiLevelType w:val="singleLevel"/>
    <w:tmpl w:val="382EB0B0"/>
    <w:lvl w:ilvl="0">
      <w:start w:val="1"/>
      <w:numFmt w:val="decimal"/>
      <w:pStyle w:val="para"/>
      <w:lvlText w:val="%1."/>
      <w:lvlJc w:val="left"/>
      <w:pPr>
        <w:tabs>
          <w:tab w:val="num" w:pos="360"/>
        </w:tabs>
        <w:ind w:left="0" w:firstLine="0"/>
      </w:pPr>
      <w:rPr>
        <w:rFonts w:hint="eastAsia"/>
      </w:rPr>
    </w:lvl>
  </w:abstractNum>
  <w:abstractNum w:abstractNumId="51" w15:restartNumberingAfterBreak="0">
    <w:nsid w:val="7FB34322"/>
    <w:multiLevelType w:val="hybridMultilevel"/>
    <w:tmpl w:val="ABC427DE"/>
    <w:lvl w:ilvl="0" w:tplc="1BD86C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0114357">
    <w:abstractNumId w:val="7"/>
  </w:num>
  <w:num w:numId="2" w16cid:durableId="1253706121">
    <w:abstractNumId w:val="0"/>
  </w:num>
  <w:num w:numId="3" w16cid:durableId="116458025">
    <w:abstractNumId w:val="15"/>
  </w:num>
  <w:num w:numId="4" w16cid:durableId="537624034">
    <w:abstractNumId w:val="4"/>
  </w:num>
  <w:num w:numId="5" w16cid:durableId="180173083">
    <w:abstractNumId w:val="33"/>
  </w:num>
  <w:num w:numId="6" w16cid:durableId="300623876">
    <w:abstractNumId w:val="3"/>
  </w:num>
  <w:num w:numId="7" w16cid:durableId="1409110736">
    <w:abstractNumId w:val="44"/>
  </w:num>
  <w:num w:numId="8" w16cid:durableId="797382653">
    <w:abstractNumId w:val="43"/>
  </w:num>
  <w:num w:numId="9" w16cid:durableId="1835871602">
    <w:abstractNumId w:val="23"/>
  </w:num>
  <w:num w:numId="10" w16cid:durableId="558710667">
    <w:abstractNumId w:val="19"/>
  </w:num>
  <w:num w:numId="11" w16cid:durableId="2035619242">
    <w:abstractNumId w:val="41"/>
  </w:num>
  <w:num w:numId="12" w16cid:durableId="1181356109">
    <w:abstractNumId w:val="21"/>
  </w:num>
  <w:num w:numId="13" w16cid:durableId="461701225">
    <w:abstractNumId w:val="46"/>
  </w:num>
  <w:num w:numId="14" w16cid:durableId="1544899814">
    <w:abstractNumId w:val="22"/>
  </w:num>
  <w:num w:numId="15" w16cid:durableId="1227954180">
    <w:abstractNumId w:val="11"/>
  </w:num>
  <w:num w:numId="16" w16cid:durableId="21446804">
    <w:abstractNumId w:val="18"/>
  </w:num>
  <w:num w:numId="17" w16cid:durableId="1027636384">
    <w:abstractNumId w:val="20"/>
  </w:num>
  <w:num w:numId="18" w16cid:durableId="1279407668">
    <w:abstractNumId w:val="35"/>
  </w:num>
  <w:num w:numId="19" w16cid:durableId="396166616">
    <w:abstractNumId w:val="13"/>
  </w:num>
  <w:num w:numId="20" w16cid:durableId="1881743213">
    <w:abstractNumId w:val="36"/>
  </w:num>
  <w:num w:numId="21" w16cid:durableId="1130827463">
    <w:abstractNumId w:val="8"/>
  </w:num>
  <w:num w:numId="22" w16cid:durableId="625744745">
    <w:abstractNumId w:val="25"/>
  </w:num>
  <w:num w:numId="23" w16cid:durableId="829517187">
    <w:abstractNumId w:val="42"/>
  </w:num>
  <w:num w:numId="24" w16cid:durableId="70590771">
    <w:abstractNumId w:val="37"/>
  </w:num>
  <w:num w:numId="25" w16cid:durableId="1687515508">
    <w:abstractNumId w:val="29"/>
  </w:num>
  <w:num w:numId="26" w16cid:durableId="967589938">
    <w:abstractNumId w:val="9"/>
  </w:num>
  <w:num w:numId="27" w16cid:durableId="1908878072">
    <w:abstractNumId w:val="14"/>
  </w:num>
  <w:num w:numId="28" w16cid:durableId="436219059">
    <w:abstractNumId w:val="28"/>
  </w:num>
  <w:num w:numId="29" w16cid:durableId="2139755227">
    <w:abstractNumId w:val="6"/>
  </w:num>
  <w:num w:numId="30" w16cid:durableId="328102690">
    <w:abstractNumId w:val="16"/>
  </w:num>
  <w:num w:numId="31" w16cid:durableId="788087564">
    <w:abstractNumId w:val="26"/>
  </w:num>
  <w:num w:numId="32" w16cid:durableId="1471248624">
    <w:abstractNumId w:val="24"/>
  </w:num>
  <w:num w:numId="33" w16cid:durableId="1590429040">
    <w:abstractNumId w:val="39"/>
  </w:num>
  <w:num w:numId="34" w16cid:durableId="1501778380">
    <w:abstractNumId w:val="51"/>
  </w:num>
  <w:num w:numId="35" w16cid:durableId="973950226">
    <w:abstractNumId w:val="40"/>
  </w:num>
  <w:num w:numId="36" w16cid:durableId="1778980848">
    <w:abstractNumId w:val="38"/>
  </w:num>
  <w:num w:numId="37" w16cid:durableId="35207890">
    <w:abstractNumId w:val="1"/>
  </w:num>
  <w:num w:numId="38" w16cid:durableId="1226406851">
    <w:abstractNumId w:val="2"/>
  </w:num>
  <w:num w:numId="39" w16cid:durableId="871264615">
    <w:abstractNumId w:val="27"/>
  </w:num>
  <w:num w:numId="40" w16cid:durableId="1235550843">
    <w:abstractNumId w:val="32"/>
  </w:num>
  <w:num w:numId="41" w16cid:durableId="1783962254">
    <w:abstractNumId w:val="49"/>
  </w:num>
  <w:num w:numId="42" w16cid:durableId="1754934822">
    <w:abstractNumId w:val="34"/>
  </w:num>
  <w:num w:numId="43" w16cid:durableId="896942072">
    <w:abstractNumId w:val="5"/>
  </w:num>
  <w:num w:numId="44" w16cid:durableId="1610894678">
    <w:abstractNumId w:val="30"/>
  </w:num>
  <w:num w:numId="45" w16cid:durableId="751583029">
    <w:abstractNumId w:val="45"/>
  </w:num>
  <w:num w:numId="46" w16cid:durableId="146631629">
    <w:abstractNumId w:val="31"/>
  </w:num>
  <w:num w:numId="47" w16cid:durableId="1757240780">
    <w:abstractNumId w:val="17"/>
  </w:num>
  <w:num w:numId="48" w16cid:durableId="620452190">
    <w:abstractNumId w:val="50"/>
  </w:num>
  <w:num w:numId="49" w16cid:durableId="662009755">
    <w:abstractNumId w:val="10"/>
  </w:num>
  <w:num w:numId="50" w16cid:durableId="928776441">
    <w:abstractNumId w:val="48"/>
  </w:num>
  <w:num w:numId="51" w16cid:durableId="231157106">
    <w:abstractNumId w:val="47"/>
  </w:num>
  <w:num w:numId="52" w16cid:durableId="809637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7509"/>
    <w:rsid w:val="008D75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A37F76C-DBA0-9647-A956-11C98806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GB"/>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rPr>
  </w:style>
  <w:style w:type="paragraph" w:styleId="BodyText">
    <w:name w:val="Body Text"/>
    <w:basedOn w:val="Normal"/>
    <w:semiHidden/>
    <w:pPr>
      <w:tabs>
        <w:tab w:val="clear" w:pos="1440"/>
        <w:tab w:val="clear" w:pos="4320"/>
        <w:tab w:val="clear" w:pos="9072"/>
      </w:tabs>
      <w:snapToGrid/>
      <w:spacing w:line="360" w:lineRule="auto"/>
    </w:p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jc w:val="center"/>
    </w:pPr>
    <w:rPr>
      <w:sz w:val="24"/>
      <w:u w:val="single"/>
    </w:rPr>
  </w:style>
  <w:style w:type="paragraph" w:styleId="List2">
    <w:name w:val="List 2"/>
    <w:basedOn w:val="Normal"/>
    <w:semiHidden/>
    <w:pPr>
      <w:tabs>
        <w:tab w:val="clear" w:pos="1440"/>
        <w:tab w:val="clear" w:pos="4320"/>
        <w:tab w:val="clear" w:pos="9072"/>
      </w:tabs>
      <w:snapToGrid/>
      <w:ind w:left="566" w:hanging="283"/>
    </w:pPr>
    <w:rPr>
      <w:sz w:val="24"/>
      <w:szCs w:val="24"/>
    </w:rPr>
  </w:style>
  <w:style w:type="paragraph" w:styleId="TOAHeading">
    <w:name w:val="toa heading"/>
    <w:basedOn w:val="Normal"/>
    <w:next w:val="Normal"/>
    <w:semiHidden/>
    <w:pPr>
      <w:tabs>
        <w:tab w:val="clear" w:pos="1440"/>
        <w:tab w:val="clear" w:pos="4320"/>
        <w:tab w:val="clear" w:pos="9072"/>
      </w:tabs>
      <w:snapToGrid/>
      <w:spacing w:before="120"/>
    </w:pPr>
    <w:rPr>
      <w:rFonts w:ascii="Arial" w:hAnsi="Arial" w:cs="Arial"/>
      <w:b/>
      <w:bCs/>
      <w:sz w:val="24"/>
      <w:szCs w:val="24"/>
    </w:rPr>
  </w:style>
  <w:style w:type="paragraph" w:styleId="List">
    <w:name w:val="List"/>
    <w:basedOn w:val="Normal"/>
    <w:semiHidden/>
    <w:pPr>
      <w:tabs>
        <w:tab w:val="clear" w:pos="1440"/>
        <w:tab w:val="clear" w:pos="4320"/>
        <w:tab w:val="clear" w:pos="9072"/>
      </w:tabs>
      <w:snapToGrid/>
      <w:ind w:left="283" w:hanging="283"/>
    </w:pPr>
    <w:rPr>
      <w:sz w:val="24"/>
      <w:szCs w:val="24"/>
    </w:rPr>
  </w:style>
  <w:style w:type="paragraph" w:customStyle="1" w:styleId="para">
    <w:name w:val="para"/>
    <w:pPr>
      <w:numPr>
        <w:numId w:val="48"/>
      </w:numPr>
      <w:tabs>
        <w:tab w:val="clear" w:pos="360"/>
        <w:tab w:val="num" w:pos="1400"/>
      </w:tabs>
      <w:snapToGrid w:val="0"/>
      <w:spacing w:before="360" w:line="360" w:lineRule="auto"/>
      <w:jc w:val="both"/>
    </w:pPr>
    <w:rPr>
      <w:sz w:val="28"/>
      <w:lang w:val="en-GB" w:eastAsia="zh-TW"/>
    </w:rPr>
  </w:style>
  <w:style w:type="paragraph" w:customStyle="1" w:styleId="PARA-CONT">
    <w:name w:val="PARA-CON'T"/>
    <w:basedOn w:val="para"/>
    <w:next w:val="para"/>
    <w:pPr>
      <w:numPr>
        <w:numId w:val="0"/>
      </w:numPr>
      <w:spacing w:before="240"/>
    </w:pPr>
  </w:style>
  <w:style w:type="paragraph" w:customStyle="1" w:styleId="Para-heading">
    <w:name w:val="Para-heading"/>
    <w:basedOn w:val="para"/>
    <w:next w:val="para"/>
    <w:pPr>
      <w:spacing w:before="120"/>
    </w:pPr>
  </w:style>
  <w:style w:type="paragraph" w:customStyle="1" w:styleId="points">
    <w:name w:val="points"/>
    <w:basedOn w:val="para"/>
    <w:pPr>
      <w:numPr>
        <w:numId w:val="0"/>
      </w:numPr>
      <w:tabs>
        <w:tab w:val="left" w:pos="1400"/>
        <w:tab w:val="left" w:pos="1960"/>
      </w:tabs>
      <w:spacing w:before="120"/>
      <w:ind w:left="1417"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2007-07-05T06:51:00Z</cp:lastPrinted>
  <dcterms:created xsi:type="dcterms:W3CDTF">2023-10-14T01:16:00Z</dcterms:created>
  <dcterms:modified xsi:type="dcterms:W3CDTF">2023-10-14T01:16:00Z</dcterms:modified>
</cp:coreProperties>
</file>