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908" w:rsidRPr="0080173A" w:rsidRDefault="00D40908">
      <w:pPr>
        <w:pStyle w:val="Heading2"/>
        <w:tabs>
          <w:tab w:val="clear" w:pos="4320"/>
          <w:tab w:val="clear" w:pos="9072"/>
        </w:tabs>
        <w:spacing w:line="360" w:lineRule="auto"/>
        <w:jc w:val="right"/>
        <w:rPr>
          <w:b w:val="0"/>
          <w:sz w:val="28"/>
          <w:szCs w:val="28"/>
        </w:rPr>
      </w:pPr>
      <w:r w:rsidRPr="0080173A">
        <w:rPr>
          <w:b w:val="0"/>
          <w:sz w:val="28"/>
          <w:szCs w:val="28"/>
        </w:rPr>
        <w:t>DC</w:t>
      </w:r>
      <w:r w:rsidR="00AB0910">
        <w:rPr>
          <w:rFonts w:hint="eastAsia"/>
          <w:b w:val="0"/>
          <w:sz w:val="28"/>
          <w:szCs w:val="28"/>
        </w:rPr>
        <w:t>PI</w:t>
      </w:r>
      <w:r w:rsidRPr="0080173A">
        <w:rPr>
          <w:b w:val="0"/>
          <w:sz w:val="28"/>
          <w:szCs w:val="28"/>
        </w:rPr>
        <w:t xml:space="preserve"> </w:t>
      </w:r>
      <w:r w:rsidR="00E74978">
        <w:rPr>
          <w:rFonts w:hint="eastAsia"/>
          <w:b w:val="0"/>
          <w:sz w:val="28"/>
          <w:szCs w:val="28"/>
        </w:rPr>
        <w:t>1568</w:t>
      </w:r>
      <w:r w:rsidRPr="0080173A">
        <w:rPr>
          <w:b w:val="0"/>
          <w:sz w:val="28"/>
          <w:szCs w:val="28"/>
        </w:rPr>
        <w:t>/20</w:t>
      </w:r>
      <w:r w:rsidR="003659E0">
        <w:rPr>
          <w:rFonts w:hint="eastAsia"/>
          <w:b w:val="0"/>
          <w:sz w:val="28"/>
          <w:szCs w:val="28"/>
        </w:rPr>
        <w:t>1</w:t>
      </w:r>
      <w:r w:rsidR="00E74978">
        <w:rPr>
          <w:rFonts w:hint="eastAsia"/>
          <w:b w:val="0"/>
          <w:sz w:val="28"/>
          <w:szCs w:val="28"/>
        </w:rPr>
        <w:t>1</w:t>
      </w:r>
    </w:p>
    <w:p w:rsidR="00D40908" w:rsidRPr="0080173A" w:rsidRDefault="00D40908">
      <w:pPr>
        <w:pStyle w:val="normal3"/>
        <w:tabs>
          <w:tab w:val="clear" w:pos="4320"/>
          <w:tab w:val="clear" w:pos="4500"/>
          <w:tab w:val="clear" w:pos="9000"/>
          <w:tab w:val="clear" w:pos="9072"/>
        </w:tabs>
        <w:overflowPunct/>
        <w:autoSpaceDE/>
        <w:autoSpaceDN/>
        <w:spacing w:line="240" w:lineRule="auto"/>
        <w:rPr>
          <w:rFonts w:eastAsia="SimSun"/>
          <w:szCs w:val="28"/>
          <w:lang w:val="en-US"/>
        </w:rPr>
      </w:pPr>
    </w:p>
    <w:p w:rsidR="00D40908" w:rsidRDefault="00D40908">
      <w:pPr>
        <w:pStyle w:val="normal3"/>
        <w:tabs>
          <w:tab w:val="clear" w:pos="4320"/>
          <w:tab w:val="clear" w:pos="4500"/>
          <w:tab w:val="clear" w:pos="9000"/>
          <w:tab w:val="clear" w:pos="9072"/>
        </w:tabs>
        <w:overflowPunct/>
        <w:autoSpaceDE/>
        <w:autoSpaceDN/>
        <w:spacing w:line="240" w:lineRule="auto"/>
        <w:rPr>
          <w:rFonts w:eastAsia="SimSun"/>
          <w:szCs w:val="28"/>
          <w:lang w:val="en-US"/>
        </w:rPr>
      </w:pPr>
    </w:p>
    <w:p w:rsidR="00096CE8" w:rsidRPr="0080173A" w:rsidRDefault="00096CE8">
      <w:pPr>
        <w:pStyle w:val="normal3"/>
        <w:tabs>
          <w:tab w:val="clear" w:pos="4320"/>
          <w:tab w:val="clear" w:pos="4500"/>
          <w:tab w:val="clear" w:pos="9000"/>
          <w:tab w:val="clear" w:pos="9072"/>
        </w:tabs>
        <w:overflowPunct/>
        <w:autoSpaceDE/>
        <w:autoSpaceDN/>
        <w:spacing w:line="240" w:lineRule="auto"/>
        <w:rPr>
          <w:rFonts w:eastAsia="SimSun"/>
          <w:szCs w:val="28"/>
          <w:lang w:val="en-US"/>
        </w:rPr>
        <w:sectPr w:rsidR="00096CE8" w:rsidRPr="0080173A" w:rsidSect="00BB558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40908" w:rsidRPr="008D5EFB" w:rsidRDefault="00D40908">
      <w:pPr>
        <w:tabs>
          <w:tab w:val="clear" w:pos="4320"/>
          <w:tab w:val="clear" w:pos="9072"/>
        </w:tabs>
        <w:adjustRightInd w:val="0"/>
        <w:spacing w:line="360" w:lineRule="auto"/>
        <w:jc w:val="center"/>
        <w:rPr>
          <w:b/>
          <w:bCs/>
          <w:szCs w:val="28"/>
        </w:rPr>
      </w:pPr>
      <w:r w:rsidRPr="008D5EFB">
        <w:rPr>
          <w:b/>
          <w:bCs/>
          <w:szCs w:val="28"/>
        </w:rPr>
        <w:t>IN THE DISTRICT COURT OF THE</w:t>
      </w:r>
    </w:p>
    <w:p w:rsidR="00D40908" w:rsidRPr="008D5EFB" w:rsidRDefault="00D40908">
      <w:pPr>
        <w:tabs>
          <w:tab w:val="clear" w:pos="4320"/>
          <w:tab w:val="clear" w:pos="9072"/>
        </w:tabs>
        <w:adjustRightInd w:val="0"/>
        <w:spacing w:line="360" w:lineRule="auto"/>
        <w:jc w:val="center"/>
        <w:rPr>
          <w:b/>
          <w:bCs/>
          <w:szCs w:val="28"/>
        </w:rPr>
      </w:pPr>
      <w:r w:rsidRPr="008D5EFB">
        <w:rPr>
          <w:b/>
          <w:bCs/>
          <w:szCs w:val="28"/>
        </w:rPr>
        <w:t>HONG KONG SPECIAL ADMINISTRATIVE REGION</w:t>
      </w:r>
    </w:p>
    <w:p w:rsidR="00D40908" w:rsidRPr="00096CE8" w:rsidRDefault="00AB0910">
      <w:pPr>
        <w:tabs>
          <w:tab w:val="clear" w:pos="4320"/>
          <w:tab w:val="clear" w:pos="9072"/>
        </w:tabs>
        <w:adjustRightInd w:val="0"/>
        <w:spacing w:line="360" w:lineRule="auto"/>
        <w:jc w:val="center"/>
        <w:rPr>
          <w:szCs w:val="28"/>
        </w:rPr>
      </w:pPr>
      <w:r w:rsidRPr="00096CE8">
        <w:rPr>
          <w:rFonts w:hint="eastAsia"/>
          <w:szCs w:val="28"/>
        </w:rPr>
        <w:t>PERSONAL INJURIES ACTION</w:t>
      </w:r>
      <w:r w:rsidR="00D40908" w:rsidRPr="00096CE8">
        <w:rPr>
          <w:szCs w:val="28"/>
        </w:rPr>
        <w:t xml:space="preserve"> N</w:t>
      </w:r>
      <w:r w:rsidR="003659E0" w:rsidRPr="00096CE8">
        <w:rPr>
          <w:rFonts w:hint="eastAsia"/>
          <w:szCs w:val="28"/>
        </w:rPr>
        <w:t>O</w:t>
      </w:r>
      <w:r w:rsidR="00D40908" w:rsidRPr="00096CE8">
        <w:rPr>
          <w:szCs w:val="28"/>
        </w:rPr>
        <w:t xml:space="preserve">. </w:t>
      </w:r>
      <w:r w:rsidR="00E74978" w:rsidRPr="00096CE8">
        <w:rPr>
          <w:rFonts w:hint="eastAsia"/>
          <w:szCs w:val="28"/>
        </w:rPr>
        <w:t>1568</w:t>
      </w:r>
      <w:r w:rsidR="00D40908" w:rsidRPr="00096CE8">
        <w:rPr>
          <w:szCs w:val="28"/>
        </w:rPr>
        <w:t xml:space="preserve"> OF 20</w:t>
      </w:r>
      <w:r w:rsidR="003659E0" w:rsidRPr="00096CE8">
        <w:rPr>
          <w:rFonts w:hint="eastAsia"/>
          <w:szCs w:val="28"/>
        </w:rPr>
        <w:t>1</w:t>
      </w:r>
      <w:r w:rsidR="00E74978" w:rsidRPr="00096CE8">
        <w:rPr>
          <w:rFonts w:hint="eastAsia"/>
          <w:szCs w:val="28"/>
        </w:rPr>
        <w:t>1</w:t>
      </w:r>
    </w:p>
    <w:p w:rsidR="00D40908" w:rsidRDefault="00D40908">
      <w:pPr>
        <w:tabs>
          <w:tab w:val="clear" w:pos="4320"/>
          <w:tab w:val="clear" w:pos="9072"/>
        </w:tabs>
        <w:adjustRightInd w:val="0"/>
        <w:spacing w:line="360" w:lineRule="auto"/>
        <w:jc w:val="center"/>
        <w:rPr>
          <w:szCs w:val="28"/>
        </w:rPr>
      </w:pPr>
      <w:r w:rsidRPr="0080173A">
        <w:rPr>
          <w:szCs w:val="28"/>
        </w:rPr>
        <w:t>--------------------</w:t>
      </w:r>
    </w:p>
    <w:tbl>
      <w:tblPr>
        <w:tblW w:w="8730" w:type="dxa"/>
        <w:tblInd w:w="108" w:type="dxa"/>
        <w:tblLayout w:type="fixed"/>
        <w:tblLook w:val="0000" w:firstRow="0" w:lastRow="0" w:firstColumn="0" w:lastColumn="0" w:noHBand="0" w:noVBand="0"/>
      </w:tblPr>
      <w:tblGrid>
        <w:gridCol w:w="1620"/>
        <w:gridCol w:w="5130"/>
        <w:gridCol w:w="1980"/>
      </w:tblGrid>
      <w:tr w:rsidR="003659E0" w:rsidRPr="0080173A" w:rsidTr="002341DF">
        <w:tc>
          <w:tcPr>
            <w:tcW w:w="1620" w:type="dxa"/>
          </w:tcPr>
          <w:p w:rsidR="003659E0" w:rsidRPr="0080173A" w:rsidRDefault="003659E0" w:rsidP="007C05E6">
            <w:pPr>
              <w:rPr>
                <w:szCs w:val="28"/>
              </w:rPr>
            </w:pPr>
            <w:r w:rsidRPr="0080173A">
              <w:rPr>
                <w:szCs w:val="28"/>
              </w:rPr>
              <w:t>BETWEEN</w:t>
            </w:r>
          </w:p>
        </w:tc>
        <w:tc>
          <w:tcPr>
            <w:tcW w:w="5130" w:type="dxa"/>
          </w:tcPr>
          <w:p w:rsidR="003659E0" w:rsidRPr="0080173A" w:rsidRDefault="002341DF" w:rsidP="002341DF">
            <w:pPr>
              <w:rPr>
                <w:szCs w:val="28"/>
              </w:rPr>
            </w:pPr>
            <w:r>
              <w:rPr>
                <w:rFonts w:hint="eastAsia"/>
                <w:szCs w:val="28"/>
              </w:rPr>
              <w:t>LIMBU DHARAMARAJ</w:t>
            </w:r>
          </w:p>
        </w:tc>
        <w:tc>
          <w:tcPr>
            <w:tcW w:w="1980" w:type="dxa"/>
          </w:tcPr>
          <w:p w:rsidR="002341DF" w:rsidRPr="0080173A" w:rsidRDefault="002341DF" w:rsidP="002341DF">
            <w:pPr>
              <w:pStyle w:val="normal2"/>
              <w:tabs>
                <w:tab w:val="clear" w:pos="1411"/>
              </w:tabs>
              <w:overflowPunct/>
              <w:autoSpaceDE/>
              <w:autoSpaceDN/>
              <w:spacing w:line="240" w:lineRule="auto"/>
              <w:rPr>
                <w:rFonts w:eastAsia="SimSun"/>
                <w:caps w:val="0"/>
                <w:szCs w:val="28"/>
                <w:lang w:val="en-US"/>
              </w:rPr>
            </w:pPr>
            <w:r w:rsidRPr="0080173A">
              <w:rPr>
                <w:rFonts w:eastAsia="SimSun"/>
                <w:caps w:val="0"/>
                <w:szCs w:val="28"/>
                <w:lang w:val="en-US"/>
              </w:rPr>
              <w:t>Plaintiff</w:t>
            </w:r>
          </w:p>
          <w:p w:rsidR="003659E0" w:rsidRPr="0080173A" w:rsidRDefault="003659E0" w:rsidP="007C05E6">
            <w:pPr>
              <w:jc w:val="center"/>
              <w:rPr>
                <w:szCs w:val="28"/>
              </w:rPr>
            </w:pPr>
          </w:p>
        </w:tc>
      </w:tr>
      <w:tr w:rsidR="003659E0" w:rsidRPr="0080173A" w:rsidTr="002341DF">
        <w:tc>
          <w:tcPr>
            <w:tcW w:w="1620" w:type="dxa"/>
          </w:tcPr>
          <w:p w:rsidR="003659E0" w:rsidRPr="0080173A" w:rsidRDefault="003659E0" w:rsidP="007C05E6">
            <w:pPr>
              <w:rPr>
                <w:szCs w:val="28"/>
              </w:rPr>
            </w:pPr>
          </w:p>
        </w:tc>
        <w:tc>
          <w:tcPr>
            <w:tcW w:w="5130" w:type="dxa"/>
          </w:tcPr>
          <w:p w:rsidR="003659E0" w:rsidRDefault="003659E0" w:rsidP="003659E0">
            <w:pPr>
              <w:pStyle w:val="normal2"/>
              <w:tabs>
                <w:tab w:val="clear" w:pos="1411"/>
              </w:tabs>
              <w:overflowPunct/>
              <w:autoSpaceDE/>
              <w:autoSpaceDN/>
              <w:spacing w:line="240" w:lineRule="auto"/>
              <w:rPr>
                <w:rFonts w:eastAsia="SimSun"/>
                <w:caps w:val="0"/>
                <w:szCs w:val="28"/>
                <w:lang w:val="en-US"/>
              </w:rPr>
            </w:pPr>
            <w:r>
              <w:rPr>
                <w:rFonts w:eastAsia="SimSun" w:hint="eastAsia"/>
                <w:caps w:val="0"/>
                <w:szCs w:val="28"/>
                <w:lang w:val="en-US"/>
              </w:rPr>
              <w:t>and</w:t>
            </w:r>
          </w:p>
          <w:p w:rsidR="003659E0" w:rsidRPr="0080173A" w:rsidRDefault="003659E0" w:rsidP="007C05E6">
            <w:pPr>
              <w:jc w:val="center"/>
              <w:rPr>
                <w:szCs w:val="28"/>
              </w:rPr>
            </w:pPr>
          </w:p>
        </w:tc>
        <w:tc>
          <w:tcPr>
            <w:tcW w:w="1980" w:type="dxa"/>
          </w:tcPr>
          <w:p w:rsidR="003659E0" w:rsidRPr="0080173A" w:rsidRDefault="003659E0" w:rsidP="007C05E6">
            <w:pPr>
              <w:pStyle w:val="normal2"/>
              <w:tabs>
                <w:tab w:val="clear" w:pos="1411"/>
              </w:tabs>
              <w:overflowPunct/>
              <w:autoSpaceDE/>
              <w:autoSpaceDN/>
              <w:spacing w:line="240" w:lineRule="auto"/>
              <w:rPr>
                <w:rFonts w:eastAsia="SimSun"/>
                <w:caps w:val="0"/>
                <w:szCs w:val="28"/>
                <w:lang w:val="en-US"/>
              </w:rPr>
            </w:pPr>
          </w:p>
        </w:tc>
      </w:tr>
      <w:tr w:rsidR="003659E0" w:rsidRPr="0080173A" w:rsidTr="002341DF">
        <w:tc>
          <w:tcPr>
            <w:tcW w:w="1620" w:type="dxa"/>
          </w:tcPr>
          <w:p w:rsidR="003659E0" w:rsidRPr="0080173A" w:rsidRDefault="003659E0" w:rsidP="007C05E6">
            <w:pPr>
              <w:rPr>
                <w:szCs w:val="28"/>
              </w:rPr>
            </w:pPr>
          </w:p>
        </w:tc>
        <w:tc>
          <w:tcPr>
            <w:tcW w:w="5130" w:type="dxa"/>
          </w:tcPr>
          <w:p w:rsidR="003659E0" w:rsidRDefault="002341DF" w:rsidP="00AB0910">
            <w:pPr>
              <w:rPr>
                <w:szCs w:val="28"/>
              </w:rPr>
            </w:pPr>
            <w:r>
              <w:rPr>
                <w:rFonts w:hint="eastAsia"/>
                <w:szCs w:val="28"/>
              </w:rPr>
              <w:t>ISS ADAMS SECUFORCE LIMITED</w:t>
            </w:r>
          </w:p>
          <w:p w:rsidR="00AB0910" w:rsidRPr="0080173A" w:rsidRDefault="00AB0910" w:rsidP="00AB0910">
            <w:pPr>
              <w:rPr>
                <w:caps/>
                <w:szCs w:val="28"/>
              </w:rPr>
            </w:pPr>
          </w:p>
        </w:tc>
        <w:tc>
          <w:tcPr>
            <w:tcW w:w="1980" w:type="dxa"/>
          </w:tcPr>
          <w:p w:rsidR="003659E0" w:rsidRPr="0080173A" w:rsidRDefault="00AB0910" w:rsidP="007C05E6">
            <w:pPr>
              <w:jc w:val="center"/>
              <w:rPr>
                <w:szCs w:val="28"/>
              </w:rPr>
            </w:pPr>
            <w:r>
              <w:rPr>
                <w:rFonts w:hint="eastAsia"/>
                <w:szCs w:val="28"/>
              </w:rPr>
              <w:t>1</w:t>
            </w:r>
            <w:r w:rsidRPr="00AB0910">
              <w:rPr>
                <w:rFonts w:hint="eastAsia"/>
                <w:szCs w:val="28"/>
                <w:vertAlign w:val="superscript"/>
              </w:rPr>
              <w:t>st</w:t>
            </w:r>
            <w:r>
              <w:rPr>
                <w:rFonts w:hint="eastAsia"/>
                <w:szCs w:val="28"/>
              </w:rPr>
              <w:t xml:space="preserve"> </w:t>
            </w:r>
            <w:r w:rsidR="003659E0" w:rsidRPr="0080173A">
              <w:rPr>
                <w:szCs w:val="28"/>
              </w:rPr>
              <w:t>Defendant</w:t>
            </w:r>
          </w:p>
        </w:tc>
      </w:tr>
      <w:tr w:rsidR="003659E0" w:rsidRPr="0080173A" w:rsidTr="002341DF">
        <w:tc>
          <w:tcPr>
            <w:tcW w:w="1620" w:type="dxa"/>
          </w:tcPr>
          <w:p w:rsidR="003659E0" w:rsidRPr="0080173A" w:rsidRDefault="003659E0" w:rsidP="007C05E6">
            <w:pPr>
              <w:rPr>
                <w:szCs w:val="28"/>
              </w:rPr>
            </w:pPr>
          </w:p>
        </w:tc>
        <w:tc>
          <w:tcPr>
            <w:tcW w:w="5130" w:type="dxa"/>
          </w:tcPr>
          <w:p w:rsidR="003659E0" w:rsidRPr="0080173A" w:rsidRDefault="002341DF" w:rsidP="00AB0910">
            <w:pPr>
              <w:rPr>
                <w:szCs w:val="28"/>
              </w:rPr>
            </w:pPr>
            <w:r>
              <w:rPr>
                <w:rFonts w:hint="eastAsia"/>
                <w:szCs w:val="28"/>
              </w:rPr>
              <w:t>VIVA OPTICAL DISC MANUFACTURING LIMITED</w:t>
            </w:r>
          </w:p>
        </w:tc>
        <w:tc>
          <w:tcPr>
            <w:tcW w:w="1980" w:type="dxa"/>
          </w:tcPr>
          <w:p w:rsidR="002341DF" w:rsidRDefault="00AB0910" w:rsidP="00AB0910">
            <w:pPr>
              <w:jc w:val="center"/>
              <w:rPr>
                <w:szCs w:val="28"/>
              </w:rPr>
            </w:pPr>
            <w:r>
              <w:rPr>
                <w:rFonts w:hint="eastAsia"/>
                <w:szCs w:val="28"/>
              </w:rPr>
              <w:t>2</w:t>
            </w:r>
            <w:r w:rsidRPr="00AB0910">
              <w:rPr>
                <w:rFonts w:hint="eastAsia"/>
                <w:szCs w:val="28"/>
                <w:vertAlign w:val="superscript"/>
              </w:rPr>
              <w:t>nd</w:t>
            </w:r>
            <w:r>
              <w:rPr>
                <w:rFonts w:hint="eastAsia"/>
                <w:szCs w:val="28"/>
              </w:rPr>
              <w:t xml:space="preserve"> D</w:t>
            </w:r>
            <w:r w:rsidRPr="0080173A">
              <w:rPr>
                <w:szCs w:val="28"/>
              </w:rPr>
              <w:t>efendant</w:t>
            </w:r>
          </w:p>
          <w:p w:rsidR="003659E0" w:rsidRPr="0080173A" w:rsidRDefault="002341DF" w:rsidP="00AB0910">
            <w:pPr>
              <w:jc w:val="center"/>
              <w:rPr>
                <w:szCs w:val="28"/>
              </w:rPr>
            </w:pPr>
            <w:r>
              <w:rPr>
                <w:rFonts w:hint="eastAsia"/>
                <w:szCs w:val="28"/>
              </w:rPr>
              <w:t>(Discontinued)</w:t>
            </w:r>
          </w:p>
        </w:tc>
      </w:tr>
    </w:tbl>
    <w:p w:rsidR="003659E0" w:rsidRPr="0080173A" w:rsidRDefault="003659E0">
      <w:pPr>
        <w:pStyle w:val="normal2"/>
        <w:tabs>
          <w:tab w:val="clear" w:pos="1411"/>
          <w:tab w:val="clear" w:pos="4320"/>
          <w:tab w:val="clear" w:pos="9072"/>
        </w:tabs>
        <w:overflowPunct/>
        <w:autoSpaceDE/>
        <w:autoSpaceDN/>
        <w:adjustRightInd w:val="0"/>
        <w:rPr>
          <w:rFonts w:eastAsia="SimSun"/>
          <w:caps w:val="0"/>
          <w:sz w:val="24"/>
          <w:lang w:val="en-US"/>
        </w:rPr>
      </w:pPr>
    </w:p>
    <w:p w:rsidR="002341DF" w:rsidRDefault="002341DF" w:rsidP="002341DF">
      <w:pPr>
        <w:tabs>
          <w:tab w:val="clear" w:pos="4320"/>
          <w:tab w:val="clear" w:pos="9072"/>
        </w:tabs>
        <w:adjustRightInd w:val="0"/>
        <w:spacing w:line="360" w:lineRule="auto"/>
        <w:jc w:val="center"/>
        <w:rPr>
          <w:szCs w:val="28"/>
        </w:rPr>
      </w:pPr>
      <w:r w:rsidRPr="0080173A">
        <w:rPr>
          <w:szCs w:val="28"/>
        </w:rPr>
        <w:t>--------------------</w:t>
      </w:r>
    </w:p>
    <w:p w:rsidR="00D40908" w:rsidRPr="0080173A" w:rsidRDefault="00D40908">
      <w:pPr>
        <w:pStyle w:val="normal3"/>
        <w:tabs>
          <w:tab w:val="clear" w:pos="4320"/>
          <w:tab w:val="clear" w:pos="4500"/>
          <w:tab w:val="clear" w:pos="9000"/>
          <w:tab w:val="clear" w:pos="9072"/>
        </w:tabs>
        <w:overflowPunct/>
        <w:autoSpaceDE/>
        <w:autoSpaceDN/>
        <w:adjustRightInd w:val="0"/>
        <w:spacing w:line="240" w:lineRule="auto"/>
        <w:rPr>
          <w:rFonts w:eastAsia="SimSun"/>
          <w:sz w:val="24"/>
          <w:lang w:val="en-US"/>
        </w:rPr>
      </w:pPr>
    </w:p>
    <w:p w:rsidR="00D40908" w:rsidRPr="0080173A" w:rsidRDefault="00D40908">
      <w:pPr>
        <w:tabs>
          <w:tab w:val="clear" w:pos="4320"/>
          <w:tab w:val="clear" w:pos="9072"/>
        </w:tabs>
        <w:adjustRightInd w:val="0"/>
        <w:spacing w:line="360" w:lineRule="auto"/>
        <w:rPr>
          <w:szCs w:val="28"/>
        </w:rPr>
      </w:pPr>
      <w:r w:rsidRPr="0080173A">
        <w:rPr>
          <w:szCs w:val="28"/>
        </w:rPr>
        <w:t>Coram</w:t>
      </w:r>
      <w:r w:rsidR="00C92DF1">
        <w:rPr>
          <w:rFonts w:hint="eastAsia"/>
          <w:szCs w:val="28"/>
        </w:rPr>
        <w:t xml:space="preserve">  </w:t>
      </w:r>
      <w:r w:rsidRPr="0080173A">
        <w:rPr>
          <w:szCs w:val="28"/>
        </w:rPr>
        <w:t xml:space="preserve">:  Deputy District Judge </w:t>
      </w:r>
      <w:r w:rsidR="002341DF">
        <w:rPr>
          <w:rFonts w:hint="eastAsia"/>
          <w:szCs w:val="28"/>
        </w:rPr>
        <w:t>Tracy</w:t>
      </w:r>
      <w:r w:rsidR="0080173A" w:rsidRPr="0080173A">
        <w:rPr>
          <w:szCs w:val="28"/>
        </w:rPr>
        <w:t xml:space="preserve"> Chan </w:t>
      </w:r>
      <w:r w:rsidRPr="0080173A">
        <w:rPr>
          <w:szCs w:val="28"/>
        </w:rPr>
        <w:t>in C</w:t>
      </w:r>
      <w:r w:rsidR="003D097B">
        <w:rPr>
          <w:rFonts w:hint="eastAsia"/>
          <w:szCs w:val="28"/>
        </w:rPr>
        <w:t>hambers</w:t>
      </w:r>
    </w:p>
    <w:p w:rsidR="00D40908" w:rsidRPr="0080173A" w:rsidRDefault="00D40908" w:rsidP="0080173A">
      <w:pPr>
        <w:tabs>
          <w:tab w:val="clear" w:pos="4320"/>
          <w:tab w:val="clear" w:pos="9072"/>
        </w:tabs>
        <w:adjustRightInd w:val="0"/>
        <w:spacing w:line="360" w:lineRule="auto"/>
        <w:rPr>
          <w:szCs w:val="28"/>
        </w:rPr>
      </w:pPr>
      <w:r w:rsidRPr="0080173A">
        <w:rPr>
          <w:szCs w:val="28"/>
        </w:rPr>
        <w:t>Dates of hearing</w:t>
      </w:r>
      <w:r w:rsidR="00C92DF1">
        <w:rPr>
          <w:rFonts w:hint="eastAsia"/>
          <w:szCs w:val="28"/>
        </w:rPr>
        <w:t xml:space="preserve">  </w:t>
      </w:r>
      <w:r w:rsidRPr="0080173A">
        <w:rPr>
          <w:szCs w:val="28"/>
        </w:rPr>
        <w:t xml:space="preserve">:  </w:t>
      </w:r>
      <w:r w:rsidR="003D097B">
        <w:rPr>
          <w:rFonts w:hint="eastAsia"/>
          <w:szCs w:val="28"/>
        </w:rPr>
        <w:t>19 March 2013</w:t>
      </w:r>
    </w:p>
    <w:p w:rsidR="00D40908" w:rsidRPr="0080173A" w:rsidRDefault="00D40908">
      <w:pPr>
        <w:tabs>
          <w:tab w:val="clear" w:pos="4320"/>
          <w:tab w:val="clear" w:pos="9072"/>
        </w:tabs>
        <w:adjustRightInd w:val="0"/>
        <w:spacing w:line="360" w:lineRule="auto"/>
        <w:rPr>
          <w:szCs w:val="28"/>
        </w:rPr>
      </w:pPr>
      <w:r w:rsidRPr="0080173A">
        <w:rPr>
          <w:szCs w:val="28"/>
        </w:rPr>
        <w:t xml:space="preserve">Date of handing down </w:t>
      </w:r>
      <w:r w:rsidR="003D097B">
        <w:rPr>
          <w:rFonts w:hint="eastAsia"/>
          <w:szCs w:val="28"/>
        </w:rPr>
        <w:t>Decision</w:t>
      </w:r>
      <w:r w:rsidR="00C92DF1">
        <w:rPr>
          <w:rFonts w:hint="eastAsia"/>
          <w:szCs w:val="28"/>
        </w:rPr>
        <w:t xml:space="preserve"> </w:t>
      </w:r>
      <w:r w:rsidRPr="0080173A">
        <w:rPr>
          <w:szCs w:val="28"/>
        </w:rPr>
        <w:t xml:space="preserve">: </w:t>
      </w:r>
      <w:r w:rsidR="0080173A" w:rsidRPr="0080173A">
        <w:rPr>
          <w:szCs w:val="28"/>
        </w:rPr>
        <w:t xml:space="preserve"> </w:t>
      </w:r>
      <w:r w:rsidR="001475F1">
        <w:rPr>
          <w:rFonts w:hint="eastAsia"/>
          <w:szCs w:val="28"/>
        </w:rPr>
        <w:t>1</w:t>
      </w:r>
      <w:r w:rsidR="00315501">
        <w:rPr>
          <w:rFonts w:hint="eastAsia"/>
          <w:szCs w:val="28"/>
        </w:rPr>
        <w:t>2</w:t>
      </w:r>
      <w:r w:rsidR="003D097B">
        <w:rPr>
          <w:rFonts w:hint="eastAsia"/>
          <w:szCs w:val="28"/>
        </w:rPr>
        <w:t xml:space="preserve"> </w:t>
      </w:r>
      <w:r w:rsidR="00C272E5">
        <w:rPr>
          <w:rFonts w:hint="eastAsia"/>
          <w:szCs w:val="28"/>
        </w:rPr>
        <w:t>April</w:t>
      </w:r>
      <w:r w:rsidR="00096CE8">
        <w:rPr>
          <w:rFonts w:hint="eastAsia"/>
          <w:szCs w:val="28"/>
        </w:rPr>
        <w:t xml:space="preserve"> </w:t>
      </w:r>
      <w:r w:rsidR="003659E0" w:rsidRPr="0080173A">
        <w:rPr>
          <w:szCs w:val="28"/>
        </w:rPr>
        <w:t>201</w:t>
      </w:r>
      <w:r w:rsidR="003D097B">
        <w:rPr>
          <w:rFonts w:hint="eastAsia"/>
          <w:szCs w:val="28"/>
        </w:rPr>
        <w:t>3</w:t>
      </w:r>
    </w:p>
    <w:p w:rsidR="00D40908" w:rsidRPr="00CC6AFD" w:rsidRDefault="00D40908" w:rsidP="00F23335">
      <w:pPr>
        <w:pStyle w:val="Heading1"/>
        <w:spacing w:before="60"/>
        <w:jc w:val="center"/>
        <w:rPr>
          <w:rFonts w:ascii="Times New Roman" w:hAnsi="Times New Roman"/>
          <w:b w:val="0"/>
          <w:bCs/>
          <w:szCs w:val="28"/>
          <w:u w:val="single"/>
          <w:lang w:val="en-US"/>
        </w:rPr>
      </w:pPr>
    </w:p>
    <w:p w:rsidR="003D097B" w:rsidRPr="003D097B" w:rsidRDefault="003D097B" w:rsidP="003D097B">
      <w:pPr>
        <w:jc w:val="center"/>
        <w:rPr>
          <w:rFonts w:hint="eastAsia"/>
          <w:b/>
          <w:u w:val="single"/>
        </w:rPr>
      </w:pPr>
      <w:r w:rsidRPr="003D097B">
        <w:rPr>
          <w:rFonts w:hint="eastAsia"/>
          <w:b/>
          <w:u w:val="single"/>
        </w:rPr>
        <w:t xml:space="preserve">DECISION ON APPLICATIONS </w:t>
      </w:r>
      <w:r w:rsidR="00315501">
        <w:rPr>
          <w:rFonts w:hint="eastAsia"/>
          <w:b/>
          <w:u w:val="single"/>
        </w:rPr>
        <w:t xml:space="preserve">MADE </w:t>
      </w:r>
      <w:r w:rsidRPr="003D097B">
        <w:rPr>
          <w:rFonts w:hint="eastAsia"/>
          <w:b/>
          <w:u w:val="single"/>
        </w:rPr>
        <w:t xml:space="preserve">PURSUANT TO </w:t>
      </w:r>
      <w:r w:rsidR="00315501">
        <w:rPr>
          <w:rFonts w:hint="eastAsia"/>
          <w:b/>
          <w:u w:val="single"/>
        </w:rPr>
        <w:t xml:space="preserve">     </w:t>
      </w:r>
      <w:r w:rsidRPr="003D097B">
        <w:rPr>
          <w:rFonts w:hint="eastAsia"/>
          <w:b/>
          <w:u w:val="single"/>
        </w:rPr>
        <w:t>ORDER 22</w:t>
      </w:r>
      <w:r w:rsidR="00315501">
        <w:rPr>
          <w:rFonts w:hint="eastAsia"/>
          <w:b/>
          <w:u w:val="single"/>
        </w:rPr>
        <w:t xml:space="preserve"> RULES OF THE DISTRICT COURT </w:t>
      </w:r>
    </w:p>
    <w:p w:rsidR="00D40908" w:rsidRPr="0080173A" w:rsidRDefault="00D40908">
      <w:pPr>
        <w:pStyle w:val="normal3"/>
        <w:tabs>
          <w:tab w:val="clear" w:pos="1440"/>
          <w:tab w:val="clear" w:pos="4320"/>
          <w:tab w:val="clear" w:pos="4500"/>
          <w:tab w:val="clear" w:pos="9000"/>
          <w:tab w:val="clear" w:pos="9072"/>
        </w:tabs>
        <w:overflowPunct/>
        <w:autoSpaceDE/>
        <w:autoSpaceDN/>
        <w:snapToGrid/>
        <w:spacing w:line="240" w:lineRule="auto"/>
        <w:rPr>
          <w:rFonts w:eastAsia="SimSun"/>
          <w:sz w:val="24"/>
          <w:szCs w:val="24"/>
          <w:lang w:val="en-US"/>
        </w:rPr>
      </w:pPr>
    </w:p>
    <w:p w:rsidR="000F2BA9" w:rsidRDefault="004D4BAB" w:rsidP="001C5CA2">
      <w:pPr>
        <w:spacing w:line="360" w:lineRule="auto"/>
        <w:jc w:val="both"/>
        <w:rPr>
          <w:b/>
          <w:bCs/>
          <w:i/>
          <w:szCs w:val="24"/>
        </w:rPr>
      </w:pPr>
      <w:r w:rsidRPr="004D4BAB">
        <w:rPr>
          <w:rFonts w:hint="eastAsia"/>
          <w:b/>
          <w:bCs/>
          <w:i/>
          <w:szCs w:val="24"/>
        </w:rPr>
        <w:t xml:space="preserve"> </w:t>
      </w:r>
    </w:p>
    <w:p w:rsidR="003D097B" w:rsidRDefault="003D097B" w:rsidP="003D097B">
      <w:pPr>
        <w:pStyle w:val="ListParagraph"/>
        <w:numPr>
          <w:ilvl w:val="0"/>
          <w:numId w:val="29"/>
        </w:numPr>
        <w:tabs>
          <w:tab w:val="clear" w:pos="4320"/>
          <w:tab w:val="clear" w:pos="9072"/>
        </w:tabs>
        <w:spacing w:line="360" w:lineRule="auto"/>
        <w:ind w:left="0" w:firstLine="0"/>
        <w:jc w:val="both"/>
        <w:rPr>
          <w:rFonts w:hint="eastAsia"/>
        </w:rPr>
      </w:pPr>
      <w:r>
        <w:t>T</w:t>
      </w:r>
      <w:r>
        <w:rPr>
          <w:rFonts w:hint="eastAsia"/>
        </w:rPr>
        <w:t xml:space="preserve">he Plaintiff in these </w:t>
      </w:r>
      <w:r>
        <w:t>proceedings</w:t>
      </w:r>
      <w:r>
        <w:rPr>
          <w:rFonts w:hint="eastAsia"/>
        </w:rPr>
        <w:t xml:space="preserve"> claimed </w:t>
      </w:r>
      <w:r>
        <w:t>against</w:t>
      </w:r>
      <w:r>
        <w:rPr>
          <w:rFonts w:hint="eastAsia"/>
        </w:rPr>
        <w:t xml:space="preserve"> the </w:t>
      </w:r>
      <w:r w:rsidR="00B2707C">
        <w:rPr>
          <w:rFonts w:hint="eastAsia"/>
        </w:rPr>
        <w:t>1</w:t>
      </w:r>
      <w:r w:rsidR="00B2707C" w:rsidRPr="00B2707C">
        <w:rPr>
          <w:rFonts w:hint="eastAsia"/>
          <w:vertAlign w:val="superscript"/>
        </w:rPr>
        <w:t>st</w:t>
      </w:r>
      <w:r w:rsidR="00B2707C">
        <w:rPr>
          <w:rFonts w:hint="eastAsia"/>
        </w:rPr>
        <w:t xml:space="preserve"> </w:t>
      </w:r>
      <w:r>
        <w:rPr>
          <w:rFonts w:hint="eastAsia"/>
        </w:rPr>
        <w:t xml:space="preserve">Defendant, his former employer, for damages he had suffered from an accident which </w:t>
      </w:r>
      <w:r>
        <w:t>occurred</w:t>
      </w:r>
      <w:r>
        <w:rPr>
          <w:rFonts w:hint="eastAsia"/>
        </w:rPr>
        <w:t xml:space="preserve"> in the course of his employment.</w:t>
      </w:r>
      <w:r w:rsidR="00B11789">
        <w:rPr>
          <w:rFonts w:hint="eastAsia"/>
        </w:rPr>
        <w:t xml:space="preserve"> Both l</w:t>
      </w:r>
      <w:r>
        <w:rPr>
          <w:rFonts w:hint="eastAsia"/>
        </w:rPr>
        <w:t xml:space="preserve">iability </w:t>
      </w:r>
      <w:r w:rsidR="00B11789">
        <w:rPr>
          <w:rFonts w:hint="eastAsia"/>
        </w:rPr>
        <w:t xml:space="preserve">and damages </w:t>
      </w:r>
      <w:r>
        <w:rPr>
          <w:rFonts w:hint="eastAsia"/>
        </w:rPr>
        <w:t>w</w:t>
      </w:r>
      <w:r w:rsidR="00B11789">
        <w:rPr>
          <w:rFonts w:hint="eastAsia"/>
        </w:rPr>
        <w:t>ere</w:t>
      </w:r>
      <w:r>
        <w:rPr>
          <w:rFonts w:hint="eastAsia"/>
        </w:rPr>
        <w:t xml:space="preserve"> argued </w:t>
      </w:r>
      <w:r w:rsidR="00B11789">
        <w:rPr>
          <w:rFonts w:hint="eastAsia"/>
        </w:rPr>
        <w:t>and the matter was listed before this court for decision.</w:t>
      </w:r>
      <w:r>
        <w:rPr>
          <w:rFonts w:hint="eastAsia"/>
        </w:rPr>
        <w:t xml:space="preserve"> </w:t>
      </w:r>
    </w:p>
    <w:p w:rsidR="003D097B" w:rsidRDefault="003D097B" w:rsidP="003D097B">
      <w:pPr>
        <w:pStyle w:val="ListParagraph"/>
        <w:tabs>
          <w:tab w:val="clear" w:pos="4320"/>
          <w:tab w:val="clear" w:pos="9072"/>
        </w:tabs>
        <w:spacing w:line="360" w:lineRule="auto"/>
        <w:ind w:left="0"/>
        <w:jc w:val="both"/>
        <w:rPr>
          <w:rFonts w:hint="eastAsia"/>
        </w:rPr>
      </w:pPr>
    </w:p>
    <w:p w:rsidR="003D097B" w:rsidRDefault="003D097B" w:rsidP="003D097B">
      <w:pPr>
        <w:pStyle w:val="ListParagraph"/>
        <w:numPr>
          <w:ilvl w:val="0"/>
          <w:numId w:val="29"/>
        </w:numPr>
        <w:tabs>
          <w:tab w:val="clear" w:pos="4320"/>
          <w:tab w:val="clear" w:pos="9072"/>
        </w:tabs>
        <w:spacing w:line="360" w:lineRule="auto"/>
        <w:ind w:left="0" w:firstLine="0"/>
        <w:jc w:val="both"/>
        <w:rPr>
          <w:rFonts w:hint="eastAsia"/>
        </w:rPr>
      </w:pPr>
      <w:r>
        <w:lastRenderedPageBreak/>
        <w:t>A</w:t>
      </w:r>
      <w:r>
        <w:rPr>
          <w:rFonts w:hint="eastAsia"/>
        </w:rPr>
        <w:t xml:space="preserve">fter hearing </w:t>
      </w:r>
      <w:r>
        <w:t>evidence</w:t>
      </w:r>
      <w:r>
        <w:rPr>
          <w:rFonts w:hint="eastAsia"/>
        </w:rPr>
        <w:t xml:space="preserve"> and submissions, it was decided on 19 December 2012 that the </w:t>
      </w:r>
      <w:r w:rsidR="00B2707C">
        <w:rPr>
          <w:rFonts w:hint="eastAsia"/>
        </w:rPr>
        <w:t>1</w:t>
      </w:r>
      <w:r w:rsidR="00B2707C" w:rsidRPr="00B2707C">
        <w:rPr>
          <w:rFonts w:hint="eastAsia"/>
          <w:vertAlign w:val="superscript"/>
        </w:rPr>
        <w:t>st</w:t>
      </w:r>
      <w:r w:rsidR="00B2707C">
        <w:rPr>
          <w:rFonts w:hint="eastAsia"/>
        </w:rPr>
        <w:t xml:space="preserve"> </w:t>
      </w:r>
      <w:r>
        <w:rPr>
          <w:rFonts w:hint="eastAsia"/>
        </w:rPr>
        <w:t>Defendant was liable to pay damages for a sum of $87,368.21; and that by an order nisi the Defendant was to pay the Plaintiff</w:t>
      </w:r>
      <w:r>
        <w:t>’</w:t>
      </w:r>
      <w:r>
        <w:rPr>
          <w:rFonts w:hint="eastAsia"/>
        </w:rPr>
        <w:t>s costs.</w:t>
      </w:r>
    </w:p>
    <w:p w:rsidR="003D097B" w:rsidRDefault="003D097B" w:rsidP="003D097B">
      <w:pPr>
        <w:pStyle w:val="ListParagraph"/>
      </w:pPr>
    </w:p>
    <w:p w:rsidR="003D097B" w:rsidRDefault="003D097B" w:rsidP="003D097B">
      <w:pPr>
        <w:pStyle w:val="ListParagraph"/>
        <w:numPr>
          <w:ilvl w:val="0"/>
          <w:numId w:val="29"/>
        </w:numPr>
        <w:tabs>
          <w:tab w:val="clear" w:pos="4320"/>
          <w:tab w:val="clear" w:pos="9072"/>
        </w:tabs>
        <w:spacing w:line="360" w:lineRule="auto"/>
        <w:ind w:left="0" w:firstLine="0"/>
        <w:jc w:val="both"/>
        <w:rPr>
          <w:rFonts w:hint="eastAsia"/>
        </w:rPr>
      </w:pPr>
      <w:r>
        <w:rPr>
          <w:rFonts w:hint="eastAsia"/>
        </w:rPr>
        <w:t>By way of a summons dated 28 December 2012, the Plaintiff applied to vary the above costs order nisi, the terms asked for are as follows:</w:t>
      </w:r>
    </w:p>
    <w:p w:rsidR="003D097B" w:rsidRPr="003D097B" w:rsidRDefault="003D097B" w:rsidP="003D097B">
      <w:pPr>
        <w:pStyle w:val="ListParagraph"/>
        <w:numPr>
          <w:ilvl w:val="0"/>
          <w:numId w:val="1"/>
        </w:numPr>
        <w:tabs>
          <w:tab w:val="clear" w:pos="720"/>
          <w:tab w:val="clear" w:pos="1440"/>
          <w:tab w:val="clear" w:pos="4320"/>
          <w:tab w:val="clear" w:pos="9072"/>
        </w:tabs>
        <w:snapToGrid/>
        <w:spacing w:after="200" w:line="276" w:lineRule="auto"/>
        <w:ind w:left="1440" w:hanging="720"/>
        <w:contextualSpacing/>
        <w:rPr>
          <w:rFonts w:hint="eastAsia"/>
          <w:szCs w:val="28"/>
        </w:rPr>
      </w:pPr>
      <w:r w:rsidRPr="003D097B">
        <w:rPr>
          <w:rFonts w:hint="eastAsia"/>
          <w:szCs w:val="28"/>
        </w:rPr>
        <w:t xml:space="preserve">Costs of </w:t>
      </w:r>
      <w:r w:rsidRPr="003D097B">
        <w:rPr>
          <w:szCs w:val="28"/>
        </w:rPr>
        <w:t>the</w:t>
      </w:r>
      <w:r w:rsidRPr="003D097B">
        <w:rPr>
          <w:rFonts w:hint="eastAsia"/>
          <w:szCs w:val="28"/>
        </w:rPr>
        <w:t xml:space="preserve"> Proceedings from 1 December 2010 on indemnity basis to be taxed if not agreed; and </w:t>
      </w:r>
    </w:p>
    <w:p w:rsidR="003D097B" w:rsidRDefault="003D097B" w:rsidP="003D097B">
      <w:pPr>
        <w:pStyle w:val="ListParagraph"/>
        <w:numPr>
          <w:ilvl w:val="0"/>
          <w:numId w:val="1"/>
        </w:numPr>
        <w:tabs>
          <w:tab w:val="clear" w:pos="720"/>
          <w:tab w:val="clear" w:pos="1440"/>
          <w:tab w:val="clear" w:pos="4320"/>
          <w:tab w:val="clear" w:pos="9072"/>
        </w:tabs>
        <w:snapToGrid/>
        <w:spacing w:after="200" w:line="276" w:lineRule="auto"/>
        <w:ind w:left="1440" w:hanging="720"/>
        <w:contextualSpacing/>
        <w:rPr>
          <w:rFonts w:hint="eastAsia"/>
          <w:szCs w:val="28"/>
        </w:rPr>
      </w:pPr>
      <w:r w:rsidRPr="003D097B">
        <w:rPr>
          <w:szCs w:val="28"/>
        </w:rPr>
        <w:t>E</w:t>
      </w:r>
      <w:r w:rsidRPr="003D097B">
        <w:rPr>
          <w:rFonts w:hint="eastAsia"/>
          <w:szCs w:val="28"/>
        </w:rPr>
        <w:t xml:space="preserve">nhanced interest on </w:t>
      </w:r>
      <w:r w:rsidR="00B2707C">
        <w:rPr>
          <w:rFonts w:hint="eastAsia"/>
          <w:szCs w:val="28"/>
        </w:rPr>
        <w:t>the 1</w:t>
      </w:r>
      <w:r w:rsidR="00B2707C" w:rsidRPr="00B2707C">
        <w:rPr>
          <w:rFonts w:hint="eastAsia"/>
          <w:szCs w:val="28"/>
          <w:vertAlign w:val="superscript"/>
        </w:rPr>
        <w:t>st</w:t>
      </w:r>
      <w:r w:rsidR="00B2707C">
        <w:rPr>
          <w:rFonts w:hint="eastAsia"/>
          <w:szCs w:val="28"/>
        </w:rPr>
        <w:t xml:space="preserve"> </w:t>
      </w:r>
      <w:r w:rsidR="005474D2" w:rsidRPr="003D097B">
        <w:rPr>
          <w:szCs w:val="28"/>
        </w:rPr>
        <w:t>D</w:t>
      </w:r>
      <w:r w:rsidR="005474D2">
        <w:rPr>
          <w:szCs w:val="28"/>
        </w:rPr>
        <w:t>efendant’s</w:t>
      </w:r>
      <w:r w:rsidRPr="003D097B">
        <w:rPr>
          <w:rFonts w:hint="eastAsia"/>
          <w:szCs w:val="28"/>
        </w:rPr>
        <w:t xml:space="preserve"> costs at a rate not exceeding 10% above judgment rate.</w:t>
      </w:r>
    </w:p>
    <w:p w:rsidR="003D097B" w:rsidRDefault="003D097B" w:rsidP="003D097B">
      <w:pPr>
        <w:pStyle w:val="ListParagraph"/>
        <w:tabs>
          <w:tab w:val="clear" w:pos="1440"/>
          <w:tab w:val="clear" w:pos="4320"/>
          <w:tab w:val="clear" w:pos="9072"/>
        </w:tabs>
        <w:snapToGrid/>
        <w:spacing w:after="200" w:line="276" w:lineRule="auto"/>
        <w:ind w:left="0"/>
        <w:contextualSpacing/>
        <w:rPr>
          <w:rFonts w:hint="eastAsia"/>
          <w:szCs w:val="28"/>
        </w:rPr>
      </w:pPr>
    </w:p>
    <w:p w:rsidR="00315501" w:rsidRDefault="003D097B" w:rsidP="003D097B">
      <w:pPr>
        <w:pStyle w:val="ListParagraph"/>
        <w:numPr>
          <w:ilvl w:val="0"/>
          <w:numId w:val="29"/>
        </w:numPr>
        <w:tabs>
          <w:tab w:val="clear" w:pos="4320"/>
          <w:tab w:val="clear" w:pos="9072"/>
        </w:tabs>
        <w:spacing w:line="360" w:lineRule="auto"/>
        <w:ind w:left="0" w:firstLine="0"/>
        <w:jc w:val="both"/>
        <w:rPr>
          <w:rFonts w:hint="eastAsia"/>
        </w:rPr>
      </w:pPr>
      <w:r>
        <w:rPr>
          <w:rFonts w:hint="eastAsia"/>
        </w:rPr>
        <w:t>The reason in support of the application is mainly that the Plaintiff had done better in trial than his sanctioned offer made on 3 November 2010 (</w:t>
      </w:r>
      <w:r>
        <w:t>“</w:t>
      </w:r>
      <w:r>
        <w:rPr>
          <w:rFonts w:hint="eastAsia"/>
        </w:rPr>
        <w:t>the Offer</w:t>
      </w:r>
      <w:r>
        <w:t>”</w:t>
      </w:r>
      <w:r>
        <w:rPr>
          <w:rFonts w:hint="eastAsia"/>
        </w:rPr>
        <w:t>). The Offer was to expire in 28 days on 1</w:t>
      </w:r>
      <w:r w:rsidRPr="003D097B">
        <w:rPr>
          <w:rFonts w:hint="eastAsia"/>
        </w:rPr>
        <w:t>st</w:t>
      </w:r>
      <w:r>
        <w:rPr>
          <w:rFonts w:hint="eastAsia"/>
        </w:rPr>
        <w:t xml:space="preserve"> December 2010. It was said that the </w:t>
      </w:r>
      <w:r w:rsidR="00B2707C">
        <w:rPr>
          <w:rFonts w:hint="eastAsia"/>
        </w:rPr>
        <w:t>1</w:t>
      </w:r>
      <w:r w:rsidR="00B2707C" w:rsidRPr="00315501">
        <w:rPr>
          <w:rFonts w:hint="eastAsia"/>
          <w:vertAlign w:val="superscript"/>
        </w:rPr>
        <w:t>st</w:t>
      </w:r>
      <w:r w:rsidR="00B2707C">
        <w:rPr>
          <w:rFonts w:hint="eastAsia"/>
        </w:rPr>
        <w:t xml:space="preserve"> </w:t>
      </w:r>
      <w:r>
        <w:rPr>
          <w:rFonts w:hint="eastAsia"/>
        </w:rPr>
        <w:t>Defendant having failed to accept the Offer would now have to bear the consequences</w:t>
      </w:r>
      <w:r w:rsidR="00315501" w:rsidRPr="00315501">
        <w:rPr>
          <w:rFonts w:hint="eastAsia"/>
        </w:rPr>
        <w:t xml:space="preserve"> </w:t>
      </w:r>
      <w:r w:rsidR="00315501">
        <w:rPr>
          <w:rFonts w:hint="eastAsia"/>
        </w:rPr>
        <w:t>on costs and interest</w:t>
      </w:r>
      <w:r>
        <w:rPr>
          <w:rFonts w:hint="eastAsia"/>
        </w:rPr>
        <w:t xml:space="preserve"> prescribed </w:t>
      </w:r>
      <w:r w:rsidR="00315501">
        <w:rPr>
          <w:rFonts w:hint="eastAsia"/>
        </w:rPr>
        <w:t xml:space="preserve">under rule 24, </w:t>
      </w:r>
      <w:r>
        <w:rPr>
          <w:rFonts w:hint="eastAsia"/>
        </w:rPr>
        <w:t>Order 22</w:t>
      </w:r>
      <w:r w:rsidR="00315501">
        <w:rPr>
          <w:rFonts w:hint="eastAsia"/>
        </w:rPr>
        <w:t xml:space="preserve"> of </w:t>
      </w:r>
      <w:r w:rsidR="00315501">
        <w:t>the</w:t>
      </w:r>
      <w:r w:rsidR="00315501">
        <w:rPr>
          <w:rFonts w:hint="eastAsia"/>
        </w:rPr>
        <w:t xml:space="preserve"> Rules of the District Court, Cap. 336 H.</w:t>
      </w:r>
    </w:p>
    <w:p w:rsidR="003D097B" w:rsidRDefault="00315501" w:rsidP="00315501">
      <w:pPr>
        <w:pStyle w:val="ListParagraph"/>
        <w:tabs>
          <w:tab w:val="clear" w:pos="4320"/>
          <w:tab w:val="clear" w:pos="9072"/>
        </w:tabs>
        <w:spacing w:line="360" w:lineRule="auto"/>
        <w:jc w:val="both"/>
        <w:rPr>
          <w:rFonts w:hint="eastAsia"/>
        </w:rPr>
      </w:pPr>
      <w:r>
        <w:rPr>
          <w:rFonts w:hint="eastAsia"/>
        </w:rPr>
        <w:t xml:space="preserve">  </w:t>
      </w:r>
    </w:p>
    <w:p w:rsidR="003D097B" w:rsidRDefault="003D097B" w:rsidP="003D097B">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Knowing that the ground taken by the </w:t>
      </w:r>
      <w:r w:rsidR="00B2707C">
        <w:rPr>
          <w:rFonts w:hint="eastAsia"/>
        </w:rPr>
        <w:t>1</w:t>
      </w:r>
      <w:r w:rsidR="00B2707C" w:rsidRPr="00B2707C">
        <w:rPr>
          <w:rFonts w:hint="eastAsia"/>
          <w:vertAlign w:val="superscript"/>
        </w:rPr>
        <w:t>st</w:t>
      </w:r>
      <w:r w:rsidR="00B2707C">
        <w:rPr>
          <w:rFonts w:hint="eastAsia"/>
        </w:rPr>
        <w:t xml:space="preserve"> </w:t>
      </w:r>
      <w:r>
        <w:rPr>
          <w:rFonts w:hint="eastAsia"/>
        </w:rPr>
        <w:t xml:space="preserve">Defendant in opposition is </w:t>
      </w:r>
      <w:r w:rsidR="00B11789">
        <w:rPr>
          <w:rFonts w:hint="eastAsia"/>
        </w:rPr>
        <w:t xml:space="preserve">that </w:t>
      </w:r>
      <w:r>
        <w:rPr>
          <w:rFonts w:hint="eastAsia"/>
        </w:rPr>
        <w:t xml:space="preserve">the </w:t>
      </w:r>
      <w:r w:rsidR="00B11789">
        <w:rPr>
          <w:rFonts w:hint="eastAsia"/>
        </w:rPr>
        <w:t>O</w:t>
      </w:r>
      <w:r>
        <w:rPr>
          <w:rFonts w:hint="eastAsia"/>
        </w:rPr>
        <w:t>ffer was not a sanctioned offer under Order 22 (</w:t>
      </w:r>
      <w:r>
        <w:t>“</w:t>
      </w:r>
      <w:r>
        <w:rPr>
          <w:rFonts w:hint="eastAsia"/>
        </w:rPr>
        <w:t>Sanctioned Offer</w:t>
      </w:r>
      <w:r>
        <w:t>”</w:t>
      </w:r>
      <w:r>
        <w:rPr>
          <w:rFonts w:hint="eastAsia"/>
        </w:rPr>
        <w:t xml:space="preserve">) as </w:t>
      </w:r>
      <w:r w:rsidR="001475F1">
        <w:rPr>
          <w:rFonts w:hint="eastAsia"/>
        </w:rPr>
        <w:t xml:space="preserve">Order 22 </w:t>
      </w:r>
      <w:r>
        <w:rPr>
          <w:rFonts w:hint="eastAsia"/>
        </w:rPr>
        <w:t>r. 5 (7)</w:t>
      </w:r>
      <w:r w:rsidR="00315501">
        <w:rPr>
          <w:rStyle w:val="FootnoteReference"/>
        </w:rPr>
        <w:footnoteReference w:id="1"/>
      </w:r>
      <w:r>
        <w:rPr>
          <w:rFonts w:hint="eastAsia"/>
        </w:rPr>
        <w:t xml:space="preserve"> was not complied with, Mr Leung sought assistance from </w:t>
      </w:r>
      <w:r w:rsidR="00B11789">
        <w:rPr>
          <w:rFonts w:hint="eastAsia"/>
        </w:rPr>
        <w:t xml:space="preserve">two authorities: </w:t>
      </w:r>
      <w:r w:rsidRPr="003D097B">
        <w:rPr>
          <w:rFonts w:hint="eastAsia"/>
          <w:i/>
        </w:rPr>
        <w:t xml:space="preserve">Mitchell and </w:t>
      </w:r>
      <w:r w:rsidRPr="003D097B">
        <w:rPr>
          <w:i/>
        </w:rPr>
        <w:t>others</w:t>
      </w:r>
      <w:r w:rsidRPr="003D097B">
        <w:rPr>
          <w:rFonts w:hint="eastAsia"/>
          <w:i/>
        </w:rPr>
        <w:t xml:space="preserve"> v James and others</w:t>
      </w:r>
      <w:r>
        <w:rPr>
          <w:rFonts w:hint="eastAsia"/>
        </w:rPr>
        <w:t xml:space="preserve"> [2004] 1 WLR 158; </w:t>
      </w:r>
      <w:r w:rsidR="00B11789">
        <w:rPr>
          <w:rFonts w:hint="eastAsia"/>
        </w:rPr>
        <w:t xml:space="preserve">and </w:t>
      </w:r>
      <w:r w:rsidRPr="003D097B">
        <w:rPr>
          <w:rFonts w:hint="eastAsia"/>
          <w:i/>
        </w:rPr>
        <w:t>Sunbeam Investments Limited v The Incorporated Owners of Villa Veneto</w:t>
      </w:r>
      <w:r>
        <w:rPr>
          <w:rFonts w:hint="eastAsia"/>
        </w:rPr>
        <w:t xml:space="preserve"> LDBM 370/2007</w:t>
      </w:r>
      <w:r w:rsidR="00B11789">
        <w:rPr>
          <w:rFonts w:hint="eastAsia"/>
        </w:rPr>
        <w:t>.</w:t>
      </w:r>
      <w:r>
        <w:rPr>
          <w:rFonts w:hint="eastAsia"/>
        </w:rPr>
        <w:t xml:space="preserve"> </w:t>
      </w:r>
      <w:r w:rsidR="001475F1">
        <w:rPr>
          <w:rFonts w:hint="eastAsia"/>
        </w:rPr>
        <w:t xml:space="preserve">In </w:t>
      </w:r>
      <w:r w:rsidR="001475F1" w:rsidRPr="001475F1">
        <w:rPr>
          <w:rFonts w:hint="eastAsia"/>
          <w:i/>
        </w:rPr>
        <w:t xml:space="preserve">Mitchell v </w:t>
      </w:r>
      <w:r w:rsidR="001475F1" w:rsidRPr="001475F1">
        <w:rPr>
          <w:rFonts w:hint="eastAsia"/>
          <w:i/>
        </w:rPr>
        <w:lastRenderedPageBreak/>
        <w:t>James</w:t>
      </w:r>
      <w:r w:rsidR="001475F1">
        <w:rPr>
          <w:rFonts w:hint="eastAsia"/>
        </w:rPr>
        <w:t xml:space="preserve"> non-compliance of CPR rule 36.14, </w:t>
      </w:r>
      <w:r w:rsidR="00315501">
        <w:rPr>
          <w:rFonts w:hint="eastAsia"/>
        </w:rPr>
        <w:t xml:space="preserve">the </w:t>
      </w:r>
      <w:r w:rsidR="001F245D">
        <w:rPr>
          <w:rFonts w:hint="eastAsia"/>
        </w:rPr>
        <w:t xml:space="preserve">English counterpart of Order 22, </w:t>
      </w:r>
      <w:r w:rsidR="001475F1">
        <w:rPr>
          <w:rFonts w:hint="eastAsia"/>
        </w:rPr>
        <w:t xml:space="preserve">  </w:t>
      </w:r>
      <w:r>
        <w:rPr>
          <w:rFonts w:hint="eastAsia"/>
        </w:rPr>
        <w:t xml:space="preserve">was considered to be </w:t>
      </w:r>
      <w:r>
        <w:t>technical</w:t>
      </w:r>
      <w:r>
        <w:rPr>
          <w:rFonts w:hint="eastAsia"/>
        </w:rPr>
        <w:t xml:space="preserve"> and would not cause </w:t>
      </w:r>
      <w:r>
        <w:t>unfairness</w:t>
      </w:r>
      <w:r>
        <w:rPr>
          <w:rFonts w:hint="eastAsia"/>
        </w:rPr>
        <w:t xml:space="preserve"> </w:t>
      </w:r>
      <w:r>
        <w:t>“</w:t>
      </w:r>
      <w:r w:rsidRPr="001475F1">
        <w:rPr>
          <w:rFonts w:hint="eastAsia"/>
          <w:b/>
          <w:i/>
        </w:rPr>
        <w:t>with the defendants having legal advisers and there being no evidence that the defendants were misled</w:t>
      </w:r>
      <w:r>
        <w:t>”</w:t>
      </w:r>
      <w:r>
        <w:rPr>
          <w:rFonts w:hint="eastAsia"/>
        </w:rPr>
        <w:t xml:space="preserve">; </w:t>
      </w:r>
      <w:r w:rsidR="00B11789">
        <w:rPr>
          <w:rFonts w:hint="eastAsia"/>
        </w:rPr>
        <w:t xml:space="preserve">and </w:t>
      </w:r>
      <w:r>
        <w:rPr>
          <w:rFonts w:hint="eastAsia"/>
        </w:rPr>
        <w:t xml:space="preserve">that </w:t>
      </w:r>
      <w:r w:rsidR="00B11789">
        <w:rPr>
          <w:rFonts w:hint="eastAsia"/>
        </w:rPr>
        <w:t xml:space="preserve">the </w:t>
      </w:r>
      <w:r>
        <w:rPr>
          <w:rFonts w:hint="eastAsia"/>
        </w:rPr>
        <w:t xml:space="preserve">failure does not nullify the </w:t>
      </w:r>
      <w:r>
        <w:t>effect</w:t>
      </w:r>
      <w:r>
        <w:rPr>
          <w:rFonts w:hint="eastAsia"/>
        </w:rPr>
        <w:t xml:space="preserve"> of </w:t>
      </w:r>
      <w:r>
        <w:t>the</w:t>
      </w:r>
      <w:r>
        <w:rPr>
          <w:rFonts w:hint="eastAsia"/>
        </w:rPr>
        <w:t xml:space="preserve"> offer</w:t>
      </w:r>
      <w:r w:rsidR="001F245D">
        <w:rPr>
          <w:rFonts w:hint="eastAsia"/>
        </w:rPr>
        <w:t xml:space="preserve">. This approach was adopted by HHJ Wong in </w:t>
      </w:r>
      <w:r w:rsidR="001F245D" w:rsidRPr="003D097B">
        <w:rPr>
          <w:rFonts w:hint="eastAsia"/>
          <w:i/>
        </w:rPr>
        <w:t>Sunbeam Investments Limited</w:t>
      </w:r>
      <w:r w:rsidR="001F245D">
        <w:rPr>
          <w:rFonts w:hint="eastAsia"/>
          <w:i/>
        </w:rPr>
        <w:t xml:space="preserve">. </w:t>
      </w:r>
      <w:r w:rsidR="001F245D" w:rsidRPr="001F245D">
        <w:rPr>
          <w:rFonts w:hint="eastAsia"/>
        </w:rPr>
        <w:t xml:space="preserve">Mr Leung </w:t>
      </w:r>
      <w:r w:rsidR="001F245D">
        <w:rPr>
          <w:rFonts w:hint="eastAsia"/>
        </w:rPr>
        <w:t xml:space="preserve">submits that </w:t>
      </w:r>
      <w:r w:rsidR="001F245D" w:rsidRPr="001F245D">
        <w:rPr>
          <w:rFonts w:hint="eastAsia"/>
        </w:rPr>
        <w:t>this line of holdings</w:t>
      </w:r>
      <w:r w:rsidR="001F245D">
        <w:rPr>
          <w:rFonts w:hint="eastAsia"/>
        </w:rPr>
        <w:t xml:space="preserve"> should be followed</w:t>
      </w:r>
      <w:r w:rsidR="00315501">
        <w:rPr>
          <w:rFonts w:hint="eastAsia"/>
        </w:rPr>
        <w:t xml:space="preserve"> in the present case</w:t>
      </w:r>
      <w:r w:rsidR="001F245D" w:rsidRPr="001F245D">
        <w:rPr>
          <w:rFonts w:hint="eastAsia"/>
        </w:rPr>
        <w:t>.</w:t>
      </w:r>
      <w:r w:rsidRPr="001F245D">
        <w:rPr>
          <w:rFonts w:hint="eastAsia"/>
        </w:rPr>
        <w:t xml:space="preserve"> </w:t>
      </w:r>
    </w:p>
    <w:p w:rsidR="001F245D" w:rsidRPr="001F245D" w:rsidRDefault="001F245D" w:rsidP="001F245D">
      <w:pPr>
        <w:pStyle w:val="ListParagraph"/>
        <w:tabs>
          <w:tab w:val="clear" w:pos="4320"/>
          <w:tab w:val="clear" w:pos="9072"/>
        </w:tabs>
        <w:spacing w:line="360" w:lineRule="auto"/>
        <w:jc w:val="both"/>
        <w:rPr>
          <w:rFonts w:hint="eastAsia"/>
        </w:rPr>
      </w:pPr>
    </w:p>
    <w:p w:rsidR="001C5CA2" w:rsidRDefault="001C5CA2" w:rsidP="001C5CA2">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The </w:t>
      </w:r>
      <w:r w:rsidR="00B2707C">
        <w:rPr>
          <w:rFonts w:hint="eastAsia"/>
        </w:rPr>
        <w:t>1</w:t>
      </w:r>
      <w:r w:rsidR="00B2707C" w:rsidRPr="00B2707C">
        <w:rPr>
          <w:rFonts w:hint="eastAsia"/>
          <w:vertAlign w:val="superscript"/>
        </w:rPr>
        <w:t>st</w:t>
      </w:r>
      <w:r w:rsidR="00B2707C">
        <w:rPr>
          <w:rFonts w:hint="eastAsia"/>
        </w:rPr>
        <w:t xml:space="preserve"> </w:t>
      </w:r>
      <w:r>
        <w:rPr>
          <w:rFonts w:hint="eastAsia"/>
        </w:rPr>
        <w:t xml:space="preserve">Defendant opposes to this argument. Mr Gidwani representing the </w:t>
      </w:r>
      <w:r w:rsidR="00B2707C">
        <w:rPr>
          <w:rFonts w:hint="eastAsia"/>
        </w:rPr>
        <w:t>1</w:t>
      </w:r>
      <w:r w:rsidR="00B2707C" w:rsidRPr="00B2707C">
        <w:rPr>
          <w:rFonts w:hint="eastAsia"/>
          <w:vertAlign w:val="superscript"/>
        </w:rPr>
        <w:t>st</w:t>
      </w:r>
      <w:r w:rsidR="00B2707C">
        <w:rPr>
          <w:rFonts w:hint="eastAsia"/>
        </w:rPr>
        <w:t xml:space="preserve"> </w:t>
      </w:r>
      <w:r>
        <w:rPr>
          <w:rFonts w:hint="eastAsia"/>
        </w:rPr>
        <w:t xml:space="preserve">Defendant relied on comments of Poon J in </w:t>
      </w:r>
      <w:r w:rsidRPr="001C5CA2">
        <w:rPr>
          <w:rFonts w:hint="eastAsia"/>
          <w:i/>
        </w:rPr>
        <w:t>Montio Ltd v Tse Ping Shun Ltd</w:t>
      </w:r>
      <w:r>
        <w:rPr>
          <w:rFonts w:hint="eastAsia"/>
        </w:rPr>
        <w:t xml:space="preserve"> (unrep., HCA 757 of 2009 [2012] HKEC 232) and </w:t>
      </w:r>
      <w:r w:rsidR="00B11789">
        <w:rPr>
          <w:rFonts w:hint="eastAsia"/>
        </w:rPr>
        <w:t xml:space="preserve">those of </w:t>
      </w:r>
      <w:r>
        <w:rPr>
          <w:rFonts w:hint="eastAsia"/>
        </w:rPr>
        <w:t xml:space="preserve">Saunders J in </w:t>
      </w:r>
      <w:r w:rsidRPr="001C5CA2">
        <w:rPr>
          <w:rFonts w:hint="eastAsia"/>
          <w:i/>
        </w:rPr>
        <w:t>Kwok Chun Wing v 21 Holdings Ltd</w:t>
      </w:r>
      <w:r>
        <w:rPr>
          <w:rFonts w:hint="eastAsia"/>
        </w:rPr>
        <w:t xml:space="preserve"> [2011] 3 HKC 542. </w:t>
      </w:r>
      <w:r w:rsidR="00B11789">
        <w:rPr>
          <w:rFonts w:hint="eastAsia"/>
        </w:rPr>
        <w:t xml:space="preserve">Like what </w:t>
      </w:r>
      <w:r w:rsidR="00315501">
        <w:rPr>
          <w:rFonts w:hint="eastAsia"/>
        </w:rPr>
        <w:t xml:space="preserve">had </w:t>
      </w:r>
      <w:r w:rsidR="00B11789">
        <w:rPr>
          <w:rFonts w:hint="eastAsia"/>
        </w:rPr>
        <w:t>happened in th</w:t>
      </w:r>
      <w:r w:rsidR="00315501">
        <w:rPr>
          <w:rFonts w:hint="eastAsia"/>
        </w:rPr>
        <w:t>e present</w:t>
      </w:r>
      <w:r w:rsidR="00B11789">
        <w:rPr>
          <w:rFonts w:hint="eastAsia"/>
        </w:rPr>
        <w:t xml:space="preserve"> case, i</w:t>
      </w:r>
      <w:r>
        <w:rPr>
          <w:rFonts w:hint="eastAsia"/>
        </w:rPr>
        <w:t xml:space="preserve">n </w:t>
      </w:r>
      <w:r w:rsidR="00B11789">
        <w:rPr>
          <w:rFonts w:hint="eastAsia"/>
        </w:rPr>
        <w:t>th</w:t>
      </w:r>
      <w:r w:rsidR="001F245D">
        <w:rPr>
          <w:rFonts w:hint="eastAsia"/>
        </w:rPr>
        <w:t>o</w:t>
      </w:r>
      <w:r w:rsidR="00B11789">
        <w:rPr>
          <w:rFonts w:hint="eastAsia"/>
        </w:rPr>
        <w:t>se two</w:t>
      </w:r>
      <w:r>
        <w:rPr>
          <w:rFonts w:hint="eastAsia"/>
        </w:rPr>
        <w:t xml:space="preserve"> cases, the </w:t>
      </w:r>
      <w:r>
        <w:t>“</w:t>
      </w:r>
      <w:r>
        <w:rPr>
          <w:rFonts w:hint="eastAsia"/>
        </w:rPr>
        <w:t>sanctioned offer</w:t>
      </w:r>
      <w:r>
        <w:t>”</w:t>
      </w:r>
      <w:r>
        <w:rPr>
          <w:rFonts w:hint="eastAsia"/>
        </w:rPr>
        <w:t xml:space="preserve"> made had failed to set out the necessary provision as prescribed under r.5 (7). </w:t>
      </w:r>
    </w:p>
    <w:p w:rsidR="001C5CA2" w:rsidRDefault="001C5CA2" w:rsidP="001C5CA2">
      <w:pPr>
        <w:ind w:left="1584"/>
        <w:rPr>
          <w:rFonts w:hint="eastAsia"/>
        </w:rPr>
      </w:pPr>
    </w:p>
    <w:p w:rsidR="001C5CA2" w:rsidRDefault="001C5CA2" w:rsidP="001C5CA2">
      <w:pPr>
        <w:pStyle w:val="ListParagraph"/>
        <w:numPr>
          <w:ilvl w:val="0"/>
          <w:numId w:val="29"/>
        </w:numPr>
        <w:tabs>
          <w:tab w:val="clear" w:pos="4320"/>
          <w:tab w:val="clear" w:pos="9072"/>
        </w:tabs>
        <w:spacing w:line="360" w:lineRule="auto"/>
        <w:ind w:left="0" w:firstLine="0"/>
        <w:jc w:val="both"/>
        <w:rPr>
          <w:rFonts w:hint="eastAsia"/>
        </w:rPr>
      </w:pPr>
      <w:r>
        <w:rPr>
          <w:rFonts w:hint="eastAsia"/>
        </w:rPr>
        <w:t>In paragraph 9 of his judgment, Poon J said this:</w:t>
      </w:r>
    </w:p>
    <w:p w:rsidR="001C5CA2" w:rsidRPr="00893938" w:rsidRDefault="001C5CA2" w:rsidP="001C5CA2">
      <w:pPr>
        <w:pStyle w:val="Final"/>
        <w:tabs>
          <w:tab w:val="clear" w:pos="1440"/>
          <w:tab w:val="left" w:pos="1170"/>
        </w:tabs>
        <w:spacing w:line="240" w:lineRule="auto"/>
        <w:ind w:left="360" w:right="386"/>
        <w:jc w:val="both"/>
        <w:rPr>
          <w:rFonts w:hint="eastAsia"/>
          <w:sz w:val="24"/>
          <w:szCs w:val="24"/>
        </w:rPr>
      </w:pPr>
      <w:r>
        <w:rPr>
          <w:rFonts w:hint="eastAsia"/>
        </w:rPr>
        <w:tab/>
      </w:r>
      <w:r w:rsidRPr="00893938">
        <w:rPr>
          <w:sz w:val="24"/>
          <w:szCs w:val="24"/>
        </w:rPr>
        <w:t>“</w:t>
      </w:r>
      <w:r w:rsidRPr="00893938">
        <w:rPr>
          <w:rFonts w:hint="eastAsia"/>
          <w:sz w:val="24"/>
          <w:szCs w:val="24"/>
        </w:rPr>
        <w:tab/>
        <w:t xml:space="preserve">Sanctioned offers are part of the new regime </w:t>
      </w:r>
      <w:r w:rsidRPr="00893938">
        <w:rPr>
          <w:sz w:val="24"/>
          <w:szCs w:val="24"/>
        </w:rPr>
        <w:t>introduced</w:t>
      </w:r>
      <w:r w:rsidRPr="00893938">
        <w:rPr>
          <w:rFonts w:hint="eastAsia"/>
          <w:sz w:val="24"/>
          <w:szCs w:val="24"/>
        </w:rPr>
        <w:t xml:space="preserve"> by CJR to encourage litigants to take </w:t>
      </w:r>
      <w:r w:rsidRPr="00893938">
        <w:rPr>
          <w:sz w:val="24"/>
          <w:szCs w:val="24"/>
        </w:rPr>
        <w:t>positive</w:t>
      </w:r>
      <w:r w:rsidRPr="00893938">
        <w:rPr>
          <w:rFonts w:hint="eastAsia"/>
          <w:sz w:val="24"/>
          <w:szCs w:val="24"/>
        </w:rPr>
        <w:t xml:space="preserve"> </w:t>
      </w:r>
      <w:r w:rsidRPr="00893938">
        <w:rPr>
          <w:sz w:val="24"/>
          <w:szCs w:val="24"/>
        </w:rPr>
        <w:t>settlement</w:t>
      </w:r>
      <w:r w:rsidRPr="00893938">
        <w:rPr>
          <w:rFonts w:hint="eastAsia"/>
          <w:sz w:val="24"/>
          <w:szCs w:val="24"/>
        </w:rPr>
        <w:t xml:space="preserve"> seriously and avoid unproductive and expensive </w:t>
      </w:r>
      <w:r w:rsidRPr="00893938">
        <w:rPr>
          <w:sz w:val="24"/>
          <w:szCs w:val="24"/>
        </w:rPr>
        <w:t>prolongation</w:t>
      </w:r>
      <w:r w:rsidRPr="00893938">
        <w:rPr>
          <w:rFonts w:hint="eastAsia"/>
          <w:sz w:val="24"/>
          <w:szCs w:val="24"/>
        </w:rPr>
        <w:t xml:space="preserve"> of the proceedings.  </w:t>
      </w:r>
      <w:r w:rsidRPr="00893938">
        <w:rPr>
          <w:sz w:val="24"/>
          <w:szCs w:val="24"/>
        </w:rPr>
        <w:t>S</w:t>
      </w:r>
      <w:r w:rsidRPr="00893938">
        <w:rPr>
          <w:rFonts w:hint="eastAsia"/>
          <w:sz w:val="24"/>
          <w:szCs w:val="24"/>
        </w:rPr>
        <w:t xml:space="preserve">uch offers enable a plaintiff to make an offer for settlement of his claims, wholly or partially.  Serious consequences may follow from the sanctioned offer.  If the defendant rejects it and the </w:t>
      </w:r>
      <w:r w:rsidRPr="00893938">
        <w:rPr>
          <w:sz w:val="24"/>
          <w:szCs w:val="24"/>
        </w:rPr>
        <w:t>plaintiff</w:t>
      </w:r>
      <w:r w:rsidRPr="00893938">
        <w:rPr>
          <w:rFonts w:hint="eastAsia"/>
          <w:sz w:val="24"/>
          <w:szCs w:val="24"/>
        </w:rPr>
        <w:t xml:space="preserve"> does better at trial, he may have to pay </w:t>
      </w:r>
      <w:r w:rsidRPr="00893938">
        <w:rPr>
          <w:sz w:val="24"/>
          <w:szCs w:val="24"/>
        </w:rPr>
        <w:t>indemnity</w:t>
      </w:r>
      <w:r w:rsidRPr="00893938">
        <w:rPr>
          <w:rFonts w:hint="eastAsia"/>
          <w:sz w:val="24"/>
          <w:szCs w:val="24"/>
        </w:rPr>
        <w:t xml:space="preserve"> costs and enhanced interest of the sum awarded.  Since it is the </w:t>
      </w:r>
      <w:r w:rsidRPr="00893938">
        <w:rPr>
          <w:sz w:val="24"/>
          <w:szCs w:val="24"/>
        </w:rPr>
        <w:t>plaintiff</w:t>
      </w:r>
      <w:r w:rsidRPr="00893938">
        <w:rPr>
          <w:rFonts w:hint="eastAsia"/>
          <w:sz w:val="24"/>
          <w:szCs w:val="24"/>
        </w:rPr>
        <w:t xml:space="preserve"> who seeks to invoke the new rules to protect his position, he must strictly comply with all the </w:t>
      </w:r>
      <w:r w:rsidRPr="00893938">
        <w:rPr>
          <w:sz w:val="24"/>
          <w:szCs w:val="24"/>
        </w:rPr>
        <w:t>mandatory</w:t>
      </w:r>
      <w:r w:rsidRPr="00893938">
        <w:rPr>
          <w:rFonts w:hint="eastAsia"/>
          <w:sz w:val="24"/>
          <w:szCs w:val="24"/>
        </w:rPr>
        <w:t xml:space="preserve"> </w:t>
      </w:r>
      <w:r w:rsidRPr="00893938">
        <w:rPr>
          <w:sz w:val="24"/>
          <w:szCs w:val="24"/>
        </w:rPr>
        <w:t>requirements</w:t>
      </w:r>
      <w:r w:rsidRPr="00893938">
        <w:rPr>
          <w:rFonts w:hint="eastAsia"/>
          <w:sz w:val="24"/>
          <w:szCs w:val="24"/>
        </w:rPr>
        <w:t xml:space="preserve"> when he purports to make a sanctioned offer.  </w:t>
      </w:r>
      <w:r w:rsidRPr="00893938">
        <w:rPr>
          <w:rFonts w:hint="eastAsia"/>
          <w:sz w:val="24"/>
          <w:szCs w:val="24"/>
          <w:u w:val="single"/>
        </w:rPr>
        <w:t xml:space="preserve">It does not lie in his mouth to say that his failure to do so is only a </w:t>
      </w:r>
      <w:r w:rsidRPr="00893938">
        <w:rPr>
          <w:sz w:val="24"/>
          <w:szCs w:val="24"/>
          <w:u w:val="single"/>
        </w:rPr>
        <w:t>technical</w:t>
      </w:r>
      <w:r w:rsidRPr="00893938">
        <w:rPr>
          <w:rFonts w:hint="eastAsia"/>
          <w:sz w:val="24"/>
          <w:szCs w:val="24"/>
          <w:u w:val="single"/>
        </w:rPr>
        <w:t xml:space="preserve"> slip or the defendant is legally represented and hence must know what the requirements are</w:t>
      </w:r>
      <w:r w:rsidRPr="00893938">
        <w:rPr>
          <w:rFonts w:hint="eastAsia"/>
          <w:sz w:val="24"/>
          <w:szCs w:val="24"/>
        </w:rPr>
        <w:t xml:space="preserve">.  The plaintiff has a </w:t>
      </w:r>
      <w:r w:rsidRPr="00893938">
        <w:rPr>
          <w:sz w:val="24"/>
          <w:szCs w:val="24"/>
        </w:rPr>
        <w:t>positive</w:t>
      </w:r>
      <w:r w:rsidRPr="00893938">
        <w:rPr>
          <w:rFonts w:hint="eastAsia"/>
          <w:sz w:val="24"/>
          <w:szCs w:val="24"/>
        </w:rPr>
        <w:t xml:space="preserve"> duty to fully comply with the rules in the first place in order to make his offer a valid sanctioned offer.  I</w:t>
      </w:r>
      <w:r w:rsidRPr="00893938">
        <w:rPr>
          <w:sz w:val="24"/>
          <w:szCs w:val="24"/>
        </w:rPr>
        <w:t> therefore</w:t>
      </w:r>
      <w:r w:rsidRPr="00893938">
        <w:rPr>
          <w:rFonts w:hint="eastAsia"/>
          <w:sz w:val="24"/>
          <w:szCs w:val="24"/>
        </w:rPr>
        <w:t xml:space="preserve"> rule that the Offer is not a sanctioned offer within the </w:t>
      </w:r>
      <w:r w:rsidRPr="00893938">
        <w:rPr>
          <w:sz w:val="24"/>
          <w:szCs w:val="24"/>
        </w:rPr>
        <w:t>meaning</w:t>
      </w:r>
      <w:r w:rsidRPr="00893938">
        <w:rPr>
          <w:rFonts w:hint="eastAsia"/>
          <w:sz w:val="24"/>
          <w:szCs w:val="24"/>
        </w:rPr>
        <w:t xml:space="preserve"> of Order</w:t>
      </w:r>
      <w:r w:rsidRPr="00893938">
        <w:rPr>
          <w:sz w:val="24"/>
          <w:szCs w:val="24"/>
        </w:rPr>
        <w:t> </w:t>
      </w:r>
      <w:r w:rsidRPr="00893938">
        <w:rPr>
          <w:rFonts w:hint="eastAsia"/>
          <w:sz w:val="24"/>
          <w:szCs w:val="24"/>
        </w:rPr>
        <w:t>22.</w:t>
      </w:r>
      <w:r w:rsidRPr="00893938">
        <w:rPr>
          <w:sz w:val="24"/>
          <w:szCs w:val="24"/>
        </w:rPr>
        <w:t>”</w:t>
      </w:r>
    </w:p>
    <w:p w:rsidR="001C5CA2" w:rsidRPr="00395AA2" w:rsidRDefault="001C5CA2" w:rsidP="00893938">
      <w:pPr>
        <w:pStyle w:val="ListParagraph"/>
        <w:rPr>
          <w:rFonts w:hint="eastAsia"/>
          <w:szCs w:val="24"/>
          <w:lang w:val="en-GB"/>
        </w:rPr>
      </w:pPr>
    </w:p>
    <w:p w:rsidR="00FC2A5D" w:rsidRDefault="001C5CA2" w:rsidP="001C5CA2">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Mr Leung </w:t>
      </w:r>
      <w:r w:rsidR="001F245D">
        <w:rPr>
          <w:rFonts w:hint="eastAsia"/>
        </w:rPr>
        <w:t xml:space="preserve">further </w:t>
      </w:r>
      <w:r>
        <w:rPr>
          <w:rFonts w:hint="eastAsia"/>
        </w:rPr>
        <w:t xml:space="preserve">contends that pursuant to Order 22 r.2 (4) a party can make an </w:t>
      </w:r>
      <w:r>
        <w:t>offer</w:t>
      </w:r>
      <w:r>
        <w:rPr>
          <w:rFonts w:hint="eastAsia"/>
        </w:rPr>
        <w:t xml:space="preserve"> to settle in whatever way he chooses, so even if it is found that the Offer was not a Sanctioned Offer th</w:t>
      </w:r>
      <w:r w:rsidR="00867B6E">
        <w:rPr>
          <w:rFonts w:hint="eastAsia"/>
        </w:rPr>
        <w:t>is</w:t>
      </w:r>
      <w:r>
        <w:rPr>
          <w:rFonts w:hint="eastAsia"/>
        </w:rPr>
        <w:t xml:space="preserve"> court can still </w:t>
      </w:r>
      <w:r w:rsidR="001F245D">
        <w:rPr>
          <w:rFonts w:hint="eastAsia"/>
        </w:rPr>
        <w:t xml:space="preserve">make </w:t>
      </w:r>
      <w:r>
        <w:rPr>
          <w:rFonts w:hint="eastAsia"/>
        </w:rPr>
        <w:t>order</w:t>
      </w:r>
      <w:r w:rsidR="001F245D">
        <w:rPr>
          <w:rFonts w:hint="eastAsia"/>
        </w:rPr>
        <w:t xml:space="preserve">s giving effect to </w:t>
      </w:r>
      <w:r>
        <w:rPr>
          <w:rFonts w:hint="eastAsia"/>
        </w:rPr>
        <w:t>those consequences specified under Order 22.</w:t>
      </w:r>
      <w:r w:rsidR="00FC2A5D">
        <w:rPr>
          <w:rFonts w:hint="eastAsia"/>
        </w:rPr>
        <w:t xml:space="preserve"> Order 22 r.2 (4) provides that :</w:t>
      </w:r>
    </w:p>
    <w:p w:rsidR="001C5CA2" w:rsidRPr="00893938" w:rsidRDefault="00FC2A5D" w:rsidP="00FC2A5D">
      <w:pPr>
        <w:pStyle w:val="ListParagraph"/>
        <w:tabs>
          <w:tab w:val="clear" w:pos="1440"/>
          <w:tab w:val="clear" w:pos="4320"/>
          <w:tab w:val="clear" w:pos="9072"/>
          <w:tab w:val="left" w:pos="851"/>
        </w:tabs>
        <w:ind w:left="993" w:right="369" w:hanging="284"/>
        <w:jc w:val="both"/>
        <w:rPr>
          <w:rFonts w:hint="eastAsia"/>
          <w:sz w:val="24"/>
          <w:szCs w:val="24"/>
        </w:rPr>
      </w:pPr>
      <w:r>
        <w:rPr>
          <w:rFonts w:hint="eastAsia"/>
        </w:rPr>
        <w:tab/>
      </w:r>
      <w:r>
        <w:rPr>
          <w:rFonts w:hint="eastAsia"/>
        </w:rPr>
        <w:tab/>
      </w:r>
      <w:r>
        <w:rPr>
          <w:rFonts w:hint="eastAsia"/>
        </w:rPr>
        <w:tab/>
      </w:r>
      <w:r w:rsidRPr="00893938">
        <w:rPr>
          <w:sz w:val="24"/>
          <w:szCs w:val="24"/>
        </w:rPr>
        <w:t>“</w:t>
      </w:r>
      <w:r w:rsidRPr="00893938">
        <w:rPr>
          <w:rFonts w:hint="eastAsia"/>
          <w:sz w:val="24"/>
          <w:szCs w:val="24"/>
        </w:rPr>
        <w:t>Nothing in this Order prevents a party from making an offer to settle in whatever way he chooses</w:t>
      </w:r>
      <w:r w:rsidRPr="00893938">
        <w:rPr>
          <w:sz w:val="24"/>
          <w:szCs w:val="24"/>
        </w:rPr>
        <w:t>, but if that offer is not made in accordance with this Order, it does not have the consequences specified in this Order, unless the Court so orders.</w:t>
      </w:r>
      <w:r w:rsidR="00893938" w:rsidRPr="00893938">
        <w:rPr>
          <w:sz w:val="24"/>
          <w:szCs w:val="24"/>
        </w:rPr>
        <w:t>”</w:t>
      </w:r>
    </w:p>
    <w:p w:rsidR="001C5CA2" w:rsidRDefault="001C5CA2" w:rsidP="00893938">
      <w:pPr>
        <w:pStyle w:val="ListParagraph"/>
        <w:rPr>
          <w:rFonts w:hint="eastAsia"/>
        </w:rPr>
      </w:pPr>
    </w:p>
    <w:p w:rsidR="008A48BC" w:rsidRDefault="001C5CA2" w:rsidP="008A48BC">
      <w:pPr>
        <w:pStyle w:val="ListParagraph"/>
        <w:numPr>
          <w:ilvl w:val="0"/>
          <w:numId w:val="29"/>
        </w:numPr>
        <w:tabs>
          <w:tab w:val="clear" w:pos="4320"/>
          <w:tab w:val="clear" w:pos="9072"/>
        </w:tabs>
        <w:spacing w:line="360" w:lineRule="auto"/>
        <w:ind w:left="0" w:firstLine="0"/>
        <w:jc w:val="both"/>
        <w:rPr>
          <w:rFonts w:hint="eastAsia"/>
        </w:rPr>
      </w:pPr>
      <w:r>
        <w:rPr>
          <w:rFonts w:hint="eastAsia"/>
        </w:rPr>
        <w:t>Mr Gidwan</w:t>
      </w:r>
      <w:r w:rsidR="001F245D">
        <w:rPr>
          <w:rFonts w:hint="eastAsia"/>
        </w:rPr>
        <w:t>i</w:t>
      </w:r>
      <w:r>
        <w:rPr>
          <w:rFonts w:hint="eastAsia"/>
        </w:rPr>
        <w:t xml:space="preserve"> submits that if this court </w:t>
      </w:r>
      <w:r w:rsidR="00B11789">
        <w:rPr>
          <w:rFonts w:hint="eastAsia"/>
        </w:rPr>
        <w:t>finds that</w:t>
      </w:r>
      <w:r>
        <w:rPr>
          <w:rFonts w:hint="eastAsia"/>
        </w:rPr>
        <w:t xml:space="preserve"> the Offer was not a Sanctioned Offer, there is no other settlement offer which </w:t>
      </w:r>
      <w:r>
        <w:t>this</w:t>
      </w:r>
      <w:r>
        <w:rPr>
          <w:rFonts w:hint="eastAsia"/>
        </w:rPr>
        <w:t xml:space="preserve"> court may consider</w:t>
      </w:r>
      <w:r w:rsidR="001F245D">
        <w:rPr>
          <w:rFonts w:hint="eastAsia"/>
        </w:rPr>
        <w:t xml:space="preserve"> under Order 22.r.2(4)</w:t>
      </w:r>
      <w:r>
        <w:rPr>
          <w:rFonts w:hint="eastAsia"/>
        </w:rPr>
        <w:t>. Mr Gidwan</w:t>
      </w:r>
      <w:r w:rsidR="001F245D">
        <w:rPr>
          <w:rFonts w:hint="eastAsia"/>
        </w:rPr>
        <w:t>i</w:t>
      </w:r>
      <w:r>
        <w:rPr>
          <w:rFonts w:hint="eastAsia"/>
        </w:rPr>
        <w:t xml:space="preserve"> argues that since the Offer was said to be </w:t>
      </w:r>
      <w:r>
        <w:t>“</w:t>
      </w:r>
      <w:r>
        <w:rPr>
          <w:rFonts w:hint="eastAsia"/>
        </w:rPr>
        <w:t>without prejudice</w:t>
      </w:r>
      <w:r>
        <w:t>”</w:t>
      </w:r>
      <w:r>
        <w:rPr>
          <w:rFonts w:hint="eastAsia"/>
        </w:rPr>
        <w:t xml:space="preserve"> and without any express reservation of the right to refer to the letter on the issue of costs should the claim subsequently proceed to judgment</w:t>
      </w:r>
      <w:r w:rsidRPr="001C5CA2">
        <w:rPr>
          <w:vertAlign w:val="superscript"/>
        </w:rPr>
        <w:footnoteReference w:id="2"/>
      </w:r>
      <w:r>
        <w:rPr>
          <w:rFonts w:hint="eastAsia"/>
        </w:rPr>
        <w:t xml:space="preserve">, it was neither a Calderbank nor an open offer.  He draws my attention to the authorities showing that Saunders J has found in </w:t>
      </w:r>
      <w:r w:rsidRPr="0009109B">
        <w:rPr>
          <w:rFonts w:hint="eastAsia"/>
          <w:i/>
        </w:rPr>
        <w:t>Kwok Chun Wing</w:t>
      </w:r>
      <w:r w:rsidRPr="001C5CA2">
        <w:rPr>
          <w:rFonts w:hint="eastAsia"/>
        </w:rPr>
        <w:t xml:space="preserve"> </w:t>
      </w:r>
      <w:r w:rsidRPr="00395AA2">
        <w:rPr>
          <w:rFonts w:hint="eastAsia"/>
        </w:rPr>
        <w:t>a Calderbank offer while Poon J finds an open offer in</w:t>
      </w:r>
      <w:r w:rsidRPr="001C5CA2">
        <w:rPr>
          <w:rFonts w:hint="eastAsia"/>
        </w:rPr>
        <w:t xml:space="preserve"> </w:t>
      </w:r>
      <w:r w:rsidRPr="0009109B">
        <w:rPr>
          <w:rFonts w:hint="eastAsia"/>
          <w:i/>
        </w:rPr>
        <w:t>Montrio</w:t>
      </w:r>
      <w:r w:rsidRPr="001C5CA2">
        <w:rPr>
          <w:rFonts w:hint="eastAsia"/>
        </w:rPr>
        <w:t xml:space="preserve">. </w:t>
      </w:r>
      <w:r>
        <w:rPr>
          <w:rFonts w:hint="eastAsia"/>
        </w:rPr>
        <w:t xml:space="preserve">In the circumstances, Mr Gidwany submits that, Order 62 (5) is the only relevant provision the Plaintiff could resort to in asking this court to </w:t>
      </w:r>
      <w:r>
        <w:t>exercise</w:t>
      </w:r>
      <w:r>
        <w:rPr>
          <w:rFonts w:hint="eastAsia"/>
        </w:rPr>
        <w:t xml:space="preserve"> discretion on costs. However </w:t>
      </w:r>
      <w:r w:rsidR="0009109B">
        <w:rPr>
          <w:rFonts w:hint="eastAsia"/>
        </w:rPr>
        <w:t xml:space="preserve">this </w:t>
      </w:r>
      <w:r w:rsidR="0009109B">
        <w:t>application</w:t>
      </w:r>
      <w:r w:rsidR="0009109B">
        <w:rPr>
          <w:rFonts w:hint="eastAsia"/>
        </w:rPr>
        <w:t xml:space="preserve"> was not made on basis of those factors listed out under Order 62.  </w:t>
      </w:r>
    </w:p>
    <w:p w:rsidR="0009109B" w:rsidRDefault="0009109B" w:rsidP="0009109B">
      <w:pPr>
        <w:pStyle w:val="ListParagraph"/>
      </w:pPr>
    </w:p>
    <w:p w:rsidR="001C5CA2" w:rsidRDefault="001C5CA2" w:rsidP="008A48BC">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Having heard submissions </w:t>
      </w:r>
      <w:r w:rsidR="00B11789">
        <w:rPr>
          <w:rFonts w:hint="eastAsia"/>
        </w:rPr>
        <w:t xml:space="preserve">and </w:t>
      </w:r>
      <w:r w:rsidR="00315501">
        <w:rPr>
          <w:rFonts w:hint="eastAsia"/>
        </w:rPr>
        <w:t>read</w:t>
      </w:r>
      <w:r w:rsidR="00B11789">
        <w:rPr>
          <w:rFonts w:hint="eastAsia"/>
        </w:rPr>
        <w:t xml:space="preserve"> those </w:t>
      </w:r>
      <w:r w:rsidR="0009109B">
        <w:rPr>
          <w:rFonts w:hint="eastAsia"/>
        </w:rPr>
        <w:t xml:space="preserve">relevant </w:t>
      </w:r>
      <w:r w:rsidR="00B11789">
        <w:rPr>
          <w:rFonts w:hint="eastAsia"/>
        </w:rPr>
        <w:t xml:space="preserve">authorities referred to me by the parties, </w:t>
      </w:r>
      <w:r>
        <w:rPr>
          <w:rFonts w:hint="eastAsia"/>
        </w:rPr>
        <w:t xml:space="preserve">I do not agree that the omission </w:t>
      </w:r>
      <w:r w:rsidR="0017023E">
        <w:rPr>
          <w:rFonts w:hint="eastAsia"/>
        </w:rPr>
        <w:t>could be ignored</w:t>
      </w:r>
      <w:r>
        <w:rPr>
          <w:rFonts w:hint="eastAsia"/>
        </w:rPr>
        <w:t xml:space="preserve"> when the requirement </w:t>
      </w:r>
      <w:r w:rsidR="00B11789">
        <w:rPr>
          <w:rFonts w:hint="eastAsia"/>
        </w:rPr>
        <w:t xml:space="preserve">has been </w:t>
      </w:r>
      <w:r>
        <w:rPr>
          <w:rFonts w:hint="eastAsia"/>
        </w:rPr>
        <w:t>so clearly set out</w:t>
      </w:r>
      <w:r w:rsidR="00B11789">
        <w:rPr>
          <w:rFonts w:hint="eastAsia"/>
        </w:rPr>
        <w:t xml:space="preserve"> in Order 22</w:t>
      </w:r>
      <w:r w:rsidR="00867B6E">
        <w:rPr>
          <w:rFonts w:hint="eastAsia"/>
        </w:rPr>
        <w:t xml:space="preserve"> r 5</w:t>
      </w:r>
      <w:r>
        <w:rPr>
          <w:rFonts w:hint="eastAsia"/>
        </w:rPr>
        <w:t xml:space="preserve">.  </w:t>
      </w:r>
      <w:r w:rsidR="00315501">
        <w:rPr>
          <w:rFonts w:hint="eastAsia"/>
        </w:rPr>
        <w:t xml:space="preserve">I do not agree with Mr Leung that the omissions were worse in </w:t>
      </w:r>
      <w:r w:rsidR="00867B6E" w:rsidRPr="00867B6E">
        <w:rPr>
          <w:rFonts w:hint="eastAsia"/>
          <w:i/>
        </w:rPr>
        <w:t>Montrio</w:t>
      </w:r>
      <w:r w:rsidR="00867B6E">
        <w:rPr>
          <w:rFonts w:hint="eastAsia"/>
        </w:rPr>
        <w:t xml:space="preserve"> and </w:t>
      </w:r>
      <w:r w:rsidR="00867B6E" w:rsidRPr="00867B6E">
        <w:rPr>
          <w:rFonts w:hint="eastAsia"/>
          <w:i/>
        </w:rPr>
        <w:t>Kwok Chun Wing</w:t>
      </w:r>
      <w:r w:rsidR="00867B6E">
        <w:rPr>
          <w:rFonts w:hint="eastAsia"/>
          <w:i/>
        </w:rPr>
        <w:t xml:space="preserve">. </w:t>
      </w:r>
      <w:r>
        <w:rPr>
          <w:rFonts w:hint="eastAsia"/>
        </w:rPr>
        <w:t xml:space="preserve"> </w:t>
      </w:r>
      <w:r w:rsidR="00867B6E">
        <w:rPr>
          <w:rFonts w:hint="eastAsia"/>
        </w:rPr>
        <w:t xml:space="preserve">I am of the </w:t>
      </w:r>
      <w:r w:rsidR="00867B6E">
        <w:t>view</w:t>
      </w:r>
      <w:r w:rsidR="00867B6E">
        <w:rPr>
          <w:rFonts w:hint="eastAsia"/>
        </w:rPr>
        <w:t xml:space="preserve"> that the </w:t>
      </w:r>
      <w:r w:rsidR="00867B6E">
        <w:t>omission</w:t>
      </w:r>
      <w:r w:rsidR="00867B6E">
        <w:rPr>
          <w:rFonts w:hint="eastAsia"/>
        </w:rPr>
        <w:t xml:space="preserve"> of r 5(7) is serious.  </w:t>
      </w:r>
      <w:r>
        <w:rPr>
          <w:rFonts w:hint="eastAsia"/>
        </w:rPr>
        <w:t xml:space="preserve">I </w:t>
      </w:r>
      <w:r w:rsidR="0017023E">
        <w:rPr>
          <w:rFonts w:hint="eastAsia"/>
        </w:rPr>
        <w:t xml:space="preserve">follow the decision of Saunders J and Poon J and I </w:t>
      </w:r>
      <w:r>
        <w:rPr>
          <w:rFonts w:hint="eastAsia"/>
        </w:rPr>
        <w:t>am of the view that there should be strict compliance of the rule</w:t>
      </w:r>
      <w:r w:rsidR="00B2707C">
        <w:rPr>
          <w:rFonts w:hint="eastAsia"/>
        </w:rPr>
        <w:t>s</w:t>
      </w:r>
      <w:r>
        <w:rPr>
          <w:rFonts w:hint="eastAsia"/>
        </w:rPr>
        <w:t xml:space="preserve"> on the part of the Plaintiff </w:t>
      </w:r>
      <w:r w:rsidR="00616CE8">
        <w:rPr>
          <w:rFonts w:hint="eastAsia"/>
        </w:rPr>
        <w:t>if they meant to make a Sanctioned Offer.</w:t>
      </w:r>
      <w:r>
        <w:rPr>
          <w:rFonts w:hint="eastAsia"/>
        </w:rPr>
        <w:t xml:space="preserve"> </w:t>
      </w:r>
      <w:r w:rsidR="0017023E">
        <w:rPr>
          <w:rFonts w:hint="eastAsia"/>
        </w:rPr>
        <w:t xml:space="preserve">Without setting out the provision under </w:t>
      </w:r>
      <w:r w:rsidR="00B2707C">
        <w:rPr>
          <w:rFonts w:hint="eastAsia"/>
        </w:rPr>
        <w:t xml:space="preserve">Order 22 </w:t>
      </w:r>
      <w:r w:rsidR="0017023E">
        <w:rPr>
          <w:rFonts w:hint="eastAsia"/>
        </w:rPr>
        <w:t xml:space="preserve">r 5 (7), the Offer did not provide a mechanism for the </w:t>
      </w:r>
      <w:r w:rsidR="00867B6E">
        <w:rPr>
          <w:rFonts w:hint="eastAsia"/>
        </w:rPr>
        <w:t>1</w:t>
      </w:r>
      <w:r w:rsidR="00867B6E" w:rsidRPr="00867B6E">
        <w:rPr>
          <w:rFonts w:hint="eastAsia"/>
          <w:vertAlign w:val="superscript"/>
        </w:rPr>
        <w:t>st</w:t>
      </w:r>
      <w:r w:rsidR="00867B6E">
        <w:rPr>
          <w:rFonts w:hint="eastAsia"/>
        </w:rPr>
        <w:t xml:space="preserve"> </w:t>
      </w:r>
      <w:r w:rsidR="0017023E">
        <w:rPr>
          <w:rFonts w:hint="eastAsia"/>
        </w:rPr>
        <w:t xml:space="preserve">Defendant to accept </w:t>
      </w:r>
      <w:r w:rsidR="0017023E">
        <w:t>after</w:t>
      </w:r>
      <w:r w:rsidR="0017023E">
        <w:rPr>
          <w:rFonts w:hint="eastAsia"/>
        </w:rPr>
        <w:t xml:space="preserve"> expiry of prescribed </w:t>
      </w:r>
      <w:r w:rsidR="005474D2">
        <w:t>period</w:t>
      </w:r>
      <w:r w:rsidR="0017023E">
        <w:rPr>
          <w:rFonts w:hint="eastAsia"/>
        </w:rPr>
        <w:t xml:space="preserve">. The Plaintiff said that since the Defendant was legally represented they should know their right under the rule. I do not see the force behind this argument because when the Plaintiff was legally represented, they should know compliance </w:t>
      </w:r>
      <w:r w:rsidR="00867B6E">
        <w:rPr>
          <w:rFonts w:hint="eastAsia"/>
        </w:rPr>
        <w:t>with</w:t>
      </w:r>
      <w:r w:rsidR="0017023E">
        <w:rPr>
          <w:rFonts w:hint="eastAsia"/>
        </w:rPr>
        <w:t xml:space="preserve"> the rule is important. </w:t>
      </w:r>
      <w:r w:rsidR="00B2707C">
        <w:rPr>
          <w:rFonts w:hint="eastAsia"/>
        </w:rPr>
        <w:t xml:space="preserve">For these reasons, </w:t>
      </w:r>
      <w:r>
        <w:rPr>
          <w:rFonts w:hint="eastAsia"/>
        </w:rPr>
        <w:t xml:space="preserve">I find that the Offer was not a Sanctioned Offer and I do not think the Plaintiff could rely on the Offer to ask for entitlements pursuant to Order 22 r 24. The provision under Order 22 r.24 (4) </w:t>
      </w:r>
      <w:r w:rsidR="00B2707C">
        <w:rPr>
          <w:rFonts w:hint="eastAsia"/>
        </w:rPr>
        <w:t>h</w:t>
      </w:r>
      <w:r>
        <w:rPr>
          <w:rFonts w:hint="eastAsia"/>
        </w:rPr>
        <w:t xml:space="preserve">as not </w:t>
      </w:r>
      <w:r w:rsidR="00B2707C">
        <w:rPr>
          <w:rFonts w:hint="eastAsia"/>
        </w:rPr>
        <w:t xml:space="preserve">been effectively </w:t>
      </w:r>
      <w:r>
        <w:rPr>
          <w:rFonts w:hint="eastAsia"/>
        </w:rPr>
        <w:t xml:space="preserve">triggered.  </w:t>
      </w:r>
    </w:p>
    <w:p w:rsidR="008E39FD" w:rsidRDefault="008E39FD" w:rsidP="008E39FD">
      <w:pPr>
        <w:pStyle w:val="ListParagraph"/>
        <w:tabs>
          <w:tab w:val="clear" w:pos="4320"/>
          <w:tab w:val="clear" w:pos="9072"/>
        </w:tabs>
        <w:spacing w:line="360" w:lineRule="auto"/>
        <w:ind w:left="0"/>
        <w:jc w:val="both"/>
        <w:rPr>
          <w:rFonts w:hint="eastAsia"/>
        </w:rPr>
      </w:pPr>
    </w:p>
    <w:p w:rsidR="0009109B" w:rsidRDefault="0009109B" w:rsidP="0009109B">
      <w:pPr>
        <w:pStyle w:val="ListParagraph"/>
        <w:numPr>
          <w:ilvl w:val="0"/>
          <w:numId w:val="29"/>
        </w:numPr>
        <w:tabs>
          <w:tab w:val="clear" w:pos="4320"/>
          <w:tab w:val="clear" w:pos="9072"/>
        </w:tabs>
        <w:spacing w:line="360" w:lineRule="auto"/>
        <w:ind w:left="0" w:firstLine="0"/>
        <w:jc w:val="both"/>
        <w:rPr>
          <w:rFonts w:hint="eastAsia"/>
        </w:rPr>
      </w:pPr>
      <w:r>
        <w:rPr>
          <w:rFonts w:hint="eastAsia"/>
        </w:rPr>
        <w:t>As to whether the Plaintiff could rely on Order 22 rule 2(4)</w:t>
      </w:r>
      <w:r w:rsidR="00B2707C">
        <w:rPr>
          <w:rFonts w:hint="eastAsia"/>
        </w:rPr>
        <w:t xml:space="preserve"> to ask this court to exercise </w:t>
      </w:r>
      <w:r w:rsidR="00B2707C">
        <w:t>discretion</w:t>
      </w:r>
      <w:r w:rsidR="00B2707C">
        <w:rPr>
          <w:rFonts w:hint="eastAsia"/>
        </w:rPr>
        <w:t xml:space="preserve"> in the Plaintiff</w:t>
      </w:r>
      <w:r w:rsidR="00B2707C">
        <w:t>’</w:t>
      </w:r>
      <w:r w:rsidR="00B2707C">
        <w:rPr>
          <w:rFonts w:hint="eastAsia"/>
        </w:rPr>
        <w:t>s favour</w:t>
      </w:r>
      <w:r>
        <w:rPr>
          <w:rFonts w:hint="eastAsia"/>
        </w:rPr>
        <w:t xml:space="preserve">, Mr Leung agrees that the letter was not a Calderbank. He has tried to </w:t>
      </w:r>
      <w:r>
        <w:t>persuade</w:t>
      </w:r>
      <w:r>
        <w:rPr>
          <w:rFonts w:hint="eastAsia"/>
        </w:rPr>
        <w:t xml:space="preserve"> me that it was an open offer but I could not agree with him on this as the letter was clearly marked as </w:t>
      </w:r>
      <w:r>
        <w:t>“</w:t>
      </w:r>
      <w:r>
        <w:rPr>
          <w:rFonts w:hint="eastAsia"/>
        </w:rPr>
        <w:t>without prejudice</w:t>
      </w:r>
      <w:r>
        <w:t>”</w:t>
      </w:r>
      <w:r>
        <w:rPr>
          <w:rFonts w:hint="eastAsia"/>
        </w:rPr>
        <w:t xml:space="preserve"> </w:t>
      </w:r>
      <w:r w:rsidR="00BD17CA">
        <w:rPr>
          <w:rFonts w:hint="eastAsia"/>
        </w:rPr>
        <w:t>but</w:t>
      </w:r>
      <w:r>
        <w:rPr>
          <w:rFonts w:hint="eastAsia"/>
        </w:rPr>
        <w:t xml:space="preserve"> with</w:t>
      </w:r>
      <w:r w:rsidR="00BD17CA">
        <w:rPr>
          <w:rFonts w:hint="eastAsia"/>
        </w:rPr>
        <w:t xml:space="preserve"> no</w:t>
      </w:r>
      <w:r>
        <w:rPr>
          <w:rFonts w:hint="eastAsia"/>
        </w:rPr>
        <w:t xml:space="preserve"> express reservation of right to disclose the same </w:t>
      </w:r>
      <w:r w:rsidR="00B2707C">
        <w:rPr>
          <w:rFonts w:hint="eastAsia"/>
        </w:rPr>
        <w:t xml:space="preserve">when issue on </w:t>
      </w:r>
      <w:r>
        <w:rPr>
          <w:rFonts w:hint="eastAsia"/>
        </w:rPr>
        <w:t>costs</w:t>
      </w:r>
      <w:r w:rsidR="00B2707C">
        <w:rPr>
          <w:rFonts w:hint="eastAsia"/>
        </w:rPr>
        <w:t xml:space="preserve"> </w:t>
      </w:r>
      <w:r w:rsidR="00867B6E">
        <w:rPr>
          <w:rFonts w:hint="eastAsia"/>
        </w:rPr>
        <w:t>i</w:t>
      </w:r>
      <w:r w:rsidR="00B2707C">
        <w:rPr>
          <w:rFonts w:hint="eastAsia"/>
        </w:rPr>
        <w:t>s to argue</w:t>
      </w:r>
      <w:r>
        <w:rPr>
          <w:rFonts w:hint="eastAsia"/>
        </w:rPr>
        <w:t xml:space="preserve">. </w:t>
      </w:r>
      <w:r w:rsidR="00BD17CA">
        <w:rPr>
          <w:rFonts w:hint="eastAsia"/>
        </w:rPr>
        <w:t xml:space="preserve">In the circumstances, I find no basis to exercise my discretion as Saunder J and Poon J had done in </w:t>
      </w:r>
      <w:r w:rsidR="00BD17CA" w:rsidRPr="00BD17CA">
        <w:rPr>
          <w:rFonts w:hint="eastAsia"/>
          <w:i/>
        </w:rPr>
        <w:t>Kwok Chun Wing</w:t>
      </w:r>
      <w:r w:rsidR="00BD17CA">
        <w:rPr>
          <w:rFonts w:hint="eastAsia"/>
        </w:rPr>
        <w:t xml:space="preserve"> and </w:t>
      </w:r>
      <w:r w:rsidR="00BD17CA" w:rsidRPr="00BD17CA">
        <w:rPr>
          <w:rFonts w:hint="eastAsia"/>
          <w:i/>
        </w:rPr>
        <w:t>Montrio</w:t>
      </w:r>
      <w:r w:rsidR="00BD17CA">
        <w:rPr>
          <w:rFonts w:hint="eastAsia"/>
        </w:rPr>
        <w:t xml:space="preserve"> respectively.</w:t>
      </w:r>
    </w:p>
    <w:p w:rsidR="00BD17CA" w:rsidRDefault="00BD17CA" w:rsidP="00BD17CA">
      <w:pPr>
        <w:pStyle w:val="ListParagraph"/>
      </w:pPr>
    </w:p>
    <w:p w:rsidR="001C5CA2" w:rsidRDefault="001C5CA2" w:rsidP="008E39FD">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Although there has been argument on whether the court should consider enhanced interest rate on costs </w:t>
      </w:r>
      <w:r w:rsidR="00BD17CA">
        <w:rPr>
          <w:rFonts w:hint="eastAsia"/>
        </w:rPr>
        <w:t xml:space="preserve">where </w:t>
      </w:r>
      <w:r w:rsidR="00BD17CA">
        <w:t>the</w:t>
      </w:r>
      <w:r w:rsidR="00BD17CA">
        <w:rPr>
          <w:rFonts w:hint="eastAsia"/>
        </w:rPr>
        <w:t xml:space="preserve"> Plaintiff had produced no</w:t>
      </w:r>
      <w:r>
        <w:rPr>
          <w:rFonts w:hint="eastAsia"/>
        </w:rPr>
        <w:t xml:space="preserve"> evidence showing that there was out-of-pocket money paid to the solicitors by </w:t>
      </w:r>
      <w:r w:rsidR="00BD17CA">
        <w:rPr>
          <w:rFonts w:hint="eastAsia"/>
        </w:rPr>
        <w:t xml:space="preserve">him </w:t>
      </w:r>
      <w:r>
        <w:rPr>
          <w:rFonts w:hint="eastAsia"/>
        </w:rPr>
        <w:t>or whether the modified approach suggested by Lam J</w:t>
      </w:r>
      <w:r w:rsidR="00867B6E">
        <w:rPr>
          <w:rFonts w:hint="eastAsia"/>
        </w:rPr>
        <w:t xml:space="preserve">, </w:t>
      </w:r>
      <w:r>
        <w:rPr>
          <w:rFonts w:hint="eastAsia"/>
        </w:rPr>
        <w:t>as he then was</w:t>
      </w:r>
      <w:r w:rsidR="00867B6E">
        <w:rPr>
          <w:rFonts w:hint="eastAsia"/>
        </w:rPr>
        <w:t>,</w:t>
      </w:r>
      <w:r>
        <w:rPr>
          <w:rFonts w:hint="eastAsia"/>
        </w:rPr>
        <w:t xml:space="preserve"> in </w:t>
      </w:r>
      <w:r w:rsidRPr="008E39FD">
        <w:rPr>
          <w:rFonts w:hint="eastAsia"/>
          <w:i/>
        </w:rPr>
        <w:t>Golden Eagle International (Group) Ltd v GR Investment Holdings Ltd</w:t>
      </w:r>
      <w:r w:rsidRPr="008E39FD">
        <w:rPr>
          <w:rFonts w:hint="eastAsia"/>
        </w:rPr>
        <w:t xml:space="preserve"> </w:t>
      </w:r>
      <w:r w:rsidR="00FC7B4D">
        <w:rPr>
          <w:rFonts w:hint="eastAsia"/>
        </w:rPr>
        <w:t>[2010] 3 HKLRD 273</w:t>
      </w:r>
      <w:r w:rsidRPr="00F714B7">
        <w:rPr>
          <w:rFonts w:hint="eastAsia"/>
        </w:rPr>
        <w:t xml:space="preserve"> </w:t>
      </w:r>
      <w:r>
        <w:rPr>
          <w:rFonts w:hint="eastAsia"/>
        </w:rPr>
        <w:t xml:space="preserve">should apply in the present case, the </w:t>
      </w:r>
      <w:r>
        <w:t>argument</w:t>
      </w:r>
      <w:r>
        <w:rPr>
          <w:rFonts w:hint="eastAsia"/>
        </w:rPr>
        <w:t xml:space="preserve"> </w:t>
      </w:r>
      <w:r w:rsidR="00BD17CA">
        <w:rPr>
          <w:rFonts w:hint="eastAsia"/>
        </w:rPr>
        <w:t xml:space="preserve">should </w:t>
      </w:r>
      <w:r>
        <w:rPr>
          <w:rFonts w:hint="eastAsia"/>
        </w:rPr>
        <w:t>now become academic as I have found that the Plaintiff ha</w:t>
      </w:r>
      <w:r w:rsidR="00616CE8">
        <w:rPr>
          <w:rFonts w:hint="eastAsia"/>
        </w:rPr>
        <w:t>d</w:t>
      </w:r>
      <w:r>
        <w:rPr>
          <w:rFonts w:hint="eastAsia"/>
        </w:rPr>
        <w:t xml:space="preserve"> failed to bring the Offer within Order 22</w:t>
      </w:r>
      <w:r w:rsidR="00BD17CA">
        <w:rPr>
          <w:rFonts w:hint="eastAsia"/>
        </w:rPr>
        <w:t>.</w:t>
      </w:r>
      <w:r>
        <w:rPr>
          <w:rFonts w:hint="eastAsia"/>
        </w:rPr>
        <w:t xml:space="preserve">  </w:t>
      </w:r>
    </w:p>
    <w:p w:rsidR="001C5CA2" w:rsidRPr="008E39FD" w:rsidRDefault="001C5CA2" w:rsidP="008E39FD">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For completeness however, I would say that if I were to make a ruling I would not find in favour of the Plaintiff in the circumstance of the present case. In </w:t>
      </w:r>
      <w:r w:rsidRPr="008E39FD">
        <w:rPr>
          <w:rFonts w:hint="eastAsia"/>
          <w:i/>
        </w:rPr>
        <w:t>Shih Pik Nog v G2000</w:t>
      </w:r>
      <w:r w:rsidRPr="008E39FD">
        <w:rPr>
          <w:rFonts w:hint="eastAsia"/>
        </w:rPr>
        <w:t xml:space="preserve"> (Apparel) Ltd </w:t>
      </w:r>
      <w:r>
        <w:rPr>
          <w:rFonts w:hint="eastAsia"/>
        </w:rPr>
        <w:t xml:space="preserve">[2011]4 HKLRD 121 in para 17 </w:t>
      </w:r>
      <w:r w:rsidRPr="008E39FD">
        <w:rPr>
          <w:rFonts w:hint="eastAsia"/>
        </w:rPr>
        <w:t>Bharwaney J says this:</w:t>
      </w:r>
    </w:p>
    <w:p w:rsidR="001C5CA2" w:rsidRPr="008E39FD" w:rsidRDefault="008E39FD" w:rsidP="008E39FD">
      <w:pPr>
        <w:pStyle w:val="Final"/>
        <w:tabs>
          <w:tab w:val="clear" w:pos="1440"/>
          <w:tab w:val="left" w:pos="1170"/>
        </w:tabs>
        <w:spacing w:line="240" w:lineRule="auto"/>
        <w:ind w:left="360" w:right="386"/>
        <w:jc w:val="both"/>
        <w:rPr>
          <w:rFonts w:hint="eastAsia"/>
          <w:sz w:val="24"/>
          <w:szCs w:val="24"/>
        </w:rPr>
      </w:pPr>
      <w:r>
        <w:rPr>
          <w:rFonts w:hint="eastAsia"/>
          <w:sz w:val="24"/>
          <w:szCs w:val="24"/>
        </w:rPr>
        <w:tab/>
      </w:r>
      <w:r w:rsidR="001C5CA2" w:rsidRPr="008E39FD">
        <w:rPr>
          <w:sz w:val="24"/>
          <w:szCs w:val="24"/>
        </w:rPr>
        <w:t xml:space="preserve">“In my judgment, save for legally aided parties, </w:t>
      </w:r>
      <w:r w:rsidR="001C5CA2" w:rsidRPr="00BD17CA">
        <w:rPr>
          <w:sz w:val="24"/>
          <w:szCs w:val="24"/>
          <w:u w:val="single"/>
        </w:rPr>
        <w:t>it is incumbent on the party seeking interest on costs, be that party a plaintiff or a defendant, to state, in his supporting affidavit, the amount of disbursements, costs, and costs on account paid to his solicitors during the period com</w:t>
      </w:r>
      <w:r w:rsidR="00DA4B61" w:rsidRPr="00BD17CA">
        <w:rPr>
          <w:sz w:val="24"/>
          <w:szCs w:val="24"/>
          <w:u w:val="single"/>
        </w:rPr>
        <w:t>mencing from the l</w:t>
      </w:r>
      <w:r w:rsidR="001C5CA2" w:rsidRPr="00BD17CA">
        <w:rPr>
          <w:sz w:val="24"/>
          <w:szCs w:val="24"/>
          <w:u w:val="single"/>
        </w:rPr>
        <w:t>st date of acceptance up to the date of the supporting affidavit, and the date(s) of payment</w:t>
      </w:r>
      <w:r w:rsidR="001C5CA2" w:rsidRPr="008E39FD">
        <w:rPr>
          <w:sz w:val="24"/>
          <w:szCs w:val="24"/>
        </w:rPr>
        <w:t>.</w:t>
      </w:r>
      <w:r w:rsidR="001C5CA2" w:rsidRPr="008E39FD">
        <w:rPr>
          <w:rFonts w:hint="eastAsia"/>
          <w:sz w:val="24"/>
          <w:szCs w:val="24"/>
        </w:rPr>
        <w:t xml:space="preserve"> </w:t>
      </w:r>
      <w:r w:rsidR="001C5CA2" w:rsidRPr="008E39FD">
        <w:rPr>
          <w:sz w:val="24"/>
          <w:szCs w:val="24"/>
        </w:rPr>
        <w:t xml:space="preserve"> Upon sight of this information, the court can either refuse to or make an order for enhanced interest on the actual amounts of disbursements, costs, and costs on account paid during the relevant period, and the court can award interest either at the full rate from the actual dates of payment or adopt the modified approach of Lam</w:t>
      </w:r>
      <w:r w:rsidR="001C5CA2" w:rsidRPr="008E39FD">
        <w:rPr>
          <w:rFonts w:hint="eastAsia"/>
          <w:sz w:val="24"/>
          <w:szCs w:val="24"/>
        </w:rPr>
        <w:t xml:space="preserve">. </w:t>
      </w:r>
      <w:r w:rsidR="001C5CA2" w:rsidRPr="008E39FD">
        <w:rPr>
          <w:sz w:val="24"/>
          <w:szCs w:val="24"/>
        </w:rPr>
        <w:t xml:space="preserve"> The former approach would</w:t>
      </w:r>
      <w:r w:rsidR="001C5CA2" w:rsidRPr="008E39FD">
        <w:rPr>
          <w:rFonts w:hint="eastAsia"/>
          <w:sz w:val="24"/>
          <w:szCs w:val="24"/>
        </w:rPr>
        <w:t xml:space="preserve"> </w:t>
      </w:r>
      <w:r w:rsidR="001C5CA2" w:rsidRPr="008E39FD">
        <w:rPr>
          <w:sz w:val="24"/>
          <w:szCs w:val="24"/>
        </w:rPr>
        <w:t>be suitable for cases where there have only been a few payments and the latter approach for cases where there have been multiple payments spanning a long period of time.”</w:t>
      </w:r>
      <w:r w:rsidR="001C5CA2" w:rsidRPr="008E39FD">
        <w:rPr>
          <w:rFonts w:hint="eastAsia"/>
          <w:sz w:val="24"/>
          <w:szCs w:val="24"/>
        </w:rPr>
        <w:t xml:space="preserve"> </w:t>
      </w:r>
    </w:p>
    <w:p w:rsidR="00DA4B61" w:rsidRDefault="00DA4B61" w:rsidP="00DA4B61">
      <w:pPr>
        <w:pStyle w:val="ListParagraph"/>
        <w:tabs>
          <w:tab w:val="clear" w:pos="4320"/>
          <w:tab w:val="clear" w:pos="9072"/>
        </w:tabs>
        <w:spacing w:line="360" w:lineRule="auto"/>
        <w:ind w:left="0"/>
        <w:jc w:val="both"/>
        <w:rPr>
          <w:rFonts w:hint="eastAsia"/>
          <w:lang w:val="en-HK"/>
        </w:rPr>
      </w:pPr>
    </w:p>
    <w:p w:rsidR="001C5CA2" w:rsidRPr="00DA4B61" w:rsidRDefault="001C5CA2" w:rsidP="00DA4B61">
      <w:pPr>
        <w:pStyle w:val="ListParagraph"/>
        <w:numPr>
          <w:ilvl w:val="0"/>
          <w:numId w:val="29"/>
        </w:numPr>
        <w:tabs>
          <w:tab w:val="clear" w:pos="4320"/>
          <w:tab w:val="clear" w:pos="9072"/>
        </w:tabs>
        <w:spacing w:line="360" w:lineRule="auto"/>
        <w:ind w:left="0" w:firstLine="0"/>
        <w:jc w:val="both"/>
        <w:rPr>
          <w:rFonts w:hint="eastAsia"/>
        </w:rPr>
      </w:pPr>
      <w:r w:rsidRPr="00DA4B61">
        <w:rPr>
          <w:rFonts w:hint="eastAsia"/>
        </w:rPr>
        <w:t>Bharwaney J has further stated in para 18 that</w:t>
      </w:r>
    </w:p>
    <w:p w:rsidR="001C5CA2" w:rsidRDefault="00DA4B61" w:rsidP="00DA4B61">
      <w:pPr>
        <w:pStyle w:val="Final"/>
        <w:tabs>
          <w:tab w:val="clear" w:pos="1440"/>
          <w:tab w:val="left" w:pos="1170"/>
        </w:tabs>
        <w:spacing w:line="240" w:lineRule="auto"/>
        <w:ind w:left="360" w:right="386"/>
        <w:jc w:val="both"/>
        <w:rPr>
          <w:rFonts w:hint="eastAsia"/>
          <w:sz w:val="24"/>
          <w:szCs w:val="24"/>
        </w:rPr>
      </w:pPr>
      <w:r>
        <w:rPr>
          <w:rFonts w:hint="eastAsia"/>
          <w:sz w:val="24"/>
          <w:szCs w:val="24"/>
        </w:rPr>
        <w:tab/>
      </w:r>
      <w:r w:rsidR="001C5CA2" w:rsidRPr="00DA4B61">
        <w:rPr>
          <w:sz w:val="24"/>
          <w:szCs w:val="24"/>
        </w:rPr>
        <w:t xml:space="preserve">“The matter was not argued before me and may have to be decided in an appropriate case. </w:t>
      </w:r>
      <w:r w:rsidR="001C5CA2" w:rsidRPr="00DA4B61">
        <w:rPr>
          <w:rFonts w:hint="eastAsia"/>
          <w:sz w:val="24"/>
          <w:szCs w:val="24"/>
        </w:rPr>
        <w:t xml:space="preserve"> </w:t>
      </w:r>
      <w:r w:rsidR="001C5CA2" w:rsidRPr="00C42F06">
        <w:rPr>
          <w:sz w:val="24"/>
          <w:szCs w:val="24"/>
          <w:u w:val="single"/>
        </w:rPr>
        <w:t xml:space="preserve">However, I would indicate my agreement with Waller LJ who stated in § 23 of his judgment in </w:t>
      </w:r>
      <w:r w:rsidR="001C5CA2" w:rsidRPr="00C42F06">
        <w:rPr>
          <w:rFonts w:hint="eastAsia"/>
          <w:i/>
          <w:sz w:val="24"/>
          <w:szCs w:val="24"/>
          <w:u w:val="single"/>
        </w:rPr>
        <w:t>KR v. Bryn Alyn Community (Holdings) Ltd</w:t>
      </w:r>
      <w:r w:rsidR="001C5CA2" w:rsidRPr="00C42F06">
        <w:rPr>
          <w:sz w:val="24"/>
          <w:szCs w:val="24"/>
          <w:u w:val="single"/>
        </w:rPr>
        <w:t xml:space="preserve"> that the court has power to award enhanced interest on costs to parties who are publicly funded and who may obtain an award of enhanced interest costs and disbursements which have been incurred but not yet paid or fully paid.  </w:t>
      </w:r>
      <w:r w:rsidR="001C5CA2" w:rsidRPr="00DA4B61">
        <w:rPr>
          <w:sz w:val="24"/>
          <w:szCs w:val="24"/>
        </w:rPr>
        <w:t>………</w:t>
      </w:r>
      <w:r w:rsidR="001C5CA2" w:rsidRPr="00DA4B61">
        <w:rPr>
          <w:rFonts w:hint="eastAsia"/>
          <w:sz w:val="24"/>
          <w:szCs w:val="24"/>
        </w:rPr>
        <w:t>..</w:t>
      </w:r>
      <w:r w:rsidR="001C5CA2" w:rsidRPr="00DA4B61">
        <w:rPr>
          <w:sz w:val="24"/>
          <w:szCs w:val="24"/>
        </w:rPr>
        <w:t xml:space="preserve"> However, the fact that publicly funded plaintiffs may be able to obtain an award for enhanced interest on costs incurred but not yet paid or not yet fully paid by the Director of Legal Aid does not, in my judgment, justify </w:t>
      </w:r>
      <w:r w:rsidR="001C5CA2" w:rsidRPr="00DA4B61">
        <w:rPr>
          <w:rFonts w:hint="eastAsia"/>
          <w:sz w:val="24"/>
          <w:szCs w:val="24"/>
        </w:rPr>
        <w:t>an order for</w:t>
      </w:r>
      <w:r w:rsidR="001C5CA2" w:rsidRPr="00DA4B61">
        <w:rPr>
          <w:sz w:val="24"/>
          <w:szCs w:val="24"/>
        </w:rPr>
        <w:t xml:space="preserve"> enhanced interest on costs incurred but not yet paid by privately funded parties.”</w:t>
      </w:r>
      <w:r w:rsidR="001C5CA2" w:rsidRPr="00DA4B61">
        <w:rPr>
          <w:rFonts w:hint="eastAsia"/>
          <w:sz w:val="24"/>
          <w:szCs w:val="24"/>
        </w:rPr>
        <w:t xml:space="preserve">  </w:t>
      </w:r>
    </w:p>
    <w:p w:rsidR="0009109B" w:rsidRDefault="0009109B" w:rsidP="00DA4B61">
      <w:pPr>
        <w:pStyle w:val="Final"/>
        <w:tabs>
          <w:tab w:val="clear" w:pos="1440"/>
          <w:tab w:val="left" w:pos="1170"/>
        </w:tabs>
        <w:spacing w:line="240" w:lineRule="auto"/>
        <w:ind w:left="360" w:right="386"/>
        <w:jc w:val="both"/>
        <w:rPr>
          <w:rFonts w:hint="eastAsia"/>
          <w:sz w:val="24"/>
          <w:szCs w:val="24"/>
        </w:rPr>
      </w:pPr>
    </w:p>
    <w:p w:rsidR="00C42F06" w:rsidRDefault="00C42F06" w:rsidP="00C44A5C">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The Plaintiff is not asking for enhanced interest on costs for the period when the Plaintiff was legally aided. </w:t>
      </w:r>
      <w:r w:rsidR="00BD17CA">
        <w:rPr>
          <w:rFonts w:hint="eastAsia"/>
        </w:rPr>
        <w:t xml:space="preserve">I am of the view that it is important for the Plaintiff to prove out-of-pocket expenses already paid to his </w:t>
      </w:r>
      <w:r w:rsidR="00BD17CA">
        <w:t>solicitors</w:t>
      </w:r>
      <w:r>
        <w:rPr>
          <w:rFonts w:hint="eastAsia"/>
        </w:rPr>
        <w:t>.</w:t>
      </w:r>
    </w:p>
    <w:p w:rsidR="00C44A5C" w:rsidRDefault="00BD17CA" w:rsidP="00C42F06">
      <w:pPr>
        <w:pStyle w:val="ListParagraph"/>
        <w:tabs>
          <w:tab w:val="clear" w:pos="4320"/>
          <w:tab w:val="clear" w:pos="9072"/>
        </w:tabs>
        <w:spacing w:line="360" w:lineRule="auto"/>
        <w:ind w:left="0"/>
        <w:jc w:val="both"/>
        <w:rPr>
          <w:rFonts w:hint="eastAsia"/>
        </w:rPr>
      </w:pPr>
      <w:r>
        <w:rPr>
          <w:rFonts w:hint="eastAsia"/>
        </w:rPr>
        <w:t xml:space="preserve"> </w:t>
      </w:r>
    </w:p>
    <w:p w:rsidR="001C5CA2" w:rsidRDefault="00C42F06" w:rsidP="00DA4B61">
      <w:pPr>
        <w:pStyle w:val="ListParagraph"/>
        <w:numPr>
          <w:ilvl w:val="0"/>
          <w:numId w:val="29"/>
        </w:numPr>
        <w:tabs>
          <w:tab w:val="clear" w:pos="4320"/>
          <w:tab w:val="clear" w:pos="9072"/>
        </w:tabs>
        <w:spacing w:line="360" w:lineRule="auto"/>
        <w:ind w:left="0" w:firstLine="0"/>
        <w:jc w:val="both"/>
        <w:rPr>
          <w:rFonts w:hint="eastAsia"/>
        </w:rPr>
      </w:pPr>
      <w:r>
        <w:rPr>
          <w:rFonts w:hint="eastAsia"/>
        </w:rPr>
        <w:t xml:space="preserve">As to enhanced interest on the judgment sum, </w:t>
      </w:r>
      <w:r w:rsidR="001C5CA2">
        <w:rPr>
          <w:rFonts w:hint="eastAsia"/>
        </w:rPr>
        <w:t xml:space="preserve">Mr Leung after some </w:t>
      </w:r>
      <w:r w:rsidR="001C5CA2">
        <w:t>brief</w:t>
      </w:r>
      <w:r w:rsidR="001C5CA2">
        <w:rPr>
          <w:rFonts w:hint="eastAsia"/>
        </w:rPr>
        <w:t xml:space="preserve"> attempts concedes that the Plaintiff has no right to argue as it was not set out in the Summons.  I would not make any ruling on this.</w:t>
      </w:r>
    </w:p>
    <w:p w:rsidR="00FC4043" w:rsidRDefault="00FC4043" w:rsidP="0009109B">
      <w:pPr>
        <w:ind w:left="1440" w:hanging="1440"/>
        <w:rPr>
          <w:rFonts w:hint="eastAsia"/>
          <w:b/>
        </w:rPr>
      </w:pPr>
    </w:p>
    <w:p w:rsidR="0009109B" w:rsidRDefault="0009109B" w:rsidP="0009109B">
      <w:pPr>
        <w:ind w:left="1440" w:hanging="1440"/>
        <w:rPr>
          <w:rFonts w:hint="eastAsia"/>
          <w:b/>
        </w:rPr>
      </w:pPr>
      <w:r w:rsidRPr="008A48BC">
        <w:rPr>
          <w:rFonts w:hint="eastAsia"/>
          <w:b/>
        </w:rPr>
        <w:t>Conclusion</w:t>
      </w:r>
    </w:p>
    <w:p w:rsidR="0009109B" w:rsidRDefault="0009109B" w:rsidP="0009109B">
      <w:pPr>
        <w:pStyle w:val="ListParagraph"/>
        <w:tabs>
          <w:tab w:val="clear" w:pos="4320"/>
          <w:tab w:val="clear" w:pos="9072"/>
        </w:tabs>
        <w:spacing w:line="360" w:lineRule="auto"/>
        <w:ind w:left="1440"/>
        <w:jc w:val="both"/>
        <w:rPr>
          <w:rFonts w:hint="eastAsia"/>
        </w:rPr>
      </w:pPr>
    </w:p>
    <w:p w:rsidR="001C5CA2" w:rsidRDefault="0009109B" w:rsidP="005474D2">
      <w:pPr>
        <w:pStyle w:val="ListParagraph"/>
        <w:numPr>
          <w:ilvl w:val="0"/>
          <w:numId w:val="29"/>
        </w:numPr>
        <w:tabs>
          <w:tab w:val="clear" w:pos="4320"/>
          <w:tab w:val="clear" w:pos="9072"/>
        </w:tabs>
        <w:spacing w:line="360" w:lineRule="auto"/>
        <w:ind w:left="0" w:firstLine="0"/>
        <w:jc w:val="both"/>
        <w:rPr>
          <w:rFonts w:hint="eastAsia"/>
        </w:rPr>
      </w:pPr>
      <w:r>
        <w:t>M</w:t>
      </w:r>
      <w:r>
        <w:rPr>
          <w:rFonts w:hint="eastAsia"/>
        </w:rPr>
        <w:t xml:space="preserve">r Leung argues for and on behalf of the Plaintiff that the Offer was a Sanctioned Offer despite of its technical departure from </w:t>
      </w:r>
      <w:r w:rsidR="00867B6E">
        <w:rPr>
          <w:rFonts w:hint="eastAsia"/>
        </w:rPr>
        <w:t>the</w:t>
      </w:r>
      <w:r>
        <w:rPr>
          <w:rFonts w:hint="eastAsia"/>
        </w:rPr>
        <w:t xml:space="preserve"> prescribed form, and that if I do not find in favour of the Plaintiff on this, I can still </w:t>
      </w:r>
      <w:r>
        <w:t>exercise</w:t>
      </w:r>
      <w:r>
        <w:rPr>
          <w:rFonts w:hint="eastAsia"/>
        </w:rPr>
        <w:t xml:space="preserve"> my </w:t>
      </w:r>
      <w:r>
        <w:t>discretion</w:t>
      </w:r>
      <w:r>
        <w:rPr>
          <w:rFonts w:hint="eastAsia"/>
        </w:rPr>
        <w:t xml:space="preserve"> under </w:t>
      </w:r>
      <w:r w:rsidR="00B2707C">
        <w:rPr>
          <w:rFonts w:hint="eastAsia"/>
        </w:rPr>
        <w:t xml:space="preserve">Order 22 </w:t>
      </w:r>
      <w:r>
        <w:rPr>
          <w:rFonts w:hint="eastAsia"/>
        </w:rPr>
        <w:t xml:space="preserve">r 2(4).  </w:t>
      </w:r>
      <w:r w:rsidR="0017023E">
        <w:rPr>
          <w:rFonts w:hint="eastAsia"/>
        </w:rPr>
        <w:t xml:space="preserve">Having considered the circumstances of the present case and the holdings in the authorities referred to me, I </w:t>
      </w:r>
      <w:r w:rsidR="00B2707C">
        <w:rPr>
          <w:rFonts w:hint="eastAsia"/>
        </w:rPr>
        <w:t xml:space="preserve">find that the Offer was not a Sanctioned Offer and I see no basis for me to </w:t>
      </w:r>
      <w:r w:rsidR="0017023E">
        <w:rPr>
          <w:rFonts w:hint="eastAsia"/>
        </w:rPr>
        <w:t>exercise my discretion under Order 22 r 2(4)</w:t>
      </w:r>
      <w:r w:rsidR="00B2707C">
        <w:rPr>
          <w:rFonts w:hint="eastAsia"/>
        </w:rPr>
        <w:t xml:space="preserve"> in the Plaintiff</w:t>
      </w:r>
      <w:r w:rsidR="00B2707C">
        <w:t>’</w:t>
      </w:r>
      <w:r w:rsidR="00B2707C">
        <w:rPr>
          <w:rFonts w:hint="eastAsia"/>
        </w:rPr>
        <w:t>s favour</w:t>
      </w:r>
      <w:r w:rsidR="0017023E">
        <w:rPr>
          <w:rFonts w:hint="eastAsia"/>
        </w:rPr>
        <w:t>. T</w:t>
      </w:r>
      <w:r w:rsidR="001C5CA2">
        <w:rPr>
          <w:rFonts w:hint="eastAsia"/>
        </w:rPr>
        <w:t>he Plaintiff</w:t>
      </w:r>
      <w:r w:rsidR="001C5CA2">
        <w:t>’</w:t>
      </w:r>
      <w:r w:rsidR="001C5CA2">
        <w:rPr>
          <w:rFonts w:hint="eastAsia"/>
        </w:rPr>
        <w:t xml:space="preserve">s Summons is dismissed. </w:t>
      </w:r>
    </w:p>
    <w:p w:rsidR="0017023E" w:rsidRDefault="0017023E" w:rsidP="00DA4B61">
      <w:pPr>
        <w:rPr>
          <w:rFonts w:hint="eastAsia"/>
          <w:b/>
        </w:rPr>
      </w:pPr>
    </w:p>
    <w:p w:rsidR="0017023E" w:rsidRDefault="0017023E" w:rsidP="00DA4B61">
      <w:pPr>
        <w:rPr>
          <w:rFonts w:hint="eastAsia"/>
          <w:b/>
        </w:rPr>
      </w:pPr>
    </w:p>
    <w:p w:rsidR="001C5CA2" w:rsidRDefault="001C5CA2" w:rsidP="00DA4B61">
      <w:pPr>
        <w:rPr>
          <w:rFonts w:hint="eastAsia"/>
          <w:b/>
        </w:rPr>
      </w:pPr>
      <w:r w:rsidRPr="00DA4B61">
        <w:rPr>
          <w:rFonts w:hint="eastAsia"/>
          <w:b/>
        </w:rPr>
        <w:t>Costs</w:t>
      </w:r>
    </w:p>
    <w:p w:rsidR="00DA4B61" w:rsidRPr="00DA4B61" w:rsidRDefault="00DA4B61" w:rsidP="00DA4B61">
      <w:pPr>
        <w:pStyle w:val="ListParagraph"/>
        <w:tabs>
          <w:tab w:val="clear" w:pos="4320"/>
          <w:tab w:val="clear" w:pos="9072"/>
        </w:tabs>
        <w:spacing w:line="360" w:lineRule="auto"/>
        <w:ind w:left="0"/>
        <w:jc w:val="both"/>
        <w:rPr>
          <w:rFonts w:hint="eastAsia"/>
          <w:b/>
        </w:rPr>
      </w:pPr>
    </w:p>
    <w:p w:rsidR="003D097B" w:rsidRPr="005474D2" w:rsidRDefault="001C5CA2" w:rsidP="005474D2">
      <w:pPr>
        <w:pStyle w:val="ListParagraph"/>
        <w:numPr>
          <w:ilvl w:val="0"/>
          <w:numId w:val="29"/>
        </w:numPr>
        <w:tabs>
          <w:tab w:val="clear" w:pos="4320"/>
          <w:tab w:val="clear" w:pos="9072"/>
        </w:tabs>
        <w:spacing w:line="360" w:lineRule="auto"/>
        <w:ind w:left="0" w:firstLine="0"/>
        <w:jc w:val="both"/>
        <w:rPr>
          <w:rFonts w:hint="eastAsia"/>
        </w:rPr>
      </w:pPr>
      <w:r w:rsidRPr="00CB6181">
        <w:rPr>
          <w:rFonts w:hint="eastAsia"/>
        </w:rPr>
        <w:t>I do not see any reason to depart from the usual order that costs should follow the event</w:t>
      </w:r>
      <w:r w:rsidR="00D26638">
        <w:rPr>
          <w:rFonts w:hint="eastAsia"/>
        </w:rPr>
        <w:t xml:space="preserve">.  </w:t>
      </w:r>
      <w:r w:rsidRPr="00CB6181">
        <w:t>T</w:t>
      </w:r>
      <w:r w:rsidRPr="00CB6181">
        <w:rPr>
          <w:rFonts w:hint="eastAsia"/>
        </w:rPr>
        <w:t xml:space="preserve">here will be an order nisi that the Plaintiff do pay the </w:t>
      </w:r>
      <w:r w:rsidR="00B2707C">
        <w:rPr>
          <w:rFonts w:hint="eastAsia"/>
        </w:rPr>
        <w:t>1</w:t>
      </w:r>
      <w:r w:rsidR="00B2707C" w:rsidRPr="005474D2">
        <w:rPr>
          <w:rFonts w:hint="eastAsia"/>
        </w:rPr>
        <w:t>st</w:t>
      </w:r>
      <w:r w:rsidR="00B2707C">
        <w:rPr>
          <w:rFonts w:hint="eastAsia"/>
        </w:rPr>
        <w:t xml:space="preserve"> </w:t>
      </w:r>
      <w:r w:rsidRPr="00CB6181">
        <w:rPr>
          <w:rFonts w:hint="eastAsia"/>
        </w:rPr>
        <w:t>Defendant</w:t>
      </w:r>
      <w:r w:rsidRPr="00CB6181">
        <w:t>’</w:t>
      </w:r>
      <w:r w:rsidRPr="00CB6181">
        <w:rPr>
          <w:rFonts w:hint="eastAsia"/>
        </w:rPr>
        <w:t>s costs of this application</w:t>
      </w:r>
      <w:r w:rsidR="00D26638" w:rsidRPr="00D26638">
        <w:rPr>
          <w:rFonts w:hint="eastAsia"/>
        </w:rPr>
        <w:t xml:space="preserve"> </w:t>
      </w:r>
      <w:r w:rsidR="00D26638">
        <w:rPr>
          <w:rFonts w:hint="eastAsia"/>
        </w:rPr>
        <w:t>and such costs are to be taxed if not agreed</w:t>
      </w:r>
      <w:r w:rsidR="00D26638" w:rsidRPr="00CB6181">
        <w:rPr>
          <w:rFonts w:hint="eastAsia"/>
        </w:rPr>
        <w:t>.</w:t>
      </w:r>
      <w:r w:rsidR="005561D9">
        <w:rPr>
          <w:rFonts w:hint="eastAsia"/>
        </w:rPr>
        <w:t xml:space="preserve"> This order nisi shall become</w:t>
      </w:r>
      <w:r w:rsidR="00B2707C">
        <w:rPr>
          <w:rFonts w:hint="eastAsia"/>
        </w:rPr>
        <w:t xml:space="preserve"> </w:t>
      </w:r>
      <w:r w:rsidR="002B3613">
        <w:rPr>
          <w:rFonts w:hint="eastAsia"/>
        </w:rPr>
        <w:t>absolute if no</w:t>
      </w:r>
      <w:r w:rsidR="00D26638">
        <w:rPr>
          <w:rFonts w:hint="eastAsia"/>
        </w:rPr>
        <w:t xml:space="preserve"> </w:t>
      </w:r>
      <w:r w:rsidR="00D26638">
        <w:t>application</w:t>
      </w:r>
      <w:r w:rsidR="00D26638">
        <w:rPr>
          <w:rFonts w:hint="eastAsia"/>
        </w:rPr>
        <w:t xml:space="preserve"> is made to vary the same within 14 days from date of this order. </w:t>
      </w:r>
      <w:r w:rsidRPr="00CB6181">
        <w:rPr>
          <w:rFonts w:hint="eastAsia"/>
        </w:rPr>
        <w:t xml:space="preserve"> </w:t>
      </w:r>
    </w:p>
    <w:p w:rsidR="003D097B" w:rsidRDefault="003D097B" w:rsidP="003D097B">
      <w:pPr>
        <w:pStyle w:val="ListParagraph"/>
        <w:tabs>
          <w:tab w:val="clear" w:pos="4320"/>
          <w:tab w:val="clear" w:pos="9072"/>
        </w:tabs>
        <w:spacing w:line="360" w:lineRule="auto"/>
        <w:ind w:left="0"/>
        <w:jc w:val="both"/>
        <w:rPr>
          <w:rFonts w:hint="eastAsia"/>
        </w:rPr>
      </w:pPr>
    </w:p>
    <w:p w:rsidR="00893938" w:rsidRPr="00893938" w:rsidRDefault="00893938" w:rsidP="003D097B">
      <w:pPr>
        <w:pStyle w:val="ListParagraph"/>
        <w:tabs>
          <w:tab w:val="clear" w:pos="4320"/>
          <w:tab w:val="clear" w:pos="9072"/>
        </w:tabs>
        <w:spacing w:line="360" w:lineRule="auto"/>
        <w:ind w:left="0"/>
        <w:jc w:val="both"/>
        <w:rPr>
          <w:rFonts w:eastAsia="PMingLiU" w:hint="eastAsia"/>
          <w:lang w:eastAsia="zh-TW"/>
        </w:rPr>
      </w:pPr>
    </w:p>
    <w:p w:rsidR="005474D2" w:rsidRDefault="005474D2" w:rsidP="003D097B">
      <w:pPr>
        <w:pStyle w:val="ListParagraph"/>
        <w:tabs>
          <w:tab w:val="clear" w:pos="4320"/>
          <w:tab w:val="clear" w:pos="9072"/>
        </w:tabs>
        <w:spacing w:line="360" w:lineRule="auto"/>
        <w:ind w:left="0"/>
        <w:jc w:val="both"/>
        <w:rPr>
          <w:rFonts w:hint="eastAsia"/>
        </w:rPr>
      </w:pPr>
    </w:p>
    <w:p w:rsidR="00565431" w:rsidRPr="006538AC" w:rsidRDefault="00565431" w:rsidP="00565431">
      <w:pPr>
        <w:pStyle w:val="BodyText"/>
        <w:tabs>
          <w:tab w:val="center" w:pos="6480"/>
        </w:tabs>
        <w:spacing w:line="240" w:lineRule="auto"/>
        <w:jc w:val="both"/>
        <w:rPr>
          <w:szCs w:val="28"/>
        </w:rPr>
      </w:pPr>
      <w:r w:rsidRPr="006538AC">
        <w:rPr>
          <w:szCs w:val="28"/>
          <w:lang w:eastAsia="zh-TW"/>
        </w:rPr>
        <w:tab/>
      </w:r>
      <w:r w:rsidR="00BE12D9">
        <w:rPr>
          <w:rFonts w:hint="eastAsia"/>
          <w:szCs w:val="28"/>
        </w:rPr>
        <w:t>Tracy</w:t>
      </w:r>
      <w:r w:rsidRPr="006538AC">
        <w:rPr>
          <w:szCs w:val="28"/>
        </w:rPr>
        <w:t xml:space="preserve"> Chan</w:t>
      </w:r>
      <w:r w:rsidRPr="006538AC">
        <w:rPr>
          <w:szCs w:val="28"/>
        </w:rPr>
        <w:tab/>
      </w:r>
    </w:p>
    <w:p w:rsidR="00565431" w:rsidRPr="006538AC" w:rsidRDefault="00565431" w:rsidP="00565431">
      <w:pPr>
        <w:pStyle w:val="BodyText"/>
        <w:tabs>
          <w:tab w:val="center" w:pos="6480"/>
        </w:tabs>
        <w:spacing w:line="240" w:lineRule="auto"/>
        <w:jc w:val="both"/>
        <w:rPr>
          <w:szCs w:val="28"/>
        </w:rPr>
      </w:pPr>
      <w:r w:rsidRPr="006538AC">
        <w:rPr>
          <w:szCs w:val="28"/>
        </w:rPr>
        <w:tab/>
        <w:t>Deputy District Judge</w:t>
      </w:r>
    </w:p>
    <w:p w:rsidR="00AD6B85" w:rsidRDefault="00AD6B85" w:rsidP="00425CB6">
      <w:pPr>
        <w:pStyle w:val="BodyText"/>
        <w:tabs>
          <w:tab w:val="left" w:pos="1440"/>
        </w:tabs>
        <w:spacing w:line="240" w:lineRule="auto"/>
        <w:ind w:left="567" w:hanging="567"/>
        <w:jc w:val="both"/>
        <w:rPr>
          <w:rFonts w:hint="eastAsia"/>
          <w:iCs/>
          <w:szCs w:val="28"/>
        </w:rPr>
      </w:pPr>
    </w:p>
    <w:p w:rsidR="005474D2" w:rsidRDefault="005474D2" w:rsidP="00425CB6">
      <w:pPr>
        <w:pStyle w:val="BodyText"/>
        <w:tabs>
          <w:tab w:val="left" w:pos="1440"/>
        </w:tabs>
        <w:spacing w:line="240" w:lineRule="auto"/>
        <w:ind w:left="567" w:hanging="567"/>
        <w:jc w:val="both"/>
        <w:rPr>
          <w:rFonts w:hint="eastAsia"/>
          <w:iCs/>
          <w:szCs w:val="28"/>
        </w:rPr>
      </w:pPr>
    </w:p>
    <w:p w:rsidR="005474D2" w:rsidRDefault="005474D2" w:rsidP="00425CB6">
      <w:pPr>
        <w:pStyle w:val="BodyText"/>
        <w:tabs>
          <w:tab w:val="left" w:pos="1440"/>
        </w:tabs>
        <w:spacing w:line="240" w:lineRule="auto"/>
        <w:ind w:left="567" w:hanging="567"/>
        <w:jc w:val="both"/>
        <w:rPr>
          <w:rFonts w:hint="eastAsia"/>
          <w:iCs/>
          <w:szCs w:val="28"/>
        </w:rPr>
      </w:pPr>
    </w:p>
    <w:p w:rsidR="003D260E" w:rsidRDefault="003D260E" w:rsidP="00425CB6">
      <w:pPr>
        <w:pStyle w:val="BodyText"/>
        <w:tabs>
          <w:tab w:val="left" w:pos="1440"/>
        </w:tabs>
        <w:spacing w:line="240" w:lineRule="auto"/>
        <w:ind w:left="567" w:hanging="567"/>
        <w:jc w:val="both"/>
        <w:rPr>
          <w:iCs/>
          <w:szCs w:val="28"/>
        </w:rPr>
      </w:pPr>
    </w:p>
    <w:p w:rsidR="0023291C" w:rsidRDefault="0023291C" w:rsidP="0023291C">
      <w:pPr>
        <w:pStyle w:val="BodyText"/>
        <w:tabs>
          <w:tab w:val="left" w:pos="1440"/>
        </w:tabs>
        <w:spacing w:after="120" w:line="240" w:lineRule="atLeast"/>
        <w:jc w:val="both"/>
        <w:rPr>
          <w:iCs/>
          <w:szCs w:val="28"/>
        </w:rPr>
      </w:pPr>
      <w:r w:rsidRPr="003C0DFF">
        <w:rPr>
          <w:szCs w:val="28"/>
          <w:lang w:val="en-US"/>
        </w:rPr>
        <w:t>Mr</w:t>
      </w:r>
      <w:r>
        <w:rPr>
          <w:rFonts w:hint="eastAsia"/>
          <w:szCs w:val="28"/>
          <w:lang w:val="en-US"/>
        </w:rPr>
        <w:t xml:space="preserve"> Colin</w:t>
      </w:r>
      <w:r w:rsidRPr="003C0DFF">
        <w:rPr>
          <w:szCs w:val="28"/>
          <w:lang w:val="en-US"/>
        </w:rPr>
        <w:t xml:space="preserve"> </w:t>
      </w:r>
      <w:r>
        <w:rPr>
          <w:rFonts w:hint="eastAsia"/>
          <w:szCs w:val="28"/>
          <w:lang w:val="en-US"/>
        </w:rPr>
        <w:t>Leung</w:t>
      </w:r>
      <w:r w:rsidRPr="003C0DFF">
        <w:rPr>
          <w:szCs w:val="28"/>
          <w:lang w:val="en-US"/>
        </w:rPr>
        <w:t xml:space="preserve"> </w:t>
      </w:r>
      <w:r w:rsidRPr="007E38D3">
        <w:rPr>
          <w:rFonts w:hint="eastAsia"/>
          <w:szCs w:val="28"/>
          <w:lang w:val="en-US"/>
        </w:rPr>
        <w:t xml:space="preserve">instructed by </w:t>
      </w:r>
      <w:r w:rsidRPr="007E38D3">
        <w:rPr>
          <w:szCs w:val="28"/>
          <w:lang w:val="en-US"/>
        </w:rPr>
        <w:t xml:space="preserve">Messrs. </w:t>
      </w:r>
      <w:r>
        <w:rPr>
          <w:rFonts w:hint="eastAsia"/>
          <w:szCs w:val="28"/>
          <w:lang w:val="en-US"/>
        </w:rPr>
        <w:t>M.C.A. Lai &amp; Co.</w:t>
      </w:r>
      <w:r w:rsidRPr="007E38D3">
        <w:rPr>
          <w:szCs w:val="28"/>
          <w:lang w:val="en-US"/>
        </w:rPr>
        <w:t xml:space="preserve">for the </w:t>
      </w:r>
      <w:r>
        <w:rPr>
          <w:rFonts w:hint="eastAsia"/>
          <w:iCs/>
          <w:szCs w:val="28"/>
        </w:rPr>
        <w:t xml:space="preserve">Plaintiff </w:t>
      </w:r>
    </w:p>
    <w:p w:rsidR="003659E0" w:rsidRPr="006538AC" w:rsidRDefault="0023291C" w:rsidP="0023291C">
      <w:pPr>
        <w:pStyle w:val="BodyText"/>
        <w:tabs>
          <w:tab w:val="left" w:pos="1440"/>
        </w:tabs>
        <w:spacing w:after="120" w:line="240" w:lineRule="atLeast"/>
        <w:jc w:val="both"/>
        <w:rPr>
          <w:iCs/>
          <w:szCs w:val="28"/>
        </w:rPr>
      </w:pPr>
      <w:r w:rsidRPr="003C0DFF">
        <w:rPr>
          <w:szCs w:val="28"/>
          <w:lang w:val="en-US"/>
        </w:rPr>
        <w:t>Mr Victor Gidwani leading Mr Bosco Cheng</w:t>
      </w:r>
      <w:r w:rsidRPr="003C0DFF">
        <w:rPr>
          <w:rFonts w:hint="eastAsia"/>
          <w:szCs w:val="28"/>
          <w:lang w:val="en-US"/>
        </w:rPr>
        <w:t xml:space="preserve"> </w:t>
      </w:r>
      <w:r w:rsidRPr="007E38D3">
        <w:rPr>
          <w:rFonts w:hint="eastAsia"/>
          <w:szCs w:val="28"/>
          <w:lang w:val="en-US"/>
        </w:rPr>
        <w:t xml:space="preserve">instructed by </w:t>
      </w:r>
      <w:r w:rsidRPr="007E38D3">
        <w:rPr>
          <w:szCs w:val="28"/>
          <w:lang w:val="en-US"/>
        </w:rPr>
        <w:t xml:space="preserve">Messrs. </w:t>
      </w:r>
      <w:r>
        <w:rPr>
          <w:rFonts w:hint="eastAsia"/>
          <w:szCs w:val="28"/>
          <w:lang w:val="en-US"/>
        </w:rPr>
        <w:t xml:space="preserve">Leung &amp; Lau </w:t>
      </w:r>
      <w:r w:rsidRPr="007E38D3">
        <w:rPr>
          <w:szCs w:val="28"/>
          <w:lang w:val="en-US"/>
        </w:rPr>
        <w:t xml:space="preserve">for the </w:t>
      </w:r>
      <w:r>
        <w:rPr>
          <w:rFonts w:hint="eastAsia"/>
          <w:szCs w:val="28"/>
          <w:lang w:val="en-US"/>
        </w:rPr>
        <w:t>1</w:t>
      </w:r>
      <w:r w:rsidRPr="003C0DFF">
        <w:rPr>
          <w:rFonts w:hint="eastAsia"/>
          <w:szCs w:val="28"/>
          <w:vertAlign w:val="superscript"/>
          <w:lang w:val="en-US"/>
        </w:rPr>
        <w:t>st</w:t>
      </w:r>
      <w:r>
        <w:rPr>
          <w:rFonts w:hint="eastAsia"/>
          <w:szCs w:val="28"/>
          <w:lang w:val="en-US"/>
        </w:rPr>
        <w:t xml:space="preserve"> Defendant</w:t>
      </w:r>
    </w:p>
    <w:sectPr w:rsidR="003659E0" w:rsidRPr="006538AC" w:rsidSect="005D01DF">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460" w:rsidRDefault="000E1460">
      <w:r>
        <w:separator/>
      </w:r>
    </w:p>
  </w:endnote>
  <w:endnote w:type="continuationSeparator" w:id="0">
    <w:p w:rsidR="000E1460" w:rsidRDefault="000E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4D1" w:rsidRDefault="001143CE">
    <w:pPr>
      <w:pStyle w:val="Footer"/>
      <w:framePr w:wrap="around" w:vAnchor="text" w:hAnchor="margin" w:xAlign="right" w:y="1"/>
      <w:rPr>
        <w:rStyle w:val="PageNumber"/>
      </w:rPr>
    </w:pPr>
    <w:r>
      <w:rPr>
        <w:rStyle w:val="PageNumber"/>
      </w:rPr>
      <w:fldChar w:fldCharType="begin"/>
    </w:r>
    <w:r w:rsidR="00E704D1">
      <w:rPr>
        <w:rStyle w:val="PageNumber"/>
      </w:rPr>
      <w:instrText xml:space="preserve">PAGE  </w:instrText>
    </w:r>
    <w:r>
      <w:rPr>
        <w:rStyle w:val="PageNumber"/>
      </w:rPr>
      <w:fldChar w:fldCharType="end"/>
    </w:r>
  </w:p>
  <w:p w:rsidR="00E704D1" w:rsidRDefault="00E704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4D1" w:rsidRDefault="00E704D1">
    <w:pPr>
      <w:pStyle w:val="Footer"/>
      <w:framePr w:wrap="around" w:vAnchor="text" w:hAnchor="margin" w:xAlign="right" w:y="1"/>
      <w:rPr>
        <w:rStyle w:val="PageNumber"/>
      </w:rPr>
    </w:pPr>
  </w:p>
  <w:p w:rsidR="00E704D1" w:rsidRDefault="00E704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460" w:rsidRDefault="000E1460">
      <w:r>
        <w:separator/>
      </w:r>
    </w:p>
  </w:footnote>
  <w:footnote w:type="continuationSeparator" w:id="0">
    <w:p w:rsidR="000E1460" w:rsidRDefault="000E1460">
      <w:r>
        <w:continuationSeparator/>
      </w:r>
    </w:p>
  </w:footnote>
  <w:footnote w:id="1">
    <w:p w:rsidR="00315501" w:rsidRPr="00315501" w:rsidRDefault="00315501">
      <w:pPr>
        <w:pStyle w:val="FootnoteText"/>
        <w:rPr>
          <w:rFonts w:hint="eastAsia"/>
          <w:lang w:eastAsia="zh-CN"/>
        </w:rPr>
      </w:pPr>
      <w:r>
        <w:rPr>
          <w:rStyle w:val="FootnoteReference"/>
        </w:rPr>
        <w:footnoteRef/>
      </w:r>
      <w:r>
        <w:t xml:space="preserve"> “</w:t>
      </w:r>
      <w:r>
        <w:rPr>
          <w:rFonts w:hint="eastAsia"/>
        </w:rPr>
        <w:t>after the expiry of 28 days from the date the sanctioned offer is made the offeree may only accept it if (a) the parties agree on the liability for costs; or (b)the court grant leave to accept it</w:t>
      </w:r>
      <w:r>
        <w:t>”</w:t>
      </w:r>
      <w:r>
        <w:rPr>
          <w:rFonts w:hint="eastAsia"/>
        </w:rPr>
        <w:t xml:space="preserve">.     </w:t>
      </w:r>
    </w:p>
  </w:footnote>
  <w:footnote w:id="2">
    <w:p w:rsidR="001C5CA2" w:rsidRDefault="001C5CA2" w:rsidP="001C5CA2">
      <w:pPr>
        <w:pStyle w:val="FootnoteText"/>
        <w:rPr>
          <w:rFonts w:hint="eastAsia"/>
        </w:rPr>
      </w:pPr>
      <w:r>
        <w:rPr>
          <w:rStyle w:val="FootnoteReference"/>
        </w:rPr>
        <w:footnoteRef/>
      </w:r>
      <w:r>
        <w:t xml:space="preserve"> </w:t>
      </w:r>
      <w:r>
        <w:rPr>
          <w:rFonts w:hint="eastAsia"/>
        </w:rPr>
        <w:t xml:space="preserve">See </w:t>
      </w:r>
      <w:r w:rsidRPr="00395AA2">
        <w:rPr>
          <w:rFonts w:hint="eastAsia"/>
          <w:i/>
        </w:rPr>
        <w:t>Hong Kong Civil Procedure 2013</w:t>
      </w:r>
      <w:r>
        <w:rPr>
          <w:rFonts w:hint="eastAsia"/>
        </w:rPr>
        <w:t>, Vol 1, para 22/2/A at p 490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4D1" w:rsidRDefault="003728CC">
    <w:pPr>
      <w:pStyle w:val="Header"/>
    </w:pPr>
    <w:r w:rsidRPr="001143CE">
      <w:rPr>
        <w:noProof/>
        <w:sz w:val="20"/>
      </w:rPr>
    </w:r>
    <w:r w:rsidR="003728CC" w:rsidRPr="001143CE">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r w:rsidRPr="001143CE">
      <w:rPr>
        <w:noProof/>
        <w:sz w:val="20"/>
      </w:rPr>
    </w:r>
    <w:r w:rsidR="003728CC" w:rsidRPr="001143CE">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E704D1" w:rsidRDefault="00E704D1">
                <w:pPr>
                  <w:rPr>
                    <w:rFonts w:eastAsia="SimHei"/>
                    <w:b/>
                    <w:sz w:val="18"/>
                  </w:rPr>
                </w:pPr>
                <w:r>
                  <w:rPr>
                    <w:rFonts w:eastAsia="SimHei" w:hint="eastAsia"/>
                    <w:b/>
                    <w:sz w:val="18"/>
                  </w:rPr>
                  <w:t>由此</w:t>
                </w:r>
              </w:p>
            </w:txbxContent>
          </v:textbox>
        </v:shape>
      </w:pict>
    </w:r>
    <w:r w:rsidRPr="001143CE">
      <w:rPr>
        <w:noProof/>
        <w:sz w:val="20"/>
      </w:rPr>
    </w:r>
    <w:r w:rsidR="003728CC" w:rsidRPr="001143CE">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04D1" w:rsidRDefault="00E704D1">
    <w:pPr>
      <w:pStyle w:val="Header"/>
      <w:rPr>
        <w:sz w:val="28"/>
      </w:rPr>
    </w:pPr>
    <w:r>
      <w:rPr>
        <w:rFonts w:hint="eastAsia"/>
        <w:sz w:val="28"/>
      </w:rPr>
      <w:t xml:space="preserve">-  </w:t>
    </w:r>
    <w:r w:rsidR="001143CE">
      <w:rPr>
        <w:rStyle w:val="PageNumber"/>
        <w:sz w:val="28"/>
      </w:rPr>
      <w:fldChar w:fldCharType="begin"/>
    </w:r>
    <w:r>
      <w:rPr>
        <w:rStyle w:val="PageNumber"/>
        <w:sz w:val="28"/>
      </w:rPr>
      <w:instrText xml:space="preserve"> PAGE </w:instrText>
    </w:r>
    <w:r w:rsidR="001143CE">
      <w:rPr>
        <w:rStyle w:val="PageNumber"/>
        <w:sz w:val="28"/>
      </w:rPr>
      <w:fldChar w:fldCharType="separate"/>
    </w:r>
    <w:r w:rsidR="00893938">
      <w:rPr>
        <w:rStyle w:val="PageNumber"/>
        <w:noProof/>
        <w:sz w:val="28"/>
      </w:rPr>
      <w:t>2</w:t>
    </w:r>
    <w:r w:rsidR="001143CE">
      <w:rPr>
        <w:rStyle w:val="PageNumber"/>
        <w:sz w:val="28"/>
      </w:rPr>
      <w:fldChar w:fldCharType="end"/>
    </w:r>
    <w:r>
      <w:rPr>
        <w:rStyle w:val="PageNumber"/>
        <w:rFonts w:hint="eastAsia"/>
        <w:sz w:val="28"/>
      </w:rPr>
      <w:t xml:space="preserve">  -</w:t>
    </w:r>
    <w:r w:rsidR="003728CC">
      <w:rPr>
        <w:noProof/>
        <w:sz w:val="28"/>
      </w:rPr>
    </w:r>
    <w:r w:rsidR="003728C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r w:rsidR="003728CC">
      <w:rPr>
        <w:noProof/>
        <w:sz w:val="28"/>
      </w:rPr>
    </w:r>
    <w:r w:rsidR="003728C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E704D1" w:rsidRDefault="00E704D1">
                <w:pPr>
                  <w:rPr>
                    <w:rFonts w:eastAsia="SimHei"/>
                    <w:b/>
                    <w:sz w:val="18"/>
                  </w:rPr>
                </w:pPr>
                <w:r>
                  <w:rPr>
                    <w:rFonts w:eastAsia="SimHei" w:hint="eastAsia"/>
                    <w:b/>
                    <w:sz w:val="18"/>
                  </w:rPr>
                  <w:t>由此</w:t>
                </w:r>
              </w:p>
            </w:txbxContent>
          </v:textbox>
        </v:shape>
      </w:pict>
    </w:r>
    <w:r w:rsidR="003728CC">
      <w:rPr>
        <w:noProof/>
        <w:sz w:val="28"/>
      </w:rPr>
    </w:r>
    <w:r w:rsidR="003728C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E704D1" w:rsidRDefault="00E704D1">
                <w:pPr>
                  <w:rPr>
                    <w:b/>
                    <w:sz w:val="20"/>
                  </w:rPr>
                </w:pPr>
                <w:r>
                  <w:rPr>
                    <w:rFonts w:hint="eastAsia"/>
                    <w:b/>
                    <w:sz w:val="20"/>
                  </w:rPr>
                  <w:t>A</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B</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C</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2"/>
                  <w:rPr>
                    <w:sz w:val="16"/>
                  </w:rPr>
                </w:pPr>
                <w:r>
                  <w:rPr>
                    <w:rFonts w:hint="eastAsia"/>
                  </w:rPr>
                  <w:t>D</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E</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20"/>
                  </w:rPr>
                </w:pPr>
                <w:r>
                  <w:rPr>
                    <w:rFonts w:hint="eastAsia"/>
                    <w:b/>
                    <w:sz w:val="20"/>
                  </w:rPr>
                  <w:t>F</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G</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H</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I</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J</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K</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L</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M</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N</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O</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P</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Q</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R</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S</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T</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rPr>
                    <w:b/>
                    <w:sz w:val="16"/>
                  </w:rPr>
                </w:pPr>
                <w:r>
                  <w:rPr>
                    <w:rFonts w:hint="eastAsia"/>
                    <w:b/>
                    <w:sz w:val="20"/>
                  </w:rPr>
                  <w:t>U</w:t>
                </w:r>
              </w:p>
              <w:p w:rsidR="00E704D1" w:rsidRDefault="00E704D1">
                <w:pPr>
                  <w:rPr>
                    <w:b/>
                    <w:sz w:val="10"/>
                  </w:rPr>
                </w:pPr>
              </w:p>
              <w:p w:rsidR="00E704D1" w:rsidRDefault="00E704D1">
                <w:pPr>
                  <w:rPr>
                    <w:b/>
                    <w:sz w:val="16"/>
                  </w:rPr>
                </w:pPr>
              </w:p>
              <w:p w:rsidR="00E704D1" w:rsidRDefault="00E704D1">
                <w:pPr>
                  <w:rPr>
                    <w:b/>
                    <w:sz w:val="16"/>
                  </w:rPr>
                </w:pPr>
              </w:p>
              <w:p w:rsidR="00E704D1" w:rsidRDefault="00E704D1">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C78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368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594E5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EC8F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B289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0293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DE3C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62F8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2C46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A018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1"/>
    <w:name w:val="WW8Num22"/>
    <w:lvl w:ilvl="0">
      <w:start w:val="1"/>
      <w:numFmt w:val="decimal"/>
      <w:lvlText w:val="%1."/>
      <w:lvlJc w:val="left"/>
      <w:pPr>
        <w:tabs>
          <w:tab w:val="num" w:pos="1080"/>
        </w:tabs>
        <w:ind w:left="0" w:firstLine="0"/>
      </w:pPr>
      <w:rPr>
        <w:rFonts w:eastAsia="PMingLiU"/>
      </w:rPr>
    </w:lvl>
  </w:abstractNum>
  <w:abstractNum w:abstractNumId="11" w15:restartNumberingAfterBreak="0">
    <w:nsid w:val="000616BA"/>
    <w:multiLevelType w:val="multilevel"/>
    <w:tmpl w:val="7382DE14"/>
    <w:lvl w:ilvl="0">
      <w:start w:val="1"/>
      <w:numFmt w:val="decimal"/>
      <w:lvlText w:val="%1."/>
      <w:lvlJc w:val="left"/>
      <w:pPr>
        <w:tabs>
          <w:tab w:val="num" w:pos="720"/>
        </w:tabs>
        <w:ind w:left="720" w:hanging="360"/>
      </w:pPr>
      <w:rPr>
        <w:rFonts w:ascii="Book Antiqua" w:hAnsi="Book Antiqua"/>
        <w:sz w:val="24"/>
      </w:rPr>
    </w:lvl>
    <w:lvl w:ilvl="1">
      <w:start w:val="1"/>
      <w:numFmt w:val="decimal"/>
      <w:lvlText w:val="(%2)"/>
      <w:lvlJc w:val="left"/>
      <w:pPr>
        <w:tabs>
          <w:tab w:val="num" w:pos="1470"/>
        </w:tabs>
        <w:ind w:left="1470" w:hanging="390"/>
      </w:pPr>
      <w:rPr>
        <w:rFonts w:hint="default"/>
      </w:rPr>
    </w:lvl>
    <w:lvl w:ilvl="2">
      <w:start w:val="1"/>
      <w:numFmt w:val="lowerLetter"/>
      <w:lvlText w:val="(%3)"/>
      <w:lvlJc w:val="left"/>
      <w:pPr>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5F950C7"/>
    <w:multiLevelType w:val="hybridMultilevel"/>
    <w:tmpl w:val="4E581558"/>
    <w:lvl w:ilvl="0" w:tplc="114601E4">
      <w:start w:val="1"/>
      <w:numFmt w:val="decimal"/>
      <w:lvlText w:val="%1."/>
      <w:lvlJc w:val="left"/>
      <w:pPr>
        <w:ind w:left="720" w:hanging="360"/>
      </w:pPr>
      <w:rPr>
        <w:rFonts w:ascii="Times New Roman" w:eastAsia="PMingLiU" w:hAnsi="Times New Roman" w:cs="Times New Roman" w:hint="default"/>
        <w:b w:val="0"/>
        <w:i w:val="0"/>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823DD"/>
    <w:multiLevelType w:val="hybridMultilevel"/>
    <w:tmpl w:val="125220DE"/>
    <w:lvl w:ilvl="0" w:tplc="0409001B">
      <w:start w:val="1"/>
      <w:numFmt w:val="lowerRoman"/>
      <w:lvlText w:val="%1."/>
      <w:lvlJc w:val="righ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15004B5A"/>
    <w:multiLevelType w:val="hybridMultilevel"/>
    <w:tmpl w:val="4C862372"/>
    <w:lvl w:ilvl="0" w:tplc="CB5636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377A16"/>
    <w:multiLevelType w:val="hybridMultilevel"/>
    <w:tmpl w:val="705ABB3C"/>
    <w:lvl w:ilvl="0" w:tplc="E7AA1C2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B1B1247"/>
    <w:multiLevelType w:val="hybridMultilevel"/>
    <w:tmpl w:val="DCAAF374"/>
    <w:lvl w:ilvl="0" w:tplc="403EEC78">
      <w:start w:val="1"/>
      <w:numFmt w:val="lowerRoman"/>
      <w:pStyle w:val="Style1"/>
      <w:lvlText w:val="(%1)"/>
      <w:lvlJc w:val="left"/>
      <w:pPr>
        <w:ind w:left="1080" w:hanging="720"/>
      </w:pPr>
      <w:rPr>
        <w:rFonts w:hint="default"/>
      </w:rPr>
    </w:lvl>
    <w:lvl w:ilvl="1" w:tplc="781E945C">
      <w:start w:val="1"/>
      <w:numFmt w:val="decimal"/>
      <w:lvlText w:val="%2."/>
      <w:lvlJc w:val="left"/>
      <w:pPr>
        <w:ind w:left="1440" w:hanging="360"/>
      </w:pPr>
      <w:rPr>
        <w:rFonts w:ascii="Times New Roman" w:eastAsia="PMingLiU" w:hAnsi="Times New Roman" w:cs="Times New Roman"/>
      </w:rPr>
    </w:lvl>
    <w:lvl w:ilvl="2" w:tplc="892CFD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596067"/>
    <w:multiLevelType w:val="hybridMultilevel"/>
    <w:tmpl w:val="76507DA2"/>
    <w:lvl w:ilvl="0" w:tplc="E83026B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C53488A"/>
    <w:multiLevelType w:val="hybridMultilevel"/>
    <w:tmpl w:val="8D7C3FDE"/>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1D805FBF"/>
    <w:multiLevelType w:val="hybridMultilevel"/>
    <w:tmpl w:val="99D64954"/>
    <w:lvl w:ilvl="0" w:tplc="10282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394874"/>
    <w:multiLevelType w:val="hybridMultilevel"/>
    <w:tmpl w:val="C47C3EFC"/>
    <w:lvl w:ilvl="0" w:tplc="0400B3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65F34C5"/>
    <w:multiLevelType w:val="hybridMultilevel"/>
    <w:tmpl w:val="E0E2ED12"/>
    <w:lvl w:ilvl="0" w:tplc="522272E2">
      <w:start w:val="1"/>
      <w:numFmt w:val="decimal"/>
      <w:lvlText w:val="%1."/>
      <w:lvlJc w:val="left"/>
      <w:pPr>
        <w:ind w:left="1800" w:hanging="360"/>
      </w:pPr>
      <w:rPr>
        <w:rFonts w:hint="default"/>
        <w:strike w: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2" w15:restartNumberingAfterBreak="0">
    <w:nsid w:val="26D154B7"/>
    <w:multiLevelType w:val="hybridMultilevel"/>
    <w:tmpl w:val="69F8AE98"/>
    <w:lvl w:ilvl="0" w:tplc="D65E7238">
      <w:start w:val="1"/>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E4FEC"/>
    <w:multiLevelType w:val="hybridMultilevel"/>
    <w:tmpl w:val="BD5A976C"/>
    <w:lvl w:ilvl="0" w:tplc="FCEA3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722B94"/>
    <w:multiLevelType w:val="hybridMultilevel"/>
    <w:tmpl w:val="A246CA36"/>
    <w:lvl w:ilvl="0" w:tplc="5B5C38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4969C6"/>
    <w:multiLevelType w:val="hybridMultilevel"/>
    <w:tmpl w:val="525A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8924B5"/>
    <w:multiLevelType w:val="hybridMultilevel"/>
    <w:tmpl w:val="E55EDBB0"/>
    <w:lvl w:ilvl="0" w:tplc="AF60926C">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3084798F"/>
    <w:multiLevelType w:val="hybridMultilevel"/>
    <w:tmpl w:val="7578F090"/>
    <w:lvl w:ilvl="0" w:tplc="13DE7880">
      <w:start w:val="1"/>
      <w:numFmt w:val="decimal"/>
      <w:lvlText w:val="%1."/>
      <w:lvlJc w:val="left"/>
      <w:pPr>
        <w:ind w:left="1440" w:hanging="360"/>
      </w:pPr>
      <w:rPr>
        <w:rFonts w:ascii="Times New Roman" w:eastAsia="PMingLiU" w:hAnsi="Times New Roman"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6C4AB8"/>
    <w:multiLevelType w:val="hybridMultilevel"/>
    <w:tmpl w:val="8BD29822"/>
    <w:lvl w:ilvl="0" w:tplc="82EABD5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76312B0"/>
    <w:multiLevelType w:val="hybridMultilevel"/>
    <w:tmpl w:val="1C1476DA"/>
    <w:lvl w:ilvl="0" w:tplc="62D2A0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9B51102"/>
    <w:multiLevelType w:val="hybridMultilevel"/>
    <w:tmpl w:val="8D7C3FDE"/>
    <w:lvl w:ilvl="0" w:tplc="0409000F">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15:restartNumberingAfterBreak="0">
    <w:nsid w:val="41E22E70"/>
    <w:multiLevelType w:val="hybridMultilevel"/>
    <w:tmpl w:val="0A9C4690"/>
    <w:lvl w:ilvl="0" w:tplc="0409000F">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E33C41"/>
    <w:multiLevelType w:val="hybridMultilevel"/>
    <w:tmpl w:val="C3A87E92"/>
    <w:lvl w:ilvl="0" w:tplc="432C5302">
      <w:start w:val="1"/>
      <w:numFmt w:val="lowerRoman"/>
      <w:pStyle w:val="Style22"/>
      <w:lvlText w:val="(%1)"/>
      <w:lvlJc w:val="left"/>
      <w:pPr>
        <w:tabs>
          <w:tab w:val="num" w:pos="720"/>
        </w:tabs>
        <w:ind w:left="720" w:hanging="360"/>
      </w:pPr>
      <w:rPr>
        <w:rFonts w:hint="default"/>
        <w:sz w:val="28"/>
        <w:szCs w:val="28"/>
      </w:rPr>
    </w:lvl>
    <w:lvl w:ilvl="1" w:tplc="4B8468AE">
      <w:start w:val="1"/>
      <w:numFmt w:val="decimal"/>
      <w:lvlText w:val="(%2)"/>
      <w:lvlJc w:val="left"/>
      <w:pPr>
        <w:tabs>
          <w:tab w:val="num" w:pos="1470"/>
        </w:tabs>
        <w:ind w:left="1470" w:hanging="390"/>
      </w:pPr>
      <w:rPr>
        <w:rFonts w:hint="default"/>
      </w:rPr>
    </w:lvl>
    <w:lvl w:ilvl="2" w:tplc="7626FD9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D8536B8"/>
    <w:multiLevelType w:val="hybridMultilevel"/>
    <w:tmpl w:val="DA1011CC"/>
    <w:lvl w:ilvl="0" w:tplc="2F9E2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CE3D48"/>
    <w:multiLevelType w:val="hybridMultilevel"/>
    <w:tmpl w:val="07825E72"/>
    <w:lvl w:ilvl="0" w:tplc="46689A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19354F"/>
    <w:multiLevelType w:val="hybridMultilevel"/>
    <w:tmpl w:val="65143890"/>
    <w:lvl w:ilvl="0" w:tplc="AC224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81A08"/>
    <w:multiLevelType w:val="hybridMultilevel"/>
    <w:tmpl w:val="A4D28F8C"/>
    <w:lvl w:ilvl="0" w:tplc="F4282B66">
      <w:start w:val="1"/>
      <w:numFmt w:val="decimal"/>
      <w:lvlText w:val="(%1)"/>
      <w:lvlJc w:val="left"/>
      <w:pPr>
        <w:tabs>
          <w:tab w:val="num" w:pos="1440"/>
        </w:tabs>
        <w:ind w:left="1440" w:hanging="720"/>
      </w:pPr>
      <w:rPr>
        <w:rFonts w:hint="default"/>
      </w:rPr>
    </w:lvl>
    <w:lvl w:ilvl="1" w:tplc="3058105A">
      <w:start w:val="1"/>
      <w:numFmt w:val="lowerLetter"/>
      <w:lvlText w:val="(%2)"/>
      <w:lvlJc w:val="left"/>
      <w:pPr>
        <w:tabs>
          <w:tab w:val="num" w:pos="2160"/>
        </w:tabs>
        <w:ind w:left="2160" w:hanging="720"/>
      </w:pPr>
      <w:rPr>
        <w:rFonts w:hint="default"/>
      </w:rPr>
    </w:lvl>
    <w:lvl w:ilvl="2" w:tplc="52420E4E">
      <w:start w:val="32"/>
      <w:numFmt w:val="decimal"/>
      <w:lvlText w:val="%3."/>
      <w:lvlJc w:val="left"/>
      <w:pPr>
        <w:tabs>
          <w:tab w:val="num" w:pos="2700"/>
        </w:tabs>
        <w:ind w:left="2700" w:hanging="360"/>
      </w:pPr>
      <w:rPr>
        <w:rFonts w:eastAsia="PMingLiU" w:hint="default"/>
      </w:rPr>
    </w:lvl>
    <w:lvl w:ilvl="3" w:tplc="381C1A08">
      <w:start w:val="2"/>
      <w:numFmt w:val="lowerRoman"/>
      <w:lvlText w:val="(%4)"/>
      <w:lvlJc w:val="left"/>
      <w:pPr>
        <w:tabs>
          <w:tab w:val="num" w:pos="3600"/>
        </w:tabs>
        <w:ind w:left="3600" w:hanging="720"/>
      </w:pPr>
      <w:rPr>
        <w:rFonts w:hint="default"/>
      </w:rPr>
    </w:lvl>
    <w:lvl w:ilvl="4" w:tplc="836EABAC">
      <w:start w:val="60"/>
      <w:numFmt w:val="decimal"/>
      <w:lvlText w:val="(%5"/>
      <w:lvlJc w:val="left"/>
      <w:pPr>
        <w:ind w:left="3990" w:hanging="39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5CB40D0"/>
    <w:multiLevelType w:val="hybridMultilevel"/>
    <w:tmpl w:val="5310F5E2"/>
    <w:lvl w:ilvl="0" w:tplc="522272E2">
      <w:start w:val="1"/>
      <w:numFmt w:val="decimal"/>
      <w:lvlText w:val="%1."/>
      <w:lvlJc w:val="left"/>
      <w:pPr>
        <w:ind w:left="1800" w:hanging="360"/>
      </w:pPr>
      <w:rPr>
        <w:rFonts w:hint="default"/>
        <w:strike w: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8" w15:restartNumberingAfterBreak="0">
    <w:nsid w:val="7660227F"/>
    <w:multiLevelType w:val="hybridMultilevel"/>
    <w:tmpl w:val="B4465A36"/>
    <w:lvl w:ilvl="0" w:tplc="49E65354">
      <w:start w:val="1"/>
      <w:numFmt w:val="lowerRoman"/>
      <w:lvlText w:val="(%1)"/>
      <w:lvlJc w:val="left"/>
      <w:pPr>
        <w:tabs>
          <w:tab w:val="num" w:pos="1080"/>
        </w:tabs>
        <w:ind w:left="1080" w:hanging="720"/>
      </w:pPr>
      <w:rPr>
        <w:rFonts w:hint="default"/>
        <w:b w:val="0"/>
        <w:i w:val="0"/>
      </w:rPr>
    </w:lvl>
    <w:lvl w:ilvl="1" w:tplc="04090019">
      <w:start w:val="40"/>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D83530B"/>
    <w:multiLevelType w:val="hybridMultilevel"/>
    <w:tmpl w:val="CFFC77B4"/>
    <w:lvl w:ilvl="0" w:tplc="450EA9CA">
      <w:start w:val="1"/>
      <w:numFmt w:val="decimal"/>
      <w:lvlText w:val="%1."/>
      <w:lvlJc w:val="left"/>
      <w:pPr>
        <w:ind w:left="1080" w:hanging="360"/>
      </w:pPr>
      <w:rPr>
        <w:rFonts w:hint="default"/>
      </w:rPr>
    </w:lvl>
    <w:lvl w:ilvl="1" w:tplc="37C28556"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8865321">
    <w:abstractNumId w:val="32"/>
  </w:num>
  <w:num w:numId="2" w16cid:durableId="541133327">
    <w:abstractNumId w:val="16"/>
  </w:num>
  <w:num w:numId="3" w16cid:durableId="397048494">
    <w:abstractNumId w:val="27"/>
  </w:num>
  <w:num w:numId="4" w16cid:durableId="1244609434">
    <w:abstractNumId w:val="26"/>
  </w:num>
  <w:num w:numId="5" w16cid:durableId="945036595">
    <w:abstractNumId w:val="28"/>
  </w:num>
  <w:num w:numId="6" w16cid:durableId="1648825951">
    <w:abstractNumId w:val="22"/>
  </w:num>
  <w:num w:numId="7" w16cid:durableId="25833237">
    <w:abstractNumId w:val="12"/>
  </w:num>
  <w:num w:numId="8" w16cid:durableId="113721745">
    <w:abstractNumId w:val="29"/>
  </w:num>
  <w:num w:numId="9" w16cid:durableId="625701129">
    <w:abstractNumId w:val="36"/>
  </w:num>
  <w:num w:numId="10" w16cid:durableId="1150368535">
    <w:abstractNumId w:val="10"/>
    <w:lvlOverride w:ilvl="0">
      <w:startOverride w:val="1"/>
    </w:lvlOverride>
  </w:num>
  <w:num w:numId="11" w16cid:durableId="748966532">
    <w:abstractNumId w:val="38"/>
  </w:num>
  <w:num w:numId="12" w16cid:durableId="1304039547">
    <w:abstractNumId w:val="15"/>
  </w:num>
  <w:num w:numId="13" w16cid:durableId="18705142">
    <w:abstractNumId w:val="31"/>
  </w:num>
  <w:num w:numId="14" w16cid:durableId="1059786816">
    <w:abstractNumId w:val="23"/>
  </w:num>
  <w:num w:numId="15" w16cid:durableId="392314158">
    <w:abstractNumId w:val="24"/>
  </w:num>
  <w:num w:numId="16" w16cid:durableId="1155298352">
    <w:abstractNumId w:val="11"/>
  </w:num>
  <w:num w:numId="17" w16cid:durableId="781801583">
    <w:abstractNumId w:val="9"/>
  </w:num>
  <w:num w:numId="18" w16cid:durableId="1539901882">
    <w:abstractNumId w:val="7"/>
  </w:num>
  <w:num w:numId="19" w16cid:durableId="1464352382">
    <w:abstractNumId w:val="6"/>
  </w:num>
  <w:num w:numId="20" w16cid:durableId="582761344">
    <w:abstractNumId w:val="5"/>
  </w:num>
  <w:num w:numId="21" w16cid:durableId="1531449708">
    <w:abstractNumId w:val="4"/>
  </w:num>
  <w:num w:numId="22" w16cid:durableId="78448403">
    <w:abstractNumId w:val="8"/>
  </w:num>
  <w:num w:numId="23" w16cid:durableId="640842582">
    <w:abstractNumId w:val="3"/>
  </w:num>
  <w:num w:numId="24" w16cid:durableId="1875461977">
    <w:abstractNumId w:val="2"/>
  </w:num>
  <w:num w:numId="25" w16cid:durableId="1800418699">
    <w:abstractNumId w:val="1"/>
  </w:num>
  <w:num w:numId="26" w16cid:durableId="1101686270">
    <w:abstractNumId w:val="0"/>
  </w:num>
  <w:num w:numId="27" w16cid:durableId="336885645">
    <w:abstractNumId w:val="25"/>
  </w:num>
  <w:num w:numId="28" w16cid:durableId="8808987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9171174">
    <w:abstractNumId w:val="21"/>
  </w:num>
  <w:num w:numId="30" w16cid:durableId="1816071606">
    <w:abstractNumId w:val="33"/>
  </w:num>
  <w:num w:numId="31" w16cid:durableId="885874746">
    <w:abstractNumId w:val="39"/>
  </w:num>
  <w:num w:numId="32" w16cid:durableId="1670404863">
    <w:abstractNumId w:val="30"/>
  </w:num>
  <w:num w:numId="33" w16cid:durableId="990673490">
    <w:abstractNumId w:val="18"/>
  </w:num>
  <w:num w:numId="34" w16cid:durableId="1686859262">
    <w:abstractNumId w:val="14"/>
  </w:num>
  <w:num w:numId="35" w16cid:durableId="1988194808">
    <w:abstractNumId w:val="13"/>
  </w:num>
  <w:num w:numId="36" w16cid:durableId="343867827">
    <w:abstractNumId w:val="34"/>
  </w:num>
  <w:num w:numId="37" w16cid:durableId="1365057072">
    <w:abstractNumId w:val="35"/>
  </w:num>
  <w:num w:numId="38" w16cid:durableId="1095398384">
    <w:abstractNumId w:val="17"/>
  </w:num>
  <w:num w:numId="39" w16cid:durableId="90861811">
    <w:abstractNumId w:val="20"/>
  </w:num>
  <w:num w:numId="40" w16cid:durableId="1882326203">
    <w:abstractNumId w:val="19"/>
  </w:num>
  <w:num w:numId="41" w16cid:durableId="391193298">
    <w:abstractNumId w:val="32"/>
    <w:lvlOverride w:ilvl="0">
      <w:startOverride w:val="1"/>
    </w:lvlOverride>
  </w:num>
  <w:num w:numId="42" w16cid:durableId="2010212514">
    <w:abstractNumId w:val="32"/>
    <w:lvlOverride w:ilvl="0">
      <w:startOverride w:val="1"/>
    </w:lvlOverride>
  </w:num>
  <w:num w:numId="43" w16cid:durableId="1239947523">
    <w:abstractNumId w:val="32"/>
    <w:lvlOverride w:ilvl="0">
      <w:startOverride w:val="1"/>
    </w:lvlOverride>
  </w:num>
  <w:num w:numId="44" w16cid:durableId="1338002361">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1440"/>
  <w:drawingGridHorizontalSpacing w:val="140"/>
  <w:drawingGridVerticalSpacing w:val="190"/>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591B"/>
    <w:rsid w:val="0000039E"/>
    <w:rsid w:val="000054A7"/>
    <w:rsid w:val="0000724D"/>
    <w:rsid w:val="00010C50"/>
    <w:rsid w:val="00012F8D"/>
    <w:rsid w:val="000133F1"/>
    <w:rsid w:val="00014B70"/>
    <w:rsid w:val="00014CEE"/>
    <w:rsid w:val="000153EC"/>
    <w:rsid w:val="00016D64"/>
    <w:rsid w:val="0002196A"/>
    <w:rsid w:val="000221E9"/>
    <w:rsid w:val="0002241C"/>
    <w:rsid w:val="000225C2"/>
    <w:rsid w:val="00024EC9"/>
    <w:rsid w:val="00027B79"/>
    <w:rsid w:val="0003103F"/>
    <w:rsid w:val="00031B7D"/>
    <w:rsid w:val="00032725"/>
    <w:rsid w:val="00036AD0"/>
    <w:rsid w:val="00041A38"/>
    <w:rsid w:val="00041B3A"/>
    <w:rsid w:val="000463E5"/>
    <w:rsid w:val="000506C8"/>
    <w:rsid w:val="00050A14"/>
    <w:rsid w:val="000538B6"/>
    <w:rsid w:val="00057D28"/>
    <w:rsid w:val="00060EDA"/>
    <w:rsid w:val="000648DB"/>
    <w:rsid w:val="0006544A"/>
    <w:rsid w:val="000778E6"/>
    <w:rsid w:val="00077F5F"/>
    <w:rsid w:val="0008302A"/>
    <w:rsid w:val="0008494D"/>
    <w:rsid w:val="00084D7D"/>
    <w:rsid w:val="000856B3"/>
    <w:rsid w:val="00087A71"/>
    <w:rsid w:val="0009109B"/>
    <w:rsid w:val="00093308"/>
    <w:rsid w:val="0009332D"/>
    <w:rsid w:val="00093622"/>
    <w:rsid w:val="000958DE"/>
    <w:rsid w:val="00096CE8"/>
    <w:rsid w:val="00097E4D"/>
    <w:rsid w:val="000A1145"/>
    <w:rsid w:val="000A2F0E"/>
    <w:rsid w:val="000B290B"/>
    <w:rsid w:val="000B4AA1"/>
    <w:rsid w:val="000B7EA8"/>
    <w:rsid w:val="000C2E3E"/>
    <w:rsid w:val="000C4EE7"/>
    <w:rsid w:val="000C5153"/>
    <w:rsid w:val="000C7169"/>
    <w:rsid w:val="000C7275"/>
    <w:rsid w:val="000D0AF6"/>
    <w:rsid w:val="000D2D33"/>
    <w:rsid w:val="000D3338"/>
    <w:rsid w:val="000D6B76"/>
    <w:rsid w:val="000E1460"/>
    <w:rsid w:val="000E3AFD"/>
    <w:rsid w:val="000E6F65"/>
    <w:rsid w:val="000F1864"/>
    <w:rsid w:val="000F19D6"/>
    <w:rsid w:val="000F1C63"/>
    <w:rsid w:val="000F2BA9"/>
    <w:rsid w:val="000F42F8"/>
    <w:rsid w:val="000F5174"/>
    <w:rsid w:val="00101CC6"/>
    <w:rsid w:val="00104453"/>
    <w:rsid w:val="001044B5"/>
    <w:rsid w:val="001072CB"/>
    <w:rsid w:val="001074AD"/>
    <w:rsid w:val="00110400"/>
    <w:rsid w:val="00111548"/>
    <w:rsid w:val="00111857"/>
    <w:rsid w:val="001143CE"/>
    <w:rsid w:val="001143FE"/>
    <w:rsid w:val="00114CB0"/>
    <w:rsid w:val="00114E4B"/>
    <w:rsid w:val="00124447"/>
    <w:rsid w:val="00124957"/>
    <w:rsid w:val="00146832"/>
    <w:rsid w:val="00146CD3"/>
    <w:rsid w:val="00147146"/>
    <w:rsid w:val="001475F1"/>
    <w:rsid w:val="00147934"/>
    <w:rsid w:val="001666C9"/>
    <w:rsid w:val="0017023E"/>
    <w:rsid w:val="00170DA3"/>
    <w:rsid w:val="00171853"/>
    <w:rsid w:val="00175662"/>
    <w:rsid w:val="00176488"/>
    <w:rsid w:val="001841CC"/>
    <w:rsid w:val="00192B12"/>
    <w:rsid w:val="001959C0"/>
    <w:rsid w:val="00196CFE"/>
    <w:rsid w:val="001A15BA"/>
    <w:rsid w:val="001A20BB"/>
    <w:rsid w:val="001A3A74"/>
    <w:rsid w:val="001A4766"/>
    <w:rsid w:val="001A59DD"/>
    <w:rsid w:val="001A7323"/>
    <w:rsid w:val="001A7571"/>
    <w:rsid w:val="001B0A35"/>
    <w:rsid w:val="001B298F"/>
    <w:rsid w:val="001B7B05"/>
    <w:rsid w:val="001C0315"/>
    <w:rsid w:val="001C1387"/>
    <w:rsid w:val="001C1556"/>
    <w:rsid w:val="001C1AAB"/>
    <w:rsid w:val="001C3CDE"/>
    <w:rsid w:val="001C5CA2"/>
    <w:rsid w:val="001C6123"/>
    <w:rsid w:val="001C6A76"/>
    <w:rsid w:val="001C7765"/>
    <w:rsid w:val="001C7B16"/>
    <w:rsid w:val="001D2CA9"/>
    <w:rsid w:val="001E01BF"/>
    <w:rsid w:val="001E0ABD"/>
    <w:rsid w:val="001E0CEB"/>
    <w:rsid w:val="001E514F"/>
    <w:rsid w:val="001E77C5"/>
    <w:rsid w:val="001F245D"/>
    <w:rsid w:val="001F399D"/>
    <w:rsid w:val="001F41C2"/>
    <w:rsid w:val="001F498E"/>
    <w:rsid w:val="001F7A9F"/>
    <w:rsid w:val="0020166F"/>
    <w:rsid w:val="0020232F"/>
    <w:rsid w:val="00203F78"/>
    <w:rsid w:val="002107A9"/>
    <w:rsid w:val="00211445"/>
    <w:rsid w:val="00211681"/>
    <w:rsid w:val="00212301"/>
    <w:rsid w:val="002127EC"/>
    <w:rsid w:val="002149A4"/>
    <w:rsid w:val="00215C99"/>
    <w:rsid w:val="0022139A"/>
    <w:rsid w:val="00225B07"/>
    <w:rsid w:val="0023291C"/>
    <w:rsid w:val="002338E7"/>
    <w:rsid w:val="00233AE9"/>
    <w:rsid w:val="00234142"/>
    <w:rsid w:val="002341DF"/>
    <w:rsid w:val="00234CE8"/>
    <w:rsid w:val="0023520F"/>
    <w:rsid w:val="00237A0B"/>
    <w:rsid w:val="002423AD"/>
    <w:rsid w:val="00245B32"/>
    <w:rsid w:val="00250928"/>
    <w:rsid w:val="00256765"/>
    <w:rsid w:val="002576A9"/>
    <w:rsid w:val="0026541A"/>
    <w:rsid w:val="00271445"/>
    <w:rsid w:val="002770F8"/>
    <w:rsid w:val="00277286"/>
    <w:rsid w:val="002801C9"/>
    <w:rsid w:val="002848F0"/>
    <w:rsid w:val="00284E40"/>
    <w:rsid w:val="00285BE4"/>
    <w:rsid w:val="00286F87"/>
    <w:rsid w:val="0028720C"/>
    <w:rsid w:val="002902A4"/>
    <w:rsid w:val="00291B41"/>
    <w:rsid w:val="00293DF4"/>
    <w:rsid w:val="00296298"/>
    <w:rsid w:val="002A337B"/>
    <w:rsid w:val="002A6122"/>
    <w:rsid w:val="002B0514"/>
    <w:rsid w:val="002B15D7"/>
    <w:rsid w:val="002B176D"/>
    <w:rsid w:val="002B2B34"/>
    <w:rsid w:val="002B3613"/>
    <w:rsid w:val="002B3D94"/>
    <w:rsid w:val="002B3FAE"/>
    <w:rsid w:val="002B4686"/>
    <w:rsid w:val="002C2B96"/>
    <w:rsid w:val="002C405E"/>
    <w:rsid w:val="002C4A13"/>
    <w:rsid w:val="002C7290"/>
    <w:rsid w:val="002D6731"/>
    <w:rsid w:val="002D6D06"/>
    <w:rsid w:val="002E0B6D"/>
    <w:rsid w:val="002E4FF0"/>
    <w:rsid w:val="002E7F0B"/>
    <w:rsid w:val="002F1384"/>
    <w:rsid w:val="002F13B6"/>
    <w:rsid w:val="002F2022"/>
    <w:rsid w:val="002F2867"/>
    <w:rsid w:val="002F2B58"/>
    <w:rsid w:val="002F3990"/>
    <w:rsid w:val="002F40FB"/>
    <w:rsid w:val="002F4556"/>
    <w:rsid w:val="002F475D"/>
    <w:rsid w:val="002F56B9"/>
    <w:rsid w:val="00301000"/>
    <w:rsid w:val="00305336"/>
    <w:rsid w:val="00305EC2"/>
    <w:rsid w:val="00306A7F"/>
    <w:rsid w:val="003076CC"/>
    <w:rsid w:val="00307D9A"/>
    <w:rsid w:val="00311543"/>
    <w:rsid w:val="003150DF"/>
    <w:rsid w:val="00315501"/>
    <w:rsid w:val="00316A6E"/>
    <w:rsid w:val="00316B28"/>
    <w:rsid w:val="00317075"/>
    <w:rsid w:val="00320239"/>
    <w:rsid w:val="00321736"/>
    <w:rsid w:val="00321A38"/>
    <w:rsid w:val="00323B80"/>
    <w:rsid w:val="00327D96"/>
    <w:rsid w:val="00331444"/>
    <w:rsid w:val="0033277D"/>
    <w:rsid w:val="00332BE2"/>
    <w:rsid w:val="00333D2D"/>
    <w:rsid w:val="0033404B"/>
    <w:rsid w:val="00335009"/>
    <w:rsid w:val="003350A1"/>
    <w:rsid w:val="003354CF"/>
    <w:rsid w:val="003379D8"/>
    <w:rsid w:val="00337B35"/>
    <w:rsid w:val="003441A8"/>
    <w:rsid w:val="0034742D"/>
    <w:rsid w:val="00347D92"/>
    <w:rsid w:val="00350906"/>
    <w:rsid w:val="003509AF"/>
    <w:rsid w:val="00351DA1"/>
    <w:rsid w:val="00353339"/>
    <w:rsid w:val="00354C90"/>
    <w:rsid w:val="003659E0"/>
    <w:rsid w:val="00366FED"/>
    <w:rsid w:val="00370FA6"/>
    <w:rsid w:val="0037241D"/>
    <w:rsid w:val="00372841"/>
    <w:rsid w:val="003728CC"/>
    <w:rsid w:val="00381A79"/>
    <w:rsid w:val="00382E93"/>
    <w:rsid w:val="003871C7"/>
    <w:rsid w:val="003900D1"/>
    <w:rsid w:val="003917E8"/>
    <w:rsid w:val="00394DDC"/>
    <w:rsid w:val="00395F33"/>
    <w:rsid w:val="00396CCB"/>
    <w:rsid w:val="003A2183"/>
    <w:rsid w:val="003A27E9"/>
    <w:rsid w:val="003A3CEF"/>
    <w:rsid w:val="003B2E79"/>
    <w:rsid w:val="003B3072"/>
    <w:rsid w:val="003B335B"/>
    <w:rsid w:val="003B56EE"/>
    <w:rsid w:val="003B6764"/>
    <w:rsid w:val="003C0437"/>
    <w:rsid w:val="003C0DFF"/>
    <w:rsid w:val="003C1C39"/>
    <w:rsid w:val="003D0598"/>
    <w:rsid w:val="003D097B"/>
    <w:rsid w:val="003D0C4A"/>
    <w:rsid w:val="003D0F44"/>
    <w:rsid w:val="003D1868"/>
    <w:rsid w:val="003D260E"/>
    <w:rsid w:val="003D5AE0"/>
    <w:rsid w:val="003D63B0"/>
    <w:rsid w:val="003E1738"/>
    <w:rsid w:val="003E1F87"/>
    <w:rsid w:val="003E5B95"/>
    <w:rsid w:val="003E7286"/>
    <w:rsid w:val="003F0ADE"/>
    <w:rsid w:val="00402D84"/>
    <w:rsid w:val="0040448E"/>
    <w:rsid w:val="004050BF"/>
    <w:rsid w:val="00410A21"/>
    <w:rsid w:val="00415022"/>
    <w:rsid w:val="0041583E"/>
    <w:rsid w:val="00417153"/>
    <w:rsid w:val="00417963"/>
    <w:rsid w:val="00423A2F"/>
    <w:rsid w:val="00425CB6"/>
    <w:rsid w:val="00427A82"/>
    <w:rsid w:val="004332E0"/>
    <w:rsid w:val="00435F6B"/>
    <w:rsid w:val="0043657E"/>
    <w:rsid w:val="004470B7"/>
    <w:rsid w:val="00447F17"/>
    <w:rsid w:val="00454B90"/>
    <w:rsid w:val="004559C6"/>
    <w:rsid w:val="00456EAE"/>
    <w:rsid w:val="00464581"/>
    <w:rsid w:val="00464977"/>
    <w:rsid w:val="00464DE1"/>
    <w:rsid w:val="00465074"/>
    <w:rsid w:val="00467A24"/>
    <w:rsid w:val="00473EC5"/>
    <w:rsid w:val="00474486"/>
    <w:rsid w:val="004747E3"/>
    <w:rsid w:val="004773FC"/>
    <w:rsid w:val="00482D4D"/>
    <w:rsid w:val="004853EF"/>
    <w:rsid w:val="00486B78"/>
    <w:rsid w:val="00487D7A"/>
    <w:rsid w:val="00490308"/>
    <w:rsid w:val="00494445"/>
    <w:rsid w:val="004955E4"/>
    <w:rsid w:val="00495EB4"/>
    <w:rsid w:val="004A0CCC"/>
    <w:rsid w:val="004A34B2"/>
    <w:rsid w:val="004A3FE4"/>
    <w:rsid w:val="004A4915"/>
    <w:rsid w:val="004A70EF"/>
    <w:rsid w:val="004B1A00"/>
    <w:rsid w:val="004B1ED4"/>
    <w:rsid w:val="004B51C1"/>
    <w:rsid w:val="004B588B"/>
    <w:rsid w:val="004B6E7C"/>
    <w:rsid w:val="004B78C0"/>
    <w:rsid w:val="004C0C5D"/>
    <w:rsid w:val="004C2ACD"/>
    <w:rsid w:val="004C65D1"/>
    <w:rsid w:val="004C7A08"/>
    <w:rsid w:val="004D0943"/>
    <w:rsid w:val="004D1539"/>
    <w:rsid w:val="004D2AAD"/>
    <w:rsid w:val="004D4BAB"/>
    <w:rsid w:val="004D4C4D"/>
    <w:rsid w:val="004E60F3"/>
    <w:rsid w:val="004E696E"/>
    <w:rsid w:val="004E76B5"/>
    <w:rsid w:val="004E7800"/>
    <w:rsid w:val="004F11D8"/>
    <w:rsid w:val="004F2842"/>
    <w:rsid w:val="004F365E"/>
    <w:rsid w:val="00500425"/>
    <w:rsid w:val="0050651F"/>
    <w:rsid w:val="00506922"/>
    <w:rsid w:val="00506E2F"/>
    <w:rsid w:val="0051326C"/>
    <w:rsid w:val="00514175"/>
    <w:rsid w:val="00520280"/>
    <w:rsid w:val="005306F0"/>
    <w:rsid w:val="005436FD"/>
    <w:rsid w:val="0054375A"/>
    <w:rsid w:val="00544254"/>
    <w:rsid w:val="00544C68"/>
    <w:rsid w:val="005454DF"/>
    <w:rsid w:val="005456EC"/>
    <w:rsid w:val="005474D2"/>
    <w:rsid w:val="005476E3"/>
    <w:rsid w:val="0054781F"/>
    <w:rsid w:val="005501A8"/>
    <w:rsid w:val="005513C2"/>
    <w:rsid w:val="00552328"/>
    <w:rsid w:val="00553329"/>
    <w:rsid w:val="005561D9"/>
    <w:rsid w:val="005610EC"/>
    <w:rsid w:val="005624A4"/>
    <w:rsid w:val="005652B8"/>
    <w:rsid w:val="00565431"/>
    <w:rsid w:val="005661F5"/>
    <w:rsid w:val="0056729A"/>
    <w:rsid w:val="00571CF4"/>
    <w:rsid w:val="0057482F"/>
    <w:rsid w:val="00576645"/>
    <w:rsid w:val="00580E65"/>
    <w:rsid w:val="00580F00"/>
    <w:rsid w:val="005821E1"/>
    <w:rsid w:val="00584161"/>
    <w:rsid w:val="00590E50"/>
    <w:rsid w:val="00592CA1"/>
    <w:rsid w:val="00594D66"/>
    <w:rsid w:val="00596F00"/>
    <w:rsid w:val="005975D4"/>
    <w:rsid w:val="005979D1"/>
    <w:rsid w:val="005A0691"/>
    <w:rsid w:val="005A2DDE"/>
    <w:rsid w:val="005A4DAB"/>
    <w:rsid w:val="005A617B"/>
    <w:rsid w:val="005B1D5D"/>
    <w:rsid w:val="005B23A3"/>
    <w:rsid w:val="005B2573"/>
    <w:rsid w:val="005C3EAF"/>
    <w:rsid w:val="005D011D"/>
    <w:rsid w:val="005D01DF"/>
    <w:rsid w:val="005D4B07"/>
    <w:rsid w:val="005D72C0"/>
    <w:rsid w:val="005E07E6"/>
    <w:rsid w:val="005E0D0D"/>
    <w:rsid w:val="005E5658"/>
    <w:rsid w:val="005E5AD6"/>
    <w:rsid w:val="005F20E7"/>
    <w:rsid w:val="005F2413"/>
    <w:rsid w:val="005F35D7"/>
    <w:rsid w:val="005F4709"/>
    <w:rsid w:val="005F5361"/>
    <w:rsid w:val="006037C9"/>
    <w:rsid w:val="00603A80"/>
    <w:rsid w:val="0060523D"/>
    <w:rsid w:val="00605A6B"/>
    <w:rsid w:val="00607034"/>
    <w:rsid w:val="006136FA"/>
    <w:rsid w:val="0061621D"/>
    <w:rsid w:val="00616A4A"/>
    <w:rsid w:val="00616CE8"/>
    <w:rsid w:val="00617AF7"/>
    <w:rsid w:val="006205AF"/>
    <w:rsid w:val="00621067"/>
    <w:rsid w:val="00621837"/>
    <w:rsid w:val="00621FA2"/>
    <w:rsid w:val="006223C5"/>
    <w:rsid w:val="006248FD"/>
    <w:rsid w:val="00624D8D"/>
    <w:rsid w:val="006259B0"/>
    <w:rsid w:val="006319F2"/>
    <w:rsid w:val="00634480"/>
    <w:rsid w:val="00636D34"/>
    <w:rsid w:val="00640599"/>
    <w:rsid w:val="00642D8C"/>
    <w:rsid w:val="00642DFF"/>
    <w:rsid w:val="00643667"/>
    <w:rsid w:val="0064550B"/>
    <w:rsid w:val="00651C7A"/>
    <w:rsid w:val="006538AC"/>
    <w:rsid w:val="00655210"/>
    <w:rsid w:val="00660DBC"/>
    <w:rsid w:val="00665B0A"/>
    <w:rsid w:val="006702AB"/>
    <w:rsid w:val="006719EC"/>
    <w:rsid w:val="00680F78"/>
    <w:rsid w:val="0068163B"/>
    <w:rsid w:val="006828AC"/>
    <w:rsid w:val="00682CAC"/>
    <w:rsid w:val="0068781D"/>
    <w:rsid w:val="006905A1"/>
    <w:rsid w:val="00691B8B"/>
    <w:rsid w:val="00693A0A"/>
    <w:rsid w:val="00693CA6"/>
    <w:rsid w:val="006A55BF"/>
    <w:rsid w:val="006B1236"/>
    <w:rsid w:val="006B489A"/>
    <w:rsid w:val="006B641C"/>
    <w:rsid w:val="006B6DCB"/>
    <w:rsid w:val="006C0CAC"/>
    <w:rsid w:val="006C3803"/>
    <w:rsid w:val="006C39DF"/>
    <w:rsid w:val="006C486F"/>
    <w:rsid w:val="006C7F3B"/>
    <w:rsid w:val="006D16EF"/>
    <w:rsid w:val="006D1E60"/>
    <w:rsid w:val="006D5C8A"/>
    <w:rsid w:val="006D60BF"/>
    <w:rsid w:val="006D757A"/>
    <w:rsid w:val="006E02F4"/>
    <w:rsid w:val="006E0405"/>
    <w:rsid w:val="006E11DD"/>
    <w:rsid w:val="006E4150"/>
    <w:rsid w:val="006E5751"/>
    <w:rsid w:val="006F2F9B"/>
    <w:rsid w:val="006F58F8"/>
    <w:rsid w:val="007006DE"/>
    <w:rsid w:val="00701810"/>
    <w:rsid w:val="007048EE"/>
    <w:rsid w:val="00706D27"/>
    <w:rsid w:val="00710053"/>
    <w:rsid w:val="00710D23"/>
    <w:rsid w:val="007112A0"/>
    <w:rsid w:val="0071284D"/>
    <w:rsid w:val="00714169"/>
    <w:rsid w:val="0071455B"/>
    <w:rsid w:val="00714A10"/>
    <w:rsid w:val="00714CFD"/>
    <w:rsid w:val="00717424"/>
    <w:rsid w:val="00717C59"/>
    <w:rsid w:val="00720367"/>
    <w:rsid w:val="00720BC5"/>
    <w:rsid w:val="00721638"/>
    <w:rsid w:val="00724AC6"/>
    <w:rsid w:val="00731479"/>
    <w:rsid w:val="007335D8"/>
    <w:rsid w:val="007460CA"/>
    <w:rsid w:val="00746CF0"/>
    <w:rsid w:val="00747A72"/>
    <w:rsid w:val="00752CCC"/>
    <w:rsid w:val="00755B67"/>
    <w:rsid w:val="00757FB9"/>
    <w:rsid w:val="007620B7"/>
    <w:rsid w:val="00763FE5"/>
    <w:rsid w:val="0076459C"/>
    <w:rsid w:val="0076551D"/>
    <w:rsid w:val="00765D09"/>
    <w:rsid w:val="00766E6C"/>
    <w:rsid w:val="007670BF"/>
    <w:rsid w:val="00770011"/>
    <w:rsid w:val="00770E2A"/>
    <w:rsid w:val="0077572D"/>
    <w:rsid w:val="00775A42"/>
    <w:rsid w:val="007770A3"/>
    <w:rsid w:val="00780B3E"/>
    <w:rsid w:val="007828C6"/>
    <w:rsid w:val="00787FF9"/>
    <w:rsid w:val="00790F69"/>
    <w:rsid w:val="00791432"/>
    <w:rsid w:val="007944B2"/>
    <w:rsid w:val="007965A5"/>
    <w:rsid w:val="007A1094"/>
    <w:rsid w:val="007A175F"/>
    <w:rsid w:val="007A2A02"/>
    <w:rsid w:val="007A6EA4"/>
    <w:rsid w:val="007B107E"/>
    <w:rsid w:val="007B29C7"/>
    <w:rsid w:val="007B4620"/>
    <w:rsid w:val="007C05E6"/>
    <w:rsid w:val="007C1CDD"/>
    <w:rsid w:val="007C22B6"/>
    <w:rsid w:val="007C3A40"/>
    <w:rsid w:val="007C4B64"/>
    <w:rsid w:val="007C5D37"/>
    <w:rsid w:val="007C607F"/>
    <w:rsid w:val="007C6549"/>
    <w:rsid w:val="007C70DF"/>
    <w:rsid w:val="007C7AA2"/>
    <w:rsid w:val="007D0042"/>
    <w:rsid w:val="007D0CC0"/>
    <w:rsid w:val="007D15F4"/>
    <w:rsid w:val="007D3883"/>
    <w:rsid w:val="007D5A21"/>
    <w:rsid w:val="007D5B7F"/>
    <w:rsid w:val="007D7693"/>
    <w:rsid w:val="007E116D"/>
    <w:rsid w:val="007E2A38"/>
    <w:rsid w:val="007E38D3"/>
    <w:rsid w:val="007F0F74"/>
    <w:rsid w:val="007F1A84"/>
    <w:rsid w:val="007F5ED7"/>
    <w:rsid w:val="00800CE7"/>
    <w:rsid w:val="0080173A"/>
    <w:rsid w:val="0080794F"/>
    <w:rsid w:val="00807BFE"/>
    <w:rsid w:val="00810525"/>
    <w:rsid w:val="008126BC"/>
    <w:rsid w:val="00813E6E"/>
    <w:rsid w:val="00814A99"/>
    <w:rsid w:val="00816AE3"/>
    <w:rsid w:val="00817AF8"/>
    <w:rsid w:val="00822FD9"/>
    <w:rsid w:val="0082324C"/>
    <w:rsid w:val="008235AB"/>
    <w:rsid w:val="0082572F"/>
    <w:rsid w:val="00827984"/>
    <w:rsid w:val="00831753"/>
    <w:rsid w:val="00833662"/>
    <w:rsid w:val="008363F1"/>
    <w:rsid w:val="008405EE"/>
    <w:rsid w:val="00842985"/>
    <w:rsid w:val="00845B76"/>
    <w:rsid w:val="00847BD8"/>
    <w:rsid w:val="00853528"/>
    <w:rsid w:val="008575FE"/>
    <w:rsid w:val="00857773"/>
    <w:rsid w:val="008616D9"/>
    <w:rsid w:val="00862AE9"/>
    <w:rsid w:val="00863559"/>
    <w:rsid w:val="00867B6E"/>
    <w:rsid w:val="0087348F"/>
    <w:rsid w:val="0087646F"/>
    <w:rsid w:val="008806D4"/>
    <w:rsid w:val="00880C8A"/>
    <w:rsid w:val="00881306"/>
    <w:rsid w:val="00881324"/>
    <w:rsid w:val="00884869"/>
    <w:rsid w:val="00885399"/>
    <w:rsid w:val="00885FCC"/>
    <w:rsid w:val="00887063"/>
    <w:rsid w:val="00887802"/>
    <w:rsid w:val="00887F42"/>
    <w:rsid w:val="00893938"/>
    <w:rsid w:val="008A34C0"/>
    <w:rsid w:val="008A48BC"/>
    <w:rsid w:val="008A70A1"/>
    <w:rsid w:val="008A783B"/>
    <w:rsid w:val="008B117B"/>
    <w:rsid w:val="008B278F"/>
    <w:rsid w:val="008B658F"/>
    <w:rsid w:val="008D1E92"/>
    <w:rsid w:val="008D4894"/>
    <w:rsid w:val="008D51C2"/>
    <w:rsid w:val="008D5EFB"/>
    <w:rsid w:val="008E1604"/>
    <w:rsid w:val="008E39FD"/>
    <w:rsid w:val="008E5FB0"/>
    <w:rsid w:val="008F1F61"/>
    <w:rsid w:val="008F47D3"/>
    <w:rsid w:val="008F5018"/>
    <w:rsid w:val="008F5382"/>
    <w:rsid w:val="008F588D"/>
    <w:rsid w:val="008F6F03"/>
    <w:rsid w:val="008F7656"/>
    <w:rsid w:val="00900715"/>
    <w:rsid w:val="00901A51"/>
    <w:rsid w:val="009028AD"/>
    <w:rsid w:val="00903242"/>
    <w:rsid w:val="009056F0"/>
    <w:rsid w:val="00905811"/>
    <w:rsid w:val="009071CF"/>
    <w:rsid w:val="00910E2F"/>
    <w:rsid w:val="00911F01"/>
    <w:rsid w:val="00911FB6"/>
    <w:rsid w:val="00920101"/>
    <w:rsid w:val="00920EAD"/>
    <w:rsid w:val="0092162C"/>
    <w:rsid w:val="00921F73"/>
    <w:rsid w:val="00921F90"/>
    <w:rsid w:val="00922AE3"/>
    <w:rsid w:val="0092360B"/>
    <w:rsid w:val="009249D4"/>
    <w:rsid w:val="0092570F"/>
    <w:rsid w:val="009266AE"/>
    <w:rsid w:val="00927CEA"/>
    <w:rsid w:val="0093223D"/>
    <w:rsid w:val="00932461"/>
    <w:rsid w:val="00932469"/>
    <w:rsid w:val="00933503"/>
    <w:rsid w:val="00936E7C"/>
    <w:rsid w:val="0093737D"/>
    <w:rsid w:val="00940297"/>
    <w:rsid w:val="009415EB"/>
    <w:rsid w:val="0094737B"/>
    <w:rsid w:val="00951034"/>
    <w:rsid w:val="00951BD7"/>
    <w:rsid w:val="0095298F"/>
    <w:rsid w:val="00955829"/>
    <w:rsid w:val="00955A52"/>
    <w:rsid w:val="0096069A"/>
    <w:rsid w:val="009608C6"/>
    <w:rsid w:val="00960B5D"/>
    <w:rsid w:val="009626B2"/>
    <w:rsid w:val="00962B6D"/>
    <w:rsid w:val="00964BB4"/>
    <w:rsid w:val="0097025B"/>
    <w:rsid w:val="00970E7D"/>
    <w:rsid w:val="00972629"/>
    <w:rsid w:val="00972ED1"/>
    <w:rsid w:val="00973B1A"/>
    <w:rsid w:val="00973B27"/>
    <w:rsid w:val="009772AE"/>
    <w:rsid w:val="00981DA3"/>
    <w:rsid w:val="00983AEA"/>
    <w:rsid w:val="00984CBF"/>
    <w:rsid w:val="00985935"/>
    <w:rsid w:val="0098685C"/>
    <w:rsid w:val="00992749"/>
    <w:rsid w:val="00994DB6"/>
    <w:rsid w:val="009A3CA5"/>
    <w:rsid w:val="009B3CE1"/>
    <w:rsid w:val="009B6233"/>
    <w:rsid w:val="009B710E"/>
    <w:rsid w:val="009C1021"/>
    <w:rsid w:val="009C5164"/>
    <w:rsid w:val="009C6823"/>
    <w:rsid w:val="009D07F5"/>
    <w:rsid w:val="009D0BD4"/>
    <w:rsid w:val="009E0221"/>
    <w:rsid w:val="009E1282"/>
    <w:rsid w:val="009E2110"/>
    <w:rsid w:val="009E57BA"/>
    <w:rsid w:val="009F0B68"/>
    <w:rsid w:val="009F3EDC"/>
    <w:rsid w:val="009F4FEC"/>
    <w:rsid w:val="00A00684"/>
    <w:rsid w:val="00A01086"/>
    <w:rsid w:val="00A04326"/>
    <w:rsid w:val="00A05C30"/>
    <w:rsid w:val="00A06F72"/>
    <w:rsid w:val="00A0711F"/>
    <w:rsid w:val="00A117E4"/>
    <w:rsid w:val="00A11FD4"/>
    <w:rsid w:val="00A1328E"/>
    <w:rsid w:val="00A14574"/>
    <w:rsid w:val="00A147CC"/>
    <w:rsid w:val="00A1490F"/>
    <w:rsid w:val="00A16580"/>
    <w:rsid w:val="00A26235"/>
    <w:rsid w:val="00A26BC1"/>
    <w:rsid w:val="00A27436"/>
    <w:rsid w:val="00A3097E"/>
    <w:rsid w:val="00A312DE"/>
    <w:rsid w:val="00A3226C"/>
    <w:rsid w:val="00A33095"/>
    <w:rsid w:val="00A365E5"/>
    <w:rsid w:val="00A37ABF"/>
    <w:rsid w:val="00A37C2B"/>
    <w:rsid w:val="00A4211E"/>
    <w:rsid w:val="00A426D4"/>
    <w:rsid w:val="00A43752"/>
    <w:rsid w:val="00A44384"/>
    <w:rsid w:val="00A45195"/>
    <w:rsid w:val="00A47592"/>
    <w:rsid w:val="00A47C1C"/>
    <w:rsid w:val="00A51B32"/>
    <w:rsid w:val="00A53C1B"/>
    <w:rsid w:val="00A54B38"/>
    <w:rsid w:val="00A55C10"/>
    <w:rsid w:val="00A60840"/>
    <w:rsid w:val="00A617BA"/>
    <w:rsid w:val="00A65ED3"/>
    <w:rsid w:val="00A663A8"/>
    <w:rsid w:val="00A700DB"/>
    <w:rsid w:val="00A71A47"/>
    <w:rsid w:val="00A72A03"/>
    <w:rsid w:val="00A766EA"/>
    <w:rsid w:val="00A7794E"/>
    <w:rsid w:val="00A8003A"/>
    <w:rsid w:val="00A80CD8"/>
    <w:rsid w:val="00A8169E"/>
    <w:rsid w:val="00A84B65"/>
    <w:rsid w:val="00A8585A"/>
    <w:rsid w:val="00A879BF"/>
    <w:rsid w:val="00A90DFF"/>
    <w:rsid w:val="00A9225C"/>
    <w:rsid w:val="00A944E7"/>
    <w:rsid w:val="00A947FC"/>
    <w:rsid w:val="00AA366B"/>
    <w:rsid w:val="00AA4953"/>
    <w:rsid w:val="00AA4979"/>
    <w:rsid w:val="00AA6EF2"/>
    <w:rsid w:val="00AB0910"/>
    <w:rsid w:val="00AB0AD0"/>
    <w:rsid w:val="00AB0C1E"/>
    <w:rsid w:val="00AB1652"/>
    <w:rsid w:val="00AB3069"/>
    <w:rsid w:val="00AB34AF"/>
    <w:rsid w:val="00AB52ED"/>
    <w:rsid w:val="00AB6A24"/>
    <w:rsid w:val="00AC0180"/>
    <w:rsid w:val="00AC2951"/>
    <w:rsid w:val="00AC2EA6"/>
    <w:rsid w:val="00AC4DDE"/>
    <w:rsid w:val="00AC6DE3"/>
    <w:rsid w:val="00AD1374"/>
    <w:rsid w:val="00AD3974"/>
    <w:rsid w:val="00AD6B85"/>
    <w:rsid w:val="00AE33F8"/>
    <w:rsid w:val="00AE3F30"/>
    <w:rsid w:val="00AE576B"/>
    <w:rsid w:val="00AE62BD"/>
    <w:rsid w:val="00AF06C5"/>
    <w:rsid w:val="00AF0CC9"/>
    <w:rsid w:val="00AF10BC"/>
    <w:rsid w:val="00AF2A16"/>
    <w:rsid w:val="00AF37DA"/>
    <w:rsid w:val="00AF41A7"/>
    <w:rsid w:val="00AF626A"/>
    <w:rsid w:val="00B01DE1"/>
    <w:rsid w:val="00B022A8"/>
    <w:rsid w:val="00B074F7"/>
    <w:rsid w:val="00B10ED8"/>
    <w:rsid w:val="00B10FEC"/>
    <w:rsid w:val="00B11789"/>
    <w:rsid w:val="00B12EAE"/>
    <w:rsid w:val="00B1422C"/>
    <w:rsid w:val="00B17C3B"/>
    <w:rsid w:val="00B20359"/>
    <w:rsid w:val="00B23FA4"/>
    <w:rsid w:val="00B2433E"/>
    <w:rsid w:val="00B25D4D"/>
    <w:rsid w:val="00B2707C"/>
    <w:rsid w:val="00B27941"/>
    <w:rsid w:val="00B30980"/>
    <w:rsid w:val="00B30FF4"/>
    <w:rsid w:val="00B328F9"/>
    <w:rsid w:val="00B333D8"/>
    <w:rsid w:val="00B347B1"/>
    <w:rsid w:val="00B3511B"/>
    <w:rsid w:val="00B4016D"/>
    <w:rsid w:val="00B433CA"/>
    <w:rsid w:val="00B44C46"/>
    <w:rsid w:val="00B4544E"/>
    <w:rsid w:val="00B627D4"/>
    <w:rsid w:val="00B6288F"/>
    <w:rsid w:val="00B635AE"/>
    <w:rsid w:val="00B65D79"/>
    <w:rsid w:val="00B707BA"/>
    <w:rsid w:val="00B76961"/>
    <w:rsid w:val="00B776A1"/>
    <w:rsid w:val="00B85D58"/>
    <w:rsid w:val="00B874FA"/>
    <w:rsid w:val="00B920E0"/>
    <w:rsid w:val="00B93477"/>
    <w:rsid w:val="00B938DE"/>
    <w:rsid w:val="00B93E96"/>
    <w:rsid w:val="00B95A85"/>
    <w:rsid w:val="00BA3673"/>
    <w:rsid w:val="00BA4B70"/>
    <w:rsid w:val="00BB0F66"/>
    <w:rsid w:val="00BB1BC7"/>
    <w:rsid w:val="00BB1C6E"/>
    <w:rsid w:val="00BB3338"/>
    <w:rsid w:val="00BB5585"/>
    <w:rsid w:val="00BC03A7"/>
    <w:rsid w:val="00BC063A"/>
    <w:rsid w:val="00BC47DA"/>
    <w:rsid w:val="00BC4A05"/>
    <w:rsid w:val="00BC4C28"/>
    <w:rsid w:val="00BC5C1C"/>
    <w:rsid w:val="00BC68C8"/>
    <w:rsid w:val="00BD0F51"/>
    <w:rsid w:val="00BD1590"/>
    <w:rsid w:val="00BD17CA"/>
    <w:rsid w:val="00BD18EE"/>
    <w:rsid w:val="00BD209D"/>
    <w:rsid w:val="00BD363A"/>
    <w:rsid w:val="00BD43F8"/>
    <w:rsid w:val="00BD441D"/>
    <w:rsid w:val="00BD518D"/>
    <w:rsid w:val="00BE12D9"/>
    <w:rsid w:val="00BE17BB"/>
    <w:rsid w:val="00BE2DFA"/>
    <w:rsid w:val="00BE49DC"/>
    <w:rsid w:val="00BE645D"/>
    <w:rsid w:val="00BE6B90"/>
    <w:rsid w:val="00BE7F97"/>
    <w:rsid w:val="00BF03D0"/>
    <w:rsid w:val="00BF2DF0"/>
    <w:rsid w:val="00BF7686"/>
    <w:rsid w:val="00C0020F"/>
    <w:rsid w:val="00C00E3B"/>
    <w:rsid w:val="00C0185A"/>
    <w:rsid w:val="00C0454F"/>
    <w:rsid w:val="00C04841"/>
    <w:rsid w:val="00C07458"/>
    <w:rsid w:val="00C07540"/>
    <w:rsid w:val="00C161B4"/>
    <w:rsid w:val="00C16335"/>
    <w:rsid w:val="00C168B2"/>
    <w:rsid w:val="00C255C5"/>
    <w:rsid w:val="00C26D09"/>
    <w:rsid w:val="00C272E5"/>
    <w:rsid w:val="00C3010C"/>
    <w:rsid w:val="00C31EEA"/>
    <w:rsid w:val="00C340ED"/>
    <w:rsid w:val="00C35378"/>
    <w:rsid w:val="00C421BF"/>
    <w:rsid w:val="00C42F06"/>
    <w:rsid w:val="00C43131"/>
    <w:rsid w:val="00C44A5C"/>
    <w:rsid w:val="00C46EF3"/>
    <w:rsid w:val="00C55F34"/>
    <w:rsid w:val="00C57E2D"/>
    <w:rsid w:val="00C60028"/>
    <w:rsid w:val="00C678DE"/>
    <w:rsid w:val="00C715E7"/>
    <w:rsid w:val="00C72D6C"/>
    <w:rsid w:val="00C72F31"/>
    <w:rsid w:val="00C75874"/>
    <w:rsid w:val="00C75EE1"/>
    <w:rsid w:val="00C80320"/>
    <w:rsid w:val="00C81260"/>
    <w:rsid w:val="00C856FF"/>
    <w:rsid w:val="00C86217"/>
    <w:rsid w:val="00C9209D"/>
    <w:rsid w:val="00C92DF1"/>
    <w:rsid w:val="00C93980"/>
    <w:rsid w:val="00C93C9E"/>
    <w:rsid w:val="00CA0B42"/>
    <w:rsid w:val="00CA306D"/>
    <w:rsid w:val="00CA4071"/>
    <w:rsid w:val="00CA56B7"/>
    <w:rsid w:val="00CA7B03"/>
    <w:rsid w:val="00CA7D71"/>
    <w:rsid w:val="00CB4489"/>
    <w:rsid w:val="00CB452F"/>
    <w:rsid w:val="00CB6677"/>
    <w:rsid w:val="00CB6923"/>
    <w:rsid w:val="00CB6CC8"/>
    <w:rsid w:val="00CB6FA2"/>
    <w:rsid w:val="00CC046F"/>
    <w:rsid w:val="00CC064A"/>
    <w:rsid w:val="00CC0786"/>
    <w:rsid w:val="00CC0B05"/>
    <w:rsid w:val="00CC1DFB"/>
    <w:rsid w:val="00CC2C68"/>
    <w:rsid w:val="00CC31A3"/>
    <w:rsid w:val="00CC6AFD"/>
    <w:rsid w:val="00CD669A"/>
    <w:rsid w:val="00CE0B99"/>
    <w:rsid w:val="00CE2E0E"/>
    <w:rsid w:val="00CE6452"/>
    <w:rsid w:val="00CF08A6"/>
    <w:rsid w:val="00CF0B27"/>
    <w:rsid w:val="00CF0CF8"/>
    <w:rsid w:val="00CF2A31"/>
    <w:rsid w:val="00CF46D3"/>
    <w:rsid w:val="00CF562A"/>
    <w:rsid w:val="00CF6E58"/>
    <w:rsid w:val="00CF70F5"/>
    <w:rsid w:val="00CF74F8"/>
    <w:rsid w:val="00D01E10"/>
    <w:rsid w:val="00D02E02"/>
    <w:rsid w:val="00D03D79"/>
    <w:rsid w:val="00D0444C"/>
    <w:rsid w:val="00D0576A"/>
    <w:rsid w:val="00D07322"/>
    <w:rsid w:val="00D10351"/>
    <w:rsid w:val="00D1571D"/>
    <w:rsid w:val="00D15E52"/>
    <w:rsid w:val="00D16734"/>
    <w:rsid w:val="00D17718"/>
    <w:rsid w:val="00D21877"/>
    <w:rsid w:val="00D22FB5"/>
    <w:rsid w:val="00D2415A"/>
    <w:rsid w:val="00D24295"/>
    <w:rsid w:val="00D2451B"/>
    <w:rsid w:val="00D26638"/>
    <w:rsid w:val="00D34155"/>
    <w:rsid w:val="00D34777"/>
    <w:rsid w:val="00D34A28"/>
    <w:rsid w:val="00D3591B"/>
    <w:rsid w:val="00D40908"/>
    <w:rsid w:val="00D4654B"/>
    <w:rsid w:val="00D46840"/>
    <w:rsid w:val="00D46A2A"/>
    <w:rsid w:val="00D501A9"/>
    <w:rsid w:val="00D509C9"/>
    <w:rsid w:val="00D51803"/>
    <w:rsid w:val="00D51BB6"/>
    <w:rsid w:val="00D52F1D"/>
    <w:rsid w:val="00D53120"/>
    <w:rsid w:val="00D543F4"/>
    <w:rsid w:val="00D555C5"/>
    <w:rsid w:val="00D5583E"/>
    <w:rsid w:val="00D5587A"/>
    <w:rsid w:val="00D55DF2"/>
    <w:rsid w:val="00D57EC4"/>
    <w:rsid w:val="00D60C33"/>
    <w:rsid w:val="00D61C96"/>
    <w:rsid w:val="00D63590"/>
    <w:rsid w:val="00D64B71"/>
    <w:rsid w:val="00D74C16"/>
    <w:rsid w:val="00D750D6"/>
    <w:rsid w:val="00D76FD2"/>
    <w:rsid w:val="00D8189A"/>
    <w:rsid w:val="00D86AD4"/>
    <w:rsid w:val="00D871A1"/>
    <w:rsid w:val="00D91C87"/>
    <w:rsid w:val="00D94DF9"/>
    <w:rsid w:val="00D95E67"/>
    <w:rsid w:val="00D97095"/>
    <w:rsid w:val="00DA22BC"/>
    <w:rsid w:val="00DA4549"/>
    <w:rsid w:val="00DA4B61"/>
    <w:rsid w:val="00DB083C"/>
    <w:rsid w:val="00DB20D6"/>
    <w:rsid w:val="00DB22BB"/>
    <w:rsid w:val="00DB54A0"/>
    <w:rsid w:val="00DB5A05"/>
    <w:rsid w:val="00DB5F24"/>
    <w:rsid w:val="00DB6852"/>
    <w:rsid w:val="00DB6CCF"/>
    <w:rsid w:val="00DC2189"/>
    <w:rsid w:val="00DC6325"/>
    <w:rsid w:val="00DD330B"/>
    <w:rsid w:val="00DD3A0C"/>
    <w:rsid w:val="00DD3B92"/>
    <w:rsid w:val="00DD557A"/>
    <w:rsid w:val="00DD7D4E"/>
    <w:rsid w:val="00DE4899"/>
    <w:rsid w:val="00DE5F5D"/>
    <w:rsid w:val="00DE66B5"/>
    <w:rsid w:val="00DE781D"/>
    <w:rsid w:val="00DF0145"/>
    <w:rsid w:val="00DF0741"/>
    <w:rsid w:val="00DF1001"/>
    <w:rsid w:val="00DF312B"/>
    <w:rsid w:val="00DF3794"/>
    <w:rsid w:val="00DF4988"/>
    <w:rsid w:val="00E01876"/>
    <w:rsid w:val="00E03BC3"/>
    <w:rsid w:val="00E04BC8"/>
    <w:rsid w:val="00E05C22"/>
    <w:rsid w:val="00E10F99"/>
    <w:rsid w:val="00E11591"/>
    <w:rsid w:val="00E137CD"/>
    <w:rsid w:val="00E14355"/>
    <w:rsid w:val="00E147A1"/>
    <w:rsid w:val="00E210E8"/>
    <w:rsid w:val="00E23B0B"/>
    <w:rsid w:val="00E277A7"/>
    <w:rsid w:val="00E31FD0"/>
    <w:rsid w:val="00E32044"/>
    <w:rsid w:val="00E3342B"/>
    <w:rsid w:val="00E34255"/>
    <w:rsid w:val="00E42F44"/>
    <w:rsid w:val="00E433FA"/>
    <w:rsid w:val="00E44BE7"/>
    <w:rsid w:val="00E45049"/>
    <w:rsid w:val="00E45409"/>
    <w:rsid w:val="00E474B4"/>
    <w:rsid w:val="00E503F3"/>
    <w:rsid w:val="00E5169A"/>
    <w:rsid w:val="00E51C34"/>
    <w:rsid w:val="00E542C7"/>
    <w:rsid w:val="00E543E7"/>
    <w:rsid w:val="00E579BA"/>
    <w:rsid w:val="00E6016F"/>
    <w:rsid w:val="00E65695"/>
    <w:rsid w:val="00E67EA5"/>
    <w:rsid w:val="00E704D1"/>
    <w:rsid w:val="00E717C1"/>
    <w:rsid w:val="00E74978"/>
    <w:rsid w:val="00E75F2C"/>
    <w:rsid w:val="00E8268D"/>
    <w:rsid w:val="00E8531B"/>
    <w:rsid w:val="00E97AE0"/>
    <w:rsid w:val="00EA08E3"/>
    <w:rsid w:val="00EA34E0"/>
    <w:rsid w:val="00EA3CDB"/>
    <w:rsid w:val="00EA758A"/>
    <w:rsid w:val="00EB1262"/>
    <w:rsid w:val="00EB12DB"/>
    <w:rsid w:val="00EB3393"/>
    <w:rsid w:val="00EB7C6D"/>
    <w:rsid w:val="00EC197E"/>
    <w:rsid w:val="00EC2CDC"/>
    <w:rsid w:val="00EC44D9"/>
    <w:rsid w:val="00EC4651"/>
    <w:rsid w:val="00EC46FD"/>
    <w:rsid w:val="00EC596F"/>
    <w:rsid w:val="00ED1858"/>
    <w:rsid w:val="00EE3249"/>
    <w:rsid w:val="00EE4BAA"/>
    <w:rsid w:val="00EE4FA8"/>
    <w:rsid w:val="00EE744B"/>
    <w:rsid w:val="00EF29FA"/>
    <w:rsid w:val="00EF3BE0"/>
    <w:rsid w:val="00EF4296"/>
    <w:rsid w:val="00EF5349"/>
    <w:rsid w:val="00EF62B5"/>
    <w:rsid w:val="00EF6C41"/>
    <w:rsid w:val="00EF7524"/>
    <w:rsid w:val="00F00B4A"/>
    <w:rsid w:val="00F01A90"/>
    <w:rsid w:val="00F01B9B"/>
    <w:rsid w:val="00F07137"/>
    <w:rsid w:val="00F07B29"/>
    <w:rsid w:val="00F155BD"/>
    <w:rsid w:val="00F163F0"/>
    <w:rsid w:val="00F1654D"/>
    <w:rsid w:val="00F21500"/>
    <w:rsid w:val="00F2238B"/>
    <w:rsid w:val="00F23335"/>
    <w:rsid w:val="00F2469F"/>
    <w:rsid w:val="00F2594B"/>
    <w:rsid w:val="00F400B0"/>
    <w:rsid w:val="00F43D9E"/>
    <w:rsid w:val="00F4511A"/>
    <w:rsid w:val="00F50A8E"/>
    <w:rsid w:val="00F51264"/>
    <w:rsid w:val="00F60F5B"/>
    <w:rsid w:val="00F63F43"/>
    <w:rsid w:val="00F7204D"/>
    <w:rsid w:val="00F741E1"/>
    <w:rsid w:val="00F80A71"/>
    <w:rsid w:val="00F8244B"/>
    <w:rsid w:val="00F82592"/>
    <w:rsid w:val="00F86A58"/>
    <w:rsid w:val="00F91DD1"/>
    <w:rsid w:val="00F91EF6"/>
    <w:rsid w:val="00F935D7"/>
    <w:rsid w:val="00FA14BA"/>
    <w:rsid w:val="00FA16F0"/>
    <w:rsid w:val="00FA2177"/>
    <w:rsid w:val="00FA295E"/>
    <w:rsid w:val="00FA3183"/>
    <w:rsid w:val="00FA369F"/>
    <w:rsid w:val="00FA4111"/>
    <w:rsid w:val="00FB0D84"/>
    <w:rsid w:val="00FB19B6"/>
    <w:rsid w:val="00FB33E6"/>
    <w:rsid w:val="00FB35A2"/>
    <w:rsid w:val="00FB5206"/>
    <w:rsid w:val="00FC2A5D"/>
    <w:rsid w:val="00FC39ED"/>
    <w:rsid w:val="00FC4043"/>
    <w:rsid w:val="00FC7B4D"/>
    <w:rsid w:val="00FC7EE1"/>
    <w:rsid w:val="00FD276B"/>
    <w:rsid w:val="00FD426F"/>
    <w:rsid w:val="00FE053C"/>
    <w:rsid w:val="00FE19D5"/>
    <w:rsid w:val="00FE2BC0"/>
    <w:rsid w:val="00FE4787"/>
    <w:rsid w:val="00FE5F33"/>
    <w:rsid w:val="00FF5220"/>
    <w:rsid w:val="00FF6AC2"/>
    <w:rsid w:val="00FF79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oNotEmbedSmartTags/>
  <w:decimalSymbol w:val="."/>
  <w:listSeparator w:val=","/>
  <w15:chartTrackingRefBased/>
  <w15:docId w15:val="{DD4E70CE-74D6-4346-81DA-76E7B2FF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EAD"/>
    <w:pPr>
      <w:tabs>
        <w:tab w:val="left" w:pos="1440"/>
        <w:tab w:val="center" w:pos="4320"/>
        <w:tab w:val="right" w:pos="9072"/>
      </w:tabs>
      <w:snapToGrid w:val="0"/>
    </w:pPr>
    <w:rPr>
      <w:sz w:val="28"/>
      <w:lang w:val="en-US"/>
    </w:rPr>
  </w:style>
  <w:style w:type="paragraph" w:styleId="Heading1">
    <w:name w:val="heading 1"/>
    <w:basedOn w:val="Normal"/>
    <w:next w:val="Normal"/>
    <w:qFormat/>
    <w:rsid w:val="005D01DF"/>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5D01DF"/>
    <w:pPr>
      <w:keepNext/>
      <w:snapToGrid/>
      <w:outlineLvl w:val="1"/>
    </w:pPr>
    <w:rPr>
      <w:b/>
      <w:bCs/>
      <w:sz w:val="20"/>
      <w:szCs w:val="24"/>
    </w:rPr>
  </w:style>
  <w:style w:type="paragraph" w:styleId="Heading3">
    <w:name w:val="heading 3"/>
    <w:basedOn w:val="Normal"/>
    <w:next w:val="Normal"/>
    <w:qFormat/>
    <w:rsid w:val="005D01DF"/>
    <w:pPr>
      <w:keepNext/>
      <w:snapToGrid/>
      <w:jc w:val="center"/>
      <w:outlineLvl w:val="2"/>
    </w:pPr>
    <w:rPr>
      <w:b/>
      <w:bCs/>
      <w:sz w:val="20"/>
      <w:szCs w:val="24"/>
    </w:rPr>
  </w:style>
  <w:style w:type="paragraph" w:styleId="Heading4">
    <w:name w:val="heading 4"/>
    <w:basedOn w:val="Normal"/>
    <w:next w:val="Normal"/>
    <w:qFormat/>
    <w:rsid w:val="005D01DF"/>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5D01DF"/>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5D01DF"/>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5D01DF"/>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5D01DF"/>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5D01DF"/>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5D01DF"/>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rsid w:val="005D01DF"/>
    <w:pPr>
      <w:tabs>
        <w:tab w:val="center" w:pos="4153"/>
        <w:tab w:val="right" w:pos="8306"/>
      </w:tabs>
      <w:jc w:val="center"/>
    </w:pPr>
    <w:rPr>
      <w:sz w:val="18"/>
    </w:rPr>
  </w:style>
  <w:style w:type="paragraph" w:customStyle="1" w:styleId="altd">
    <w:name w:val="altd"/>
    <w:basedOn w:val="Normal"/>
    <w:rsid w:val="005D01D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D01DF"/>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5D01DF"/>
    <w:rPr>
      <w:b w:val="0"/>
    </w:rPr>
  </w:style>
  <w:style w:type="paragraph" w:customStyle="1" w:styleId="normal3">
    <w:name w:val="normal3"/>
    <w:basedOn w:val="Normal"/>
    <w:rsid w:val="005D01D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D01DF"/>
    <w:pPr>
      <w:spacing w:line="240" w:lineRule="auto"/>
      <w:jc w:val="right"/>
    </w:pPr>
    <w:rPr>
      <w:b w:val="0"/>
    </w:rPr>
  </w:style>
  <w:style w:type="paragraph" w:styleId="Footer">
    <w:name w:val="footer"/>
    <w:basedOn w:val="Normal"/>
    <w:rsid w:val="005D01DF"/>
    <w:pPr>
      <w:tabs>
        <w:tab w:val="center" w:pos="4153"/>
        <w:tab w:val="right" w:pos="8306"/>
      </w:tabs>
    </w:pPr>
    <w:rPr>
      <w:sz w:val="20"/>
    </w:rPr>
  </w:style>
  <w:style w:type="character" w:styleId="PageNumber">
    <w:name w:val="page number"/>
    <w:basedOn w:val="DefaultParagraphFont"/>
    <w:rsid w:val="005D01DF"/>
  </w:style>
  <w:style w:type="paragraph" w:customStyle="1" w:styleId="Draft">
    <w:name w:val="Draft"/>
    <w:basedOn w:val="Normal"/>
    <w:rsid w:val="005D01DF"/>
    <w:pPr>
      <w:spacing w:line="600" w:lineRule="exact"/>
    </w:pPr>
  </w:style>
  <w:style w:type="paragraph" w:customStyle="1" w:styleId="Final">
    <w:name w:val="Final"/>
    <w:basedOn w:val="Draft"/>
    <w:rsid w:val="005D01DF"/>
    <w:pPr>
      <w:spacing w:line="360" w:lineRule="auto"/>
    </w:pPr>
  </w:style>
  <w:style w:type="paragraph" w:customStyle="1" w:styleId="Quotation">
    <w:name w:val="Quotation"/>
    <w:basedOn w:val="Normal"/>
    <w:rsid w:val="005D01DF"/>
    <w:pPr>
      <w:tabs>
        <w:tab w:val="left" w:pos="1872"/>
        <w:tab w:val="left" w:pos="2304"/>
      </w:tabs>
      <w:spacing w:before="240"/>
      <w:ind w:left="1440" w:right="720"/>
    </w:pPr>
    <w:rPr>
      <w:kern w:val="2"/>
      <w:sz w:val="24"/>
    </w:rPr>
  </w:style>
  <w:style w:type="paragraph" w:customStyle="1" w:styleId="Hanging">
    <w:name w:val="Hanging"/>
    <w:basedOn w:val="Normal"/>
    <w:rsid w:val="005D01DF"/>
    <w:pPr>
      <w:snapToGrid/>
      <w:spacing w:before="120" w:line="440" w:lineRule="exact"/>
      <w:ind w:left="1440" w:hanging="720"/>
    </w:pPr>
    <w:rPr>
      <w:kern w:val="2"/>
    </w:rPr>
  </w:style>
  <w:style w:type="paragraph" w:customStyle="1" w:styleId="hspace">
    <w:name w:val="hspace"/>
    <w:basedOn w:val="Normal"/>
    <w:rsid w:val="005D01DF"/>
    <w:pPr>
      <w:spacing w:line="200" w:lineRule="exact"/>
    </w:pPr>
  </w:style>
  <w:style w:type="paragraph" w:customStyle="1" w:styleId="Heading">
    <w:name w:val="Heading"/>
    <w:basedOn w:val="Normal"/>
    <w:rsid w:val="005D01DF"/>
    <w:pPr>
      <w:spacing w:line="360" w:lineRule="auto"/>
    </w:pPr>
  </w:style>
  <w:style w:type="paragraph" w:customStyle="1" w:styleId="Indent3">
    <w:name w:val="Indent3"/>
    <w:basedOn w:val="Normal"/>
    <w:rsid w:val="005D01DF"/>
    <w:pPr>
      <w:ind w:left="4320"/>
    </w:pPr>
  </w:style>
  <w:style w:type="paragraph" w:styleId="BlockText">
    <w:name w:val="Block Text"/>
    <w:basedOn w:val="Normal"/>
    <w:rsid w:val="005D01D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rsid w:val="005D01DF"/>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5D01DF"/>
    <w:pPr>
      <w:tabs>
        <w:tab w:val="clear" w:pos="1440"/>
        <w:tab w:val="clear" w:pos="4320"/>
        <w:tab w:val="clear" w:pos="9072"/>
      </w:tabs>
      <w:snapToGrid/>
      <w:spacing w:line="360" w:lineRule="auto"/>
    </w:pPr>
    <w:rPr>
      <w:lang w:val="en-GB"/>
    </w:rPr>
  </w:style>
  <w:style w:type="paragraph" w:styleId="BodyTextIndent2">
    <w:name w:val="Body Text Indent 2"/>
    <w:basedOn w:val="Normal"/>
    <w:rsid w:val="005D01DF"/>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rsid w:val="005D01DF"/>
    <w:pPr>
      <w:spacing w:line="480" w:lineRule="auto"/>
      <w:jc w:val="both"/>
    </w:pPr>
    <w:rPr>
      <w:sz w:val="26"/>
    </w:rPr>
  </w:style>
  <w:style w:type="paragraph" w:styleId="BodyTextIndent3">
    <w:name w:val="Body Text Indent 3"/>
    <w:basedOn w:val="Normal"/>
    <w:rsid w:val="005D01DF"/>
    <w:pPr>
      <w:tabs>
        <w:tab w:val="clear" w:pos="4320"/>
      </w:tabs>
      <w:ind w:left="1120" w:hanging="1120"/>
    </w:pPr>
    <w:rPr>
      <w:sz w:val="26"/>
    </w:rPr>
  </w:style>
  <w:style w:type="paragraph" w:styleId="BodyText3">
    <w:name w:val="Body Text 3"/>
    <w:basedOn w:val="Normal"/>
    <w:rsid w:val="005D01DF"/>
    <w:pPr>
      <w:tabs>
        <w:tab w:val="clear" w:pos="4320"/>
        <w:tab w:val="clear" w:pos="9072"/>
        <w:tab w:val="left" w:pos="2240"/>
      </w:tabs>
      <w:spacing w:line="360" w:lineRule="auto"/>
      <w:jc w:val="both"/>
    </w:pPr>
  </w:style>
  <w:style w:type="table" w:styleId="TableGrid">
    <w:name w:val="Table Grid"/>
    <w:basedOn w:val="TableNormal"/>
    <w:uiPriority w:val="59"/>
    <w:rsid w:val="00D2544E"/>
    <w:pPr>
      <w:tabs>
        <w:tab w:val="left" w:pos="1440"/>
        <w:tab w:val="center" w:pos="4320"/>
        <w:tab w:val="right" w:pos="9072"/>
      </w:tabs>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92EE1"/>
    <w:rPr>
      <w:rFonts w:ascii="Lucida Grande" w:hAnsi="Lucida Grande"/>
      <w:sz w:val="18"/>
      <w:szCs w:val="18"/>
    </w:rPr>
  </w:style>
  <w:style w:type="paragraph" w:styleId="FootnoteText">
    <w:name w:val="footnote text"/>
    <w:basedOn w:val="Normal"/>
    <w:link w:val="FootnoteTextChar"/>
    <w:uiPriority w:val="99"/>
    <w:semiHidden/>
    <w:rsid w:val="00DE44BC"/>
    <w:rPr>
      <w:sz w:val="24"/>
      <w:szCs w:val="24"/>
      <w:lang w:val="x-none" w:eastAsia="x-none"/>
    </w:rPr>
  </w:style>
  <w:style w:type="character" w:styleId="FootnoteReference">
    <w:name w:val="footnote reference"/>
    <w:basedOn w:val="DefaultParagraphFont"/>
    <w:uiPriority w:val="99"/>
    <w:semiHidden/>
    <w:rsid w:val="00DE44BC"/>
    <w:rPr>
      <w:vertAlign w:val="superscript"/>
    </w:rPr>
  </w:style>
  <w:style w:type="character" w:styleId="Strong">
    <w:name w:val="Strong"/>
    <w:basedOn w:val="DefaultParagraphFont"/>
    <w:qFormat/>
    <w:rsid w:val="0034301C"/>
    <w:rPr>
      <w:b/>
      <w:bCs/>
    </w:rPr>
  </w:style>
  <w:style w:type="paragraph" w:styleId="ListParagraph">
    <w:name w:val="List Paragraph"/>
    <w:basedOn w:val="Normal"/>
    <w:uiPriority w:val="34"/>
    <w:qFormat/>
    <w:rsid w:val="00972ED1"/>
    <w:pPr>
      <w:ind w:left="720"/>
    </w:pPr>
  </w:style>
  <w:style w:type="paragraph" w:customStyle="1" w:styleId="Style1">
    <w:name w:val="Style1"/>
    <w:basedOn w:val="ListParagraph"/>
    <w:next w:val="Normal"/>
    <w:qFormat/>
    <w:rsid w:val="00093308"/>
    <w:pPr>
      <w:numPr>
        <w:numId w:val="2"/>
      </w:numPr>
    </w:pPr>
    <w:rPr>
      <w:rFonts w:ascii="SimSun" w:hAnsi="SimSun"/>
      <w:szCs w:val="28"/>
      <w:lang w:eastAsia="zh-TW"/>
    </w:rPr>
  </w:style>
  <w:style w:type="paragraph" w:customStyle="1" w:styleId="Style2">
    <w:name w:val="Style2"/>
    <w:basedOn w:val="Normal"/>
    <w:qFormat/>
    <w:rsid w:val="00093308"/>
    <w:pPr>
      <w:tabs>
        <w:tab w:val="clear" w:pos="4320"/>
        <w:tab w:val="clear" w:pos="9072"/>
      </w:tabs>
      <w:spacing w:line="360" w:lineRule="auto"/>
      <w:ind w:left="700" w:hanging="700"/>
    </w:pPr>
    <w:rPr>
      <w:rFonts w:ascii="SimSun" w:hAnsi="SimSun"/>
      <w:szCs w:val="28"/>
      <w:lang w:eastAsia="zh-TW"/>
    </w:rPr>
  </w:style>
  <w:style w:type="paragraph" w:customStyle="1" w:styleId="Style3">
    <w:name w:val="Style3"/>
    <w:basedOn w:val="Heading"/>
    <w:qFormat/>
    <w:rsid w:val="00335009"/>
    <w:pPr>
      <w:tabs>
        <w:tab w:val="clear" w:pos="1440"/>
        <w:tab w:val="clear" w:pos="4320"/>
        <w:tab w:val="clear" w:pos="9072"/>
      </w:tabs>
    </w:pPr>
    <w:rPr>
      <w:rFonts w:eastAsia="PMingLiU"/>
      <w:szCs w:val="28"/>
      <w:lang w:eastAsia="zh-TW"/>
    </w:rPr>
  </w:style>
  <w:style w:type="paragraph" w:customStyle="1" w:styleId="Style4">
    <w:name w:val="Style4"/>
    <w:basedOn w:val="Normal"/>
    <w:qFormat/>
    <w:rsid w:val="00CF70F5"/>
    <w:pPr>
      <w:ind w:left="1134" w:hanging="54"/>
    </w:pPr>
    <w:rPr>
      <w:szCs w:val="28"/>
    </w:rPr>
  </w:style>
  <w:style w:type="paragraph" w:customStyle="1" w:styleId="Style5">
    <w:name w:val="Style5"/>
    <w:basedOn w:val="Normal"/>
    <w:qFormat/>
    <w:rsid w:val="00B10ED8"/>
    <w:pPr>
      <w:ind w:left="1134" w:hanging="54"/>
    </w:pPr>
    <w:rPr>
      <w:rFonts w:eastAsia="PMingLiU"/>
      <w:szCs w:val="28"/>
      <w:lang w:eastAsia="zh-TW"/>
    </w:rPr>
  </w:style>
  <w:style w:type="paragraph" w:customStyle="1" w:styleId="Style6">
    <w:name w:val="Style6"/>
    <w:basedOn w:val="Normal"/>
    <w:qFormat/>
    <w:rsid w:val="00B10ED8"/>
    <w:pPr>
      <w:ind w:left="1134" w:hanging="54"/>
    </w:pPr>
    <w:rPr>
      <w:rFonts w:eastAsia="PMingLiU"/>
      <w:szCs w:val="28"/>
      <w:lang w:eastAsia="zh-TW"/>
    </w:rPr>
  </w:style>
  <w:style w:type="paragraph" w:customStyle="1" w:styleId="Style7">
    <w:name w:val="Style7"/>
    <w:basedOn w:val="Normal"/>
    <w:qFormat/>
    <w:rsid w:val="006538AC"/>
    <w:pPr>
      <w:tabs>
        <w:tab w:val="clear" w:pos="1440"/>
        <w:tab w:val="clear" w:pos="4320"/>
        <w:tab w:val="clear" w:pos="9072"/>
      </w:tabs>
      <w:snapToGrid/>
    </w:pPr>
    <w:rPr>
      <w:b/>
      <w:bCs/>
      <w:i/>
      <w:szCs w:val="28"/>
      <w:u w:val="single"/>
    </w:rPr>
  </w:style>
  <w:style w:type="paragraph" w:customStyle="1" w:styleId="Style8">
    <w:name w:val="Style8"/>
    <w:basedOn w:val="Normal"/>
    <w:qFormat/>
    <w:rsid w:val="006538AC"/>
    <w:pPr>
      <w:ind w:left="1080"/>
    </w:pPr>
    <w:rPr>
      <w:rFonts w:eastAsia="PMingLiU"/>
      <w:szCs w:val="28"/>
      <w:lang w:eastAsia="zh-TW"/>
    </w:rPr>
  </w:style>
  <w:style w:type="paragraph" w:customStyle="1" w:styleId="Style9">
    <w:name w:val="Style9"/>
    <w:basedOn w:val="Normal"/>
    <w:qFormat/>
    <w:rsid w:val="006538AC"/>
    <w:rPr>
      <w:szCs w:val="28"/>
    </w:rPr>
  </w:style>
  <w:style w:type="paragraph" w:customStyle="1" w:styleId="Style10">
    <w:name w:val="Style10"/>
    <w:basedOn w:val="Normal"/>
    <w:qFormat/>
    <w:rsid w:val="002D6D06"/>
    <w:pPr>
      <w:ind w:left="1134" w:hanging="54"/>
    </w:pPr>
    <w:rPr>
      <w:rFonts w:ascii="SimSun" w:hAnsi="SimSun"/>
      <w:szCs w:val="28"/>
      <w:lang w:eastAsia="zh-TW"/>
    </w:rPr>
  </w:style>
  <w:style w:type="character" w:customStyle="1" w:styleId="FootnoteTextChar">
    <w:name w:val="Footnote Text Char"/>
    <w:link w:val="FootnoteText"/>
    <w:uiPriority w:val="99"/>
    <w:semiHidden/>
    <w:rsid w:val="001C1387"/>
    <w:rPr>
      <w:sz w:val="24"/>
      <w:szCs w:val="24"/>
    </w:rPr>
  </w:style>
  <w:style w:type="paragraph" w:customStyle="1" w:styleId="Style11">
    <w:name w:val="Style11"/>
    <w:basedOn w:val="Quotation"/>
    <w:qFormat/>
    <w:rsid w:val="000C7275"/>
    <w:pPr>
      <w:tabs>
        <w:tab w:val="clear" w:pos="1440"/>
        <w:tab w:val="clear" w:pos="4320"/>
        <w:tab w:val="clear" w:pos="9072"/>
      </w:tabs>
      <w:spacing w:line="360" w:lineRule="auto"/>
    </w:pPr>
    <w:rPr>
      <w:rFonts w:eastAsia="PMingLiU"/>
      <w:b/>
      <w:sz w:val="30"/>
      <w:szCs w:val="30"/>
      <w:lang w:eastAsia="zh-TW"/>
    </w:rPr>
  </w:style>
  <w:style w:type="paragraph" w:customStyle="1" w:styleId="Style12">
    <w:name w:val="Style12"/>
    <w:basedOn w:val="Quote"/>
    <w:qFormat/>
    <w:rsid w:val="005B2573"/>
    <w:pPr>
      <w:tabs>
        <w:tab w:val="clear" w:pos="4320"/>
        <w:tab w:val="clear" w:pos="9072"/>
      </w:tabs>
      <w:spacing w:line="360" w:lineRule="auto"/>
      <w:ind w:left="700" w:hanging="700"/>
      <w:jc w:val="center"/>
    </w:pPr>
    <w:rPr>
      <w:rFonts w:ascii="SimSun" w:hAnsi="SimSun"/>
      <w:b/>
      <w:sz w:val="32"/>
      <w:szCs w:val="32"/>
      <w:lang w:eastAsia="zh-TW"/>
    </w:rPr>
  </w:style>
  <w:style w:type="paragraph" w:customStyle="1" w:styleId="Style13">
    <w:name w:val="Style13"/>
    <w:basedOn w:val="Quotation"/>
    <w:qFormat/>
    <w:rsid w:val="005B2573"/>
    <w:pPr>
      <w:tabs>
        <w:tab w:val="clear" w:pos="4320"/>
        <w:tab w:val="clear" w:pos="9072"/>
      </w:tabs>
      <w:spacing w:line="360" w:lineRule="auto"/>
      <w:ind w:left="700" w:hanging="700"/>
      <w:jc w:val="center"/>
    </w:pPr>
    <w:rPr>
      <w:rFonts w:ascii="SimSun" w:hAnsi="SimSun"/>
      <w:b/>
      <w:sz w:val="32"/>
      <w:szCs w:val="32"/>
      <w:lang w:eastAsia="zh-TW"/>
    </w:rPr>
  </w:style>
  <w:style w:type="paragraph" w:styleId="Quote">
    <w:name w:val="Quote"/>
    <w:basedOn w:val="Normal"/>
    <w:next w:val="Normal"/>
    <w:link w:val="QuoteChar"/>
    <w:uiPriority w:val="29"/>
    <w:qFormat/>
    <w:rsid w:val="005B2573"/>
    <w:rPr>
      <w:i/>
      <w:iCs/>
      <w:color w:val="000000"/>
    </w:rPr>
  </w:style>
  <w:style w:type="character" w:customStyle="1" w:styleId="QuoteChar">
    <w:name w:val="Quote Char"/>
    <w:basedOn w:val="DefaultParagraphFont"/>
    <w:link w:val="Quote"/>
    <w:uiPriority w:val="29"/>
    <w:rsid w:val="005B2573"/>
    <w:rPr>
      <w:i/>
      <w:iCs/>
      <w:color w:val="000000"/>
      <w:sz w:val="28"/>
    </w:rPr>
  </w:style>
  <w:style w:type="paragraph" w:customStyle="1" w:styleId="Style14">
    <w:name w:val="Style14"/>
    <w:basedOn w:val="Quote"/>
    <w:qFormat/>
    <w:rsid w:val="005B2573"/>
    <w:pPr>
      <w:tabs>
        <w:tab w:val="clear" w:pos="4320"/>
        <w:tab w:val="clear" w:pos="9072"/>
      </w:tabs>
      <w:spacing w:line="360" w:lineRule="auto"/>
      <w:ind w:left="700" w:hanging="700"/>
      <w:jc w:val="center"/>
    </w:pPr>
    <w:rPr>
      <w:rFonts w:ascii="SimSun" w:hAnsi="SimSun"/>
      <w:b/>
      <w:sz w:val="22"/>
      <w:szCs w:val="22"/>
      <w:lang w:eastAsia="zh-TW"/>
    </w:rPr>
  </w:style>
  <w:style w:type="paragraph" w:customStyle="1" w:styleId="Style15">
    <w:name w:val="Style15"/>
    <w:basedOn w:val="Normal"/>
    <w:qFormat/>
    <w:rsid w:val="00CC064A"/>
    <w:pPr>
      <w:tabs>
        <w:tab w:val="clear" w:pos="1440"/>
        <w:tab w:val="clear" w:pos="4320"/>
        <w:tab w:val="clear" w:pos="9072"/>
      </w:tabs>
      <w:snapToGrid/>
    </w:pPr>
    <w:rPr>
      <w:sz w:val="24"/>
      <w:szCs w:val="24"/>
    </w:rPr>
  </w:style>
  <w:style w:type="paragraph" w:customStyle="1" w:styleId="Style16">
    <w:name w:val="Style16"/>
    <w:basedOn w:val="Normal"/>
    <w:qFormat/>
    <w:rsid w:val="00CC064A"/>
    <w:pPr>
      <w:tabs>
        <w:tab w:val="clear" w:pos="1440"/>
        <w:tab w:val="clear" w:pos="4320"/>
        <w:tab w:val="clear" w:pos="9072"/>
      </w:tabs>
      <w:snapToGrid/>
    </w:pPr>
    <w:rPr>
      <w:sz w:val="24"/>
      <w:szCs w:val="24"/>
    </w:rPr>
  </w:style>
  <w:style w:type="paragraph" w:customStyle="1" w:styleId="Style17">
    <w:name w:val="Style17"/>
    <w:basedOn w:val="Normal"/>
    <w:qFormat/>
    <w:rsid w:val="006C7F3B"/>
    <w:pPr>
      <w:tabs>
        <w:tab w:val="clear" w:pos="1440"/>
        <w:tab w:val="clear" w:pos="4320"/>
        <w:tab w:val="clear" w:pos="9072"/>
        <w:tab w:val="num" w:pos="0"/>
        <w:tab w:val="left" w:pos="993"/>
      </w:tabs>
      <w:spacing w:line="360" w:lineRule="auto"/>
      <w:jc w:val="both"/>
    </w:pPr>
    <w:rPr>
      <w:rFonts w:ascii="SimSun" w:hAnsi="SimSun"/>
      <w:lang w:eastAsia="zh-TW"/>
    </w:rPr>
  </w:style>
  <w:style w:type="paragraph" w:customStyle="1" w:styleId="Style18">
    <w:name w:val="Style18"/>
    <w:basedOn w:val="Normal"/>
    <w:next w:val="Normal"/>
    <w:qFormat/>
    <w:rsid w:val="006C7F3B"/>
    <w:pPr>
      <w:tabs>
        <w:tab w:val="clear" w:pos="1440"/>
        <w:tab w:val="clear" w:pos="4320"/>
        <w:tab w:val="clear" w:pos="9072"/>
        <w:tab w:val="num" w:pos="0"/>
        <w:tab w:val="left" w:pos="993"/>
      </w:tabs>
      <w:spacing w:line="360" w:lineRule="auto"/>
      <w:jc w:val="both"/>
    </w:pPr>
    <w:rPr>
      <w:rFonts w:ascii="SimSun" w:hAnsi="SimSun"/>
      <w:lang w:eastAsia="zh-TW"/>
    </w:rPr>
  </w:style>
  <w:style w:type="paragraph" w:customStyle="1" w:styleId="Style19">
    <w:name w:val="Style19"/>
    <w:basedOn w:val="Normal"/>
    <w:next w:val="Quotation"/>
    <w:qFormat/>
    <w:rsid w:val="00024EC9"/>
  </w:style>
  <w:style w:type="paragraph" w:customStyle="1" w:styleId="Style20">
    <w:name w:val="Style20"/>
    <w:basedOn w:val="Normal"/>
    <w:next w:val="Normal"/>
    <w:qFormat/>
    <w:rsid w:val="00024EC9"/>
  </w:style>
  <w:style w:type="paragraph" w:customStyle="1" w:styleId="Style21">
    <w:name w:val="Style21"/>
    <w:basedOn w:val="Quote"/>
    <w:qFormat/>
    <w:rsid w:val="00920EAD"/>
    <w:pPr>
      <w:tabs>
        <w:tab w:val="clear" w:pos="1440"/>
        <w:tab w:val="clear" w:pos="4320"/>
        <w:tab w:val="clear" w:pos="9072"/>
        <w:tab w:val="num" w:pos="0"/>
        <w:tab w:val="left" w:pos="993"/>
      </w:tabs>
      <w:spacing w:line="360" w:lineRule="auto"/>
      <w:jc w:val="both"/>
    </w:pPr>
    <w:rPr>
      <w:szCs w:val="28"/>
    </w:rPr>
  </w:style>
  <w:style w:type="paragraph" w:customStyle="1" w:styleId="Style22">
    <w:name w:val="Style22"/>
    <w:basedOn w:val="Quote"/>
    <w:qFormat/>
    <w:rsid w:val="00920EAD"/>
    <w:pPr>
      <w:numPr>
        <w:numId w:val="1"/>
      </w:numPr>
      <w:tabs>
        <w:tab w:val="clear" w:pos="1440"/>
        <w:tab w:val="clear" w:pos="4320"/>
        <w:tab w:val="clear" w:pos="9072"/>
        <w:tab w:val="left" w:pos="993"/>
      </w:tabs>
      <w:spacing w:line="360" w:lineRule="auto"/>
      <w:jc w:val="both"/>
    </w:pPr>
    <w:rPr>
      <w:szCs w:val="28"/>
    </w:rPr>
  </w:style>
  <w:style w:type="character" w:customStyle="1" w:styleId="BodyTextChar">
    <w:name w:val="Body Text Char"/>
    <w:basedOn w:val="DefaultParagraphFont"/>
    <w:link w:val="BodyText"/>
    <w:rsid w:val="00920EAD"/>
    <w:rPr>
      <w:sz w:val="28"/>
      <w:lang w:val="en-GB"/>
    </w:rPr>
  </w:style>
  <w:style w:type="character" w:customStyle="1" w:styleId="BodyTextIndentChar">
    <w:name w:val="Body Text Indent Char"/>
    <w:basedOn w:val="DefaultParagraphFont"/>
    <w:link w:val="BodyTextIndent"/>
    <w:rsid w:val="00920EAD"/>
    <w:rPr>
      <w:kern w:val="2"/>
      <w:sz w:val="28"/>
      <w:lang w:val="en-GB"/>
    </w:rPr>
  </w:style>
  <w:style w:type="paragraph" w:styleId="NormalWeb">
    <w:name w:val="Normal (Web)"/>
    <w:basedOn w:val="Normal"/>
    <w:uiPriority w:val="99"/>
    <w:semiHidden/>
    <w:unhideWhenUsed/>
    <w:rsid w:val="001C5CA2"/>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quote0">
    <w:name w:val="quote"/>
    <w:basedOn w:val="Normal"/>
    <w:rsid w:val="001C5CA2"/>
    <w:pPr>
      <w:tabs>
        <w:tab w:val="clear" w:pos="1440"/>
        <w:tab w:val="clear" w:pos="4320"/>
        <w:tab w:val="clear" w:pos="9072"/>
      </w:tabs>
      <w:snapToGri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99265">
      <w:bodyDiv w:val="1"/>
      <w:marLeft w:val="0"/>
      <w:marRight w:val="0"/>
      <w:marTop w:val="0"/>
      <w:marBottom w:val="0"/>
      <w:divBdr>
        <w:top w:val="none" w:sz="0" w:space="0" w:color="auto"/>
        <w:left w:val="none" w:sz="0" w:space="0" w:color="auto"/>
        <w:bottom w:val="none" w:sz="0" w:space="0" w:color="auto"/>
        <w:right w:val="none" w:sz="0" w:space="0" w:color="auto"/>
      </w:divBdr>
    </w:div>
    <w:div w:id="561406956">
      <w:bodyDiv w:val="1"/>
      <w:marLeft w:val="0"/>
      <w:marRight w:val="0"/>
      <w:marTop w:val="0"/>
      <w:marBottom w:val="0"/>
      <w:divBdr>
        <w:top w:val="none" w:sz="0" w:space="0" w:color="auto"/>
        <w:left w:val="none" w:sz="0" w:space="0" w:color="auto"/>
        <w:bottom w:val="none" w:sz="0" w:space="0" w:color="auto"/>
        <w:right w:val="none" w:sz="0" w:space="0" w:color="auto"/>
      </w:divBdr>
    </w:div>
    <w:div w:id="846098575">
      <w:bodyDiv w:val="1"/>
      <w:marLeft w:val="0"/>
      <w:marRight w:val="0"/>
      <w:marTop w:val="0"/>
      <w:marBottom w:val="0"/>
      <w:divBdr>
        <w:top w:val="none" w:sz="0" w:space="0" w:color="auto"/>
        <w:left w:val="none" w:sz="0" w:space="0" w:color="auto"/>
        <w:bottom w:val="none" w:sz="0" w:space="0" w:color="auto"/>
        <w:right w:val="none" w:sz="0" w:space="0" w:color="auto"/>
      </w:divBdr>
    </w:div>
    <w:div w:id="852916401">
      <w:bodyDiv w:val="1"/>
      <w:marLeft w:val="0"/>
      <w:marRight w:val="0"/>
      <w:marTop w:val="0"/>
      <w:marBottom w:val="0"/>
      <w:divBdr>
        <w:top w:val="none" w:sz="0" w:space="0" w:color="auto"/>
        <w:left w:val="none" w:sz="0" w:space="0" w:color="auto"/>
        <w:bottom w:val="none" w:sz="0" w:space="0" w:color="auto"/>
        <w:right w:val="none" w:sz="0" w:space="0" w:color="auto"/>
      </w:divBdr>
    </w:div>
    <w:div w:id="862129479">
      <w:bodyDiv w:val="1"/>
      <w:marLeft w:val="0"/>
      <w:marRight w:val="0"/>
      <w:marTop w:val="0"/>
      <w:marBottom w:val="0"/>
      <w:divBdr>
        <w:top w:val="none" w:sz="0" w:space="0" w:color="auto"/>
        <w:left w:val="none" w:sz="0" w:space="0" w:color="auto"/>
        <w:bottom w:val="none" w:sz="0" w:space="0" w:color="auto"/>
        <w:right w:val="none" w:sz="0" w:space="0" w:color="auto"/>
      </w:divBdr>
    </w:div>
    <w:div w:id="868757341">
      <w:bodyDiv w:val="1"/>
      <w:marLeft w:val="0"/>
      <w:marRight w:val="0"/>
      <w:marTop w:val="0"/>
      <w:marBottom w:val="0"/>
      <w:divBdr>
        <w:top w:val="none" w:sz="0" w:space="0" w:color="auto"/>
        <w:left w:val="none" w:sz="0" w:space="0" w:color="auto"/>
        <w:bottom w:val="none" w:sz="0" w:space="0" w:color="auto"/>
        <w:right w:val="none" w:sz="0" w:space="0" w:color="auto"/>
      </w:divBdr>
    </w:div>
    <w:div w:id="892545412">
      <w:bodyDiv w:val="1"/>
      <w:marLeft w:val="0"/>
      <w:marRight w:val="0"/>
      <w:marTop w:val="0"/>
      <w:marBottom w:val="0"/>
      <w:divBdr>
        <w:top w:val="none" w:sz="0" w:space="0" w:color="auto"/>
        <w:left w:val="none" w:sz="0" w:space="0" w:color="auto"/>
        <w:bottom w:val="none" w:sz="0" w:space="0" w:color="auto"/>
        <w:right w:val="none" w:sz="0" w:space="0" w:color="auto"/>
      </w:divBdr>
    </w:div>
    <w:div w:id="940380393">
      <w:bodyDiv w:val="1"/>
      <w:marLeft w:val="0"/>
      <w:marRight w:val="0"/>
      <w:marTop w:val="0"/>
      <w:marBottom w:val="0"/>
      <w:divBdr>
        <w:top w:val="none" w:sz="0" w:space="0" w:color="auto"/>
        <w:left w:val="none" w:sz="0" w:space="0" w:color="auto"/>
        <w:bottom w:val="none" w:sz="0" w:space="0" w:color="auto"/>
        <w:right w:val="none" w:sz="0" w:space="0" w:color="auto"/>
      </w:divBdr>
    </w:div>
    <w:div w:id="1086028810">
      <w:bodyDiv w:val="1"/>
      <w:marLeft w:val="0"/>
      <w:marRight w:val="0"/>
      <w:marTop w:val="0"/>
      <w:marBottom w:val="0"/>
      <w:divBdr>
        <w:top w:val="none" w:sz="0" w:space="0" w:color="auto"/>
        <w:left w:val="none" w:sz="0" w:space="0" w:color="auto"/>
        <w:bottom w:val="none" w:sz="0" w:space="0" w:color="auto"/>
        <w:right w:val="none" w:sz="0" w:space="0" w:color="auto"/>
      </w:divBdr>
      <w:divsChild>
        <w:div w:id="1489786134">
          <w:marLeft w:val="0"/>
          <w:marRight w:val="0"/>
          <w:marTop w:val="0"/>
          <w:marBottom w:val="133"/>
          <w:divBdr>
            <w:top w:val="none" w:sz="0" w:space="0" w:color="auto"/>
            <w:left w:val="none" w:sz="0" w:space="0" w:color="auto"/>
            <w:bottom w:val="none" w:sz="0" w:space="0" w:color="auto"/>
            <w:right w:val="none" w:sz="0" w:space="0" w:color="auto"/>
          </w:divBdr>
          <w:divsChild>
            <w:div w:id="712924626">
              <w:marLeft w:val="-120"/>
              <w:marRight w:val="0"/>
              <w:marTop w:val="0"/>
              <w:marBottom w:val="0"/>
              <w:divBdr>
                <w:top w:val="none" w:sz="0" w:space="0" w:color="auto"/>
                <w:left w:val="none" w:sz="0" w:space="0" w:color="auto"/>
                <w:bottom w:val="none" w:sz="0" w:space="0" w:color="auto"/>
                <w:right w:val="none" w:sz="0" w:space="0" w:color="auto"/>
              </w:divBdr>
              <w:divsChild>
                <w:div w:id="66734440">
                  <w:marLeft w:val="13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792">
      <w:bodyDiv w:val="1"/>
      <w:marLeft w:val="0"/>
      <w:marRight w:val="0"/>
      <w:marTop w:val="0"/>
      <w:marBottom w:val="0"/>
      <w:divBdr>
        <w:top w:val="none" w:sz="0" w:space="0" w:color="auto"/>
        <w:left w:val="none" w:sz="0" w:space="0" w:color="auto"/>
        <w:bottom w:val="none" w:sz="0" w:space="0" w:color="auto"/>
        <w:right w:val="none" w:sz="0" w:space="0" w:color="auto"/>
      </w:divBdr>
    </w:div>
    <w:div w:id="1233737598">
      <w:bodyDiv w:val="1"/>
      <w:marLeft w:val="0"/>
      <w:marRight w:val="0"/>
      <w:marTop w:val="0"/>
      <w:marBottom w:val="0"/>
      <w:divBdr>
        <w:top w:val="none" w:sz="0" w:space="0" w:color="auto"/>
        <w:left w:val="none" w:sz="0" w:space="0" w:color="auto"/>
        <w:bottom w:val="none" w:sz="0" w:space="0" w:color="auto"/>
        <w:right w:val="none" w:sz="0" w:space="0" w:color="auto"/>
      </w:divBdr>
    </w:div>
    <w:div w:id="1280528704">
      <w:bodyDiv w:val="1"/>
      <w:marLeft w:val="0"/>
      <w:marRight w:val="0"/>
      <w:marTop w:val="0"/>
      <w:marBottom w:val="0"/>
      <w:divBdr>
        <w:top w:val="none" w:sz="0" w:space="0" w:color="auto"/>
        <w:left w:val="none" w:sz="0" w:space="0" w:color="auto"/>
        <w:bottom w:val="none" w:sz="0" w:space="0" w:color="auto"/>
        <w:right w:val="none" w:sz="0" w:space="0" w:color="auto"/>
      </w:divBdr>
    </w:div>
    <w:div w:id="1334383348">
      <w:bodyDiv w:val="1"/>
      <w:marLeft w:val="0"/>
      <w:marRight w:val="0"/>
      <w:marTop w:val="0"/>
      <w:marBottom w:val="0"/>
      <w:divBdr>
        <w:top w:val="none" w:sz="0" w:space="0" w:color="auto"/>
        <w:left w:val="none" w:sz="0" w:space="0" w:color="auto"/>
        <w:bottom w:val="none" w:sz="0" w:space="0" w:color="auto"/>
        <w:right w:val="none" w:sz="0" w:space="0" w:color="auto"/>
      </w:divBdr>
    </w:div>
    <w:div w:id="1537351935">
      <w:bodyDiv w:val="1"/>
      <w:marLeft w:val="0"/>
      <w:marRight w:val="0"/>
      <w:marTop w:val="0"/>
      <w:marBottom w:val="0"/>
      <w:divBdr>
        <w:top w:val="none" w:sz="0" w:space="0" w:color="auto"/>
        <w:left w:val="none" w:sz="0" w:space="0" w:color="auto"/>
        <w:bottom w:val="none" w:sz="0" w:space="0" w:color="auto"/>
        <w:right w:val="none" w:sz="0" w:space="0" w:color="auto"/>
      </w:divBdr>
    </w:div>
    <w:div w:id="1646348946">
      <w:bodyDiv w:val="1"/>
      <w:marLeft w:val="0"/>
      <w:marRight w:val="0"/>
      <w:marTop w:val="0"/>
      <w:marBottom w:val="0"/>
      <w:divBdr>
        <w:top w:val="none" w:sz="0" w:space="0" w:color="auto"/>
        <w:left w:val="none" w:sz="0" w:space="0" w:color="auto"/>
        <w:bottom w:val="none" w:sz="0" w:space="0" w:color="auto"/>
        <w:right w:val="none" w:sz="0" w:space="0" w:color="auto"/>
      </w:divBdr>
    </w:div>
    <w:div w:id="1758817761">
      <w:bodyDiv w:val="1"/>
      <w:marLeft w:val="0"/>
      <w:marRight w:val="0"/>
      <w:marTop w:val="0"/>
      <w:marBottom w:val="0"/>
      <w:divBdr>
        <w:top w:val="none" w:sz="0" w:space="0" w:color="auto"/>
        <w:left w:val="none" w:sz="0" w:space="0" w:color="auto"/>
        <w:bottom w:val="none" w:sz="0" w:space="0" w:color="auto"/>
        <w:right w:val="none" w:sz="0" w:space="0" w:color="auto"/>
      </w:divBdr>
    </w:div>
    <w:div w:id="1813054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41161-A165-425C-BC3F-A01244C7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DCEC 1141/2006</vt:lpstr>
    </vt:vector>
  </TitlesOfParts>
  <Company>Judiciary hong Kong</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DCEC 1141/2006</dc:title>
  <dc:subject/>
  <dc:creator>Kent Yee</dc:creator>
  <cp:keywords/>
  <cp:lastModifiedBy>Adrien Kwong</cp:lastModifiedBy>
  <cp:revision>2</cp:revision>
  <cp:lastPrinted>2012-12-19T02:53:00Z</cp:lastPrinted>
  <dcterms:created xsi:type="dcterms:W3CDTF">2023-10-14T01:16:00Z</dcterms:created>
  <dcterms:modified xsi:type="dcterms:W3CDTF">2023-10-14T01:16:00Z</dcterms:modified>
</cp:coreProperties>
</file>