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B60" w:rsidRDefault="00F26B60" w:rsidP="002C0B1D">
      <w:pPr>
        <w:pStyle w:val="Heading2"/>
        <w:tabs>
          <w:tab w:val="clear" w:pos="4320"/>
          <w:tab w:val="clear" w:pos="9072"/>
        </w:tabs>
        <w:snapToGrid w:val="0"/>
        <w:spacing w:line="360" w:lineRule="auto"/>
        <w:jc w:val="right"/>
        <w:rPr>
          <w:b w:val="0"/>
          <w:bCs w:val="0"/>
          <w:sz w:val="28"/>
          <w:szCs w:val="26"/>
        </w:rPr>
      </w:pPr>
      <w:r>
        <w:rPr>
          <w:rFonts w:hint="eastAsia"/>
          <w:b w:val="0"/>
          <w:bCs w:val="0"/>
          <w:sz w:val="28"/>
          <w:szCs w:val="26"/>
        </w:rPr>
        <w:t>D</w:t>
      </w:r>
      <w:r>
        <w:rPr>
          <w:b w:val="0"/>
          <w:bCs w:val="0"/>
          <w:sz w:val="28"/>
          <w:szCs w:val="26"/>
        </w:rPr>
        <w:t xml:space="preserve">CPI </w:t>
      </w:r>
      <w:r w:rsidR="00B55F95">
        <w:rPr>
          <w:rFonts w:hint="eastAsia"/>
          <w:b w:val="0"/>
          <w:bCs w:val="0"/>
          <w:sz w:val="28"/>
          <w:szCs w:val="26"/>
        </w:rPr>
        <w:t>1</w:t>
      </w:r>
      <w:r w:rsidR="00BB36A2">
        <w:rPr>
          <w:b w:val="0"/>
          <w:bCs w:val="0"/>
          <w:sz w:val="28"/>
          <w:szCs w:val="26"/>
        </w:rPr>
        <w:t>6</w:t>
      </w:r>
      <w:r w:rsidR="001A0294">
        <w:rPr>
          <w:b w:val="0"/>
          <w:bCs w:val="0"/>
          <w:sz w:val="28"/>
          <w:szCs w:val="26"/>
        </w:rPr>
        <w:t>94</w:t>
      </w:r>
      <w:r>
        <w:rPr>
          <w:rFonts w:hint="eastAsia"/>
          <w:b w:val="0"/>
          <w:bCs w:val="0"/>
          <w:sz w:val="28"/>
          <w:szCs w:val="26"/>
        </w:rPr>
        <w:t>/2</w:t>
      </w:r>
      <w:r>
        <w:rPr>
          <w:b w:val="0"/>
          <w:bCs w:val="0"/>
          <w:sz w:val="28"/>
          <w:szCs w:val="26"/>
        </w:rPr>
        <w:t>0</w:t>
      </w:r>
      <w:r w:rsidR="005E4F81">
        <w:rPr>
          <w:b w:val="0"/>
          <w:bCs w:val="0"/>
          <w:sz w:val="28"/>
          <w:szCs w:val="26"/>
        </w:rPr>
        <w:t>1</w:t>
      </w:r>
      <w:r w:rsidR="001A0294">
        <w:rPr>
          <w:b w:val="0"/>
          <w:bCs w:val="0"/>
          <w:sz w:val="28"/>
          <w:szCs w:val="26"/>
        </w:rPr>
        <w:t>3</w:t>
      </w:r>
    </w:p>
    <w:p w:rsidR="00F26B60" w:rsidRDefault="00F26B60" w:rsidP="002C0B1D">
      <w:pPr>
        <w:pStyle w:val="normal3"/>
        <w:tabs>
          <w:tab w:val="clear" w:pos="4320"/>
          <w:tab w:val="clear" w:pos="4500"/>
          <w:tab w:val="clear" w:pos="9000"/>
          <w:tab w:val="clear" w:pos="9072"/>
        </w:tabs>
        <w:overflowPunct/>
        <w:autoSpaceDE/>
        <w:autoSpaceDN/>
        <w:rPr>
          <w:rFonts w:eastAsia="宋体"/>
          <w:lang w:val="en-US"/>
        </w:rPr>
      </w:pPr>
    </w:p>
    <w:p w:rsidR="005E4F81" w:rsidRDefault="005E4F81" w:rsidP="002C0B1D">
      <w:pPr>
        <w:pStyle w:val="normal3"/>
        <w:tabs>
          <w:tab w:val="clear" w:pos="4320"/>
          <w:tab w:val="clear" w:pos="4500"/>
          <w:tab w:val="clear" w:pos="9000"/>
          <w:tab w:val="clear" w:pos="9072"/>
        </w:tabs>
        <w:overflowPunct/>
        <w:autoSpaceDE/>
        <w:autoSpaceDN/>
        <w:rPr>
          <w:rFonts w:eastAsia="宋体"/>
          <w:lang w:val="en-US"/>
        </w:rPr>
        <w:sectPr w:rsidR="005E4F81" w:rsidSect="00EB4E6E">
          <w:headerReference w:type="default" r:id="rId8"/>
          <w:footerReference w:type="default" r:id="rId9"/>
          <w:pgSz w:w="11906" w:h="16838" w:code="9"/>
          <w:pgMar w:top="1800" w:right="1800" w:bottom="1440" w:left="1800" w:header="720" w:footer="720" w:gutter="0"/>
          <w:cols w:space="708"/>
          <w:docGrid w:linePitch="380"/>
        </w:sectPr>
      </w:pPr>
    </w:p>
    <w:p w:rsidR="00F26B60" w:rsidRDefault="00F26B60" w:rsidP="002C0B1D">
      <w:pPr>
        <w:tabs>
          <w:tab w:val="clear" w:pos="4320"/>
          <w:tab w:val="clear" w:pos="9072"/>
        </w:tabs>
        <w:spacing w:line="360" w:lineRule="auto"/>
        <w:jc w:val="center"/>
        <w:rPr>
          <w:b/>
          <w:szCs w:val="26"/>
        </w:rPr>
      </w:pPr>
      <w:r>
        <w:rPr>
          <w:b/>
          <w:szCs w:val="26"/>
        </w:rPr>
        <w:t>IN THE DISTRICT COURT OF THE</w:t>
      </w:r>
    </w:p>
    <w:p w:rsidR="00F26B60" w:rsidRDefault="00F26B60" w:rsidP="002C0B1D">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F26B60" w:rsidRDefault="00F26B60" w:rsidP="002C0B1D">
      <w:pPr>
        <w:tabs>
          <w:tab w:val="clear" w:pos="4320"/>
          <w:tab w:val="clear" w:pos="9072"/>
        </w:tabs>
        <w:spacing w:line="360" w:lineRule="auto"/>
        <w:jc w:val="center"/>
        <w:rPr>
          <w:szCs w:val="26"/>
        </w:rPr>
      </w:pPr>
      <w:r>
        <w:rPr>
          <w:szCs w:val="26"/>
        </w:rPr>
        <w:t xml:space="preserve">PERSONAL INJURIES ACTION NO </w:t>
      </w:r>
      <w:r w:rsidR="00B55F95">
        <w:rPr>
          <w:rFonts w:hint="eastAsia"/>
          <w:szCs w:val="26"/>
        </w:rPr>
        <w:t>1</w:t>
      </w:r>
      <w:r w:rsidR="00BB36A2">
        <w:rPr>
          <w:szCs w:val="26"/>
        </w:rPr>
        <w:t>6</w:t>
      </w:r>
      <w:r w:rsidR="001A0294">
        <w:rPr>
          <w:szCs w:val="26"/>
        </w:rPr>
        <w:t>94</w:t>
      </w:r>
      <w:r>
        <w:rPr>
          <w:rFonts w:hint="eastAsia"/>
          <w:szCs w:val="26"/>
        </w:rPr>
        <w:t xml:space="preserve"> OF 20</w:t>
      </w:r>
      <w:r w:rsidR="005E4F81">
        <w:rPr>
          <w:szCs w:val="26"/>
        </w:rPr>
        <w:t>1</w:t>
      </w:r>
      <w:r w:rsidR="001A0294">
        <w:rPr>
          <w:szCs w:val="26"/>
        </w:rPr>
        <w:t>3</w:t>
      </w:r>
    </w:p>
    <w:p w:rsidR="005E4F81" w:rsidRDefault="005E4F81" w:rsidP="002C0B1D">
      <w:pPr>
        <w:tabs>
          <w:tab w:val="clear" w:pos="4320"/>
          <w:tab w:val="clear" w:pos="9072"/>
        </w:tabs>
        <w:spacing w:line="360" w:lineRule="auto"/>
        <w:jc w:val="center"/>
        <w:rPr>
          <w:szCs w:val="26"/>
        </w:rPr>
      </w:pPr>
    </w:p>
    <w:p w:rsidR="005E4F81" w:rsidRDefault="005E4F81" w:rsidP="00A8299F">
      <w:pPr>
        <w:tabs>
          <w:tab w:val="clear" w:pos="4320"/>
          <w:tab w:val="clear" w:pos="9072"/>
        </w:tabs>
        <w:spacing w:line="360" w:lineRule="auto"/>
        <w:jc w:val="center"/>
        <w:rPr>
          <w:szCs w:val="26"/>
        </w:rPr>
      </w:pPr>
      <w:r>
        <w:rPr>
          <w:szCs w:val="26"/>
        </w:rPr>
        <w:t>-------------------------</w:t>
      </w:r>
    </w:p>
    <w:p w:rsidR="00F26B60" w:rsidRDefault="00F26B60" w:rsidP="00A8299F">
      <w:pPr>
        <w:tabs>
          <w:tab w:val="clear" w:pos="4320"/>
          <w:tab w:val="clear" w:pos="9072"/>
        </w:tabs>
        <w:spacing w:line="360" w:lineRule="auto"/>
        <w:rPr>
          <w:szCs w:val="26"/>
        </w:rPr>
      </w:pPr>
      <w:r>
        <w:rPr>
          <w:szCs w:val="26"/>
        </w:rPr>
        <w:t>BETWEEN</w:t>
      </w:r>
    </w:p>
    <w:p w:rsidR="00F26B60" w:rsidRDefault="00F26B60" w:rsidP="001A0294">
      <w:pPr>
        <w:tabs>
          <w:tab w:val="clear" w:pos="1440"/>
          <w:tab w:val="clear" w:pos="4320"/>
          <w:tab w:val="clear" w:pos="9072"/>
          <w:tab w:val="center" w:pos="4050"/>
          <w:tab w:val="right" w:pos="8280"/>
        </w:tabs>
        <w:spacing w:line="360" w:lineRule="auto"/>
        <w:ind w:right="-36"/>
        <w:rPr>
          <w:rFonts w:eastAsia="PMingLiU"/>
          <w:szCs w:val="26"/>
          <w:lang w:eastAsia="zh-TW"/>
        </w:rPr>
      </w:pPr>
      <w:r>
        <w:rPr>
          <w:szCs w:val="26"/>
        </w:rPr>
        <w:tab/>
      </w:r>
      <w:r w:rsidR="001A0294">
        <w:rPr>
          <w:szCs w:val="26"/>
        </w:rPr>
        <w:t>WONG FONG YUK</w:t>
      </w:r>
      <w:r>
        <w:rPr>
          <w:szCs w:val="26"/>
        </w:rPr>
        <w:tab/>
      </w:r>
      <w:r w:rsidR="005B2D79">
        <w:rPr>
          <w:szCs w:val="26"/>
        </w:rPr>
        <w:t>P</w:t>
      </w:r>
      <w:r w:rsidR="005B2D79">
        <w:rPr>
          <w:rFonts w:eastAsia="PMingLiU" w:hint="eastAsia"/>
          <w:szCs w:val="26"/>
          <w:lang w:eastAsia="zh-TW"/>
        </w:rPr>
        <w:t>laintiff</w:t>
      </w:r>
    </w:p>
    <w:p w:rsidR="00B41A5F" w:rsidRDefault="00B41A5F" w:rsidP="001A0294">
      <w:pPr>
        <w:tabs>
          <w:tab w:val="clear" w:pos="1440"/>
          <w:tab w:val="clear" w:pos="4320"/>
          <w:tab w:val="clear" w:pos="9072"/>
          <w:tab w:val="center" w:pos="4050"/>
          <w:tab w:val="right" w:pos="8280"/>
        </w:tabs>
        <w:spacing w:line="360" w:lineRule="auto"/>
        <w:ind w:right="-29"/>
        <w:jc w:val="center"/>
        <w:rPr>
          <w:szCs w:val="26"/>
        </w:rPr>
      </w:pPr>
      <w:r>
        <w:rPr>
          <w:szCs w:val="26"/>
        </w:rPr>
        <w:t>and</w:t>
      </w:r>
    </w:p>
    <w:p w:rsidR="005F0579" w:rsidRDefault="00B55F95" w:rsidP="001A0294">
      <w:pPr>
        <w:tabs>
          <w:tab w:val="clear" w:pos="1440"/>
          <w:tab w:val="clear" w:pos="4320"/>
          <w:tab w:val="clear" w:pos="9072"/>
          <w:tab w:val="center" w:pos="4050"/>
          <w:tab w:val="right" w:pos="8280"/>
        </w:tabs>
        <w:spacing w:line="360" w:lineRule="auto"/>
        <w:rPr>
          <w:szCs w:val="26"/>
        </w:rPr>
      </w:pPr>
      <w:r>
        <w:rPr>
          <w:rFonts w:hint="eastAsia"/>
          <w:szCs w:val="26"/>
        </w:rPr>
        <w:tab/>
      </w:r>
      <w:proofErr w:type="gramStart"/>
      <w:r w:rsidR="001A0294">
        <w:rPr>
          <w:rFonts w:eastAsia="PMingLiU" w:hint="eastAsia"/>
          <w:szCs w:val="26"/>
          <w:lang w:eastAsia="zh-HK"/>
        </w:rPr>
        <w:t>黃興醒</w:t>
      </w:r>
      <w:proofErr w:type="gramEnd"/>
      <w:r w:rsidR="00B41A5F">
        <w:tab/>
      </w:r>
      <w:r w:rsidR="001A0294">
        <w:t>1</w:t>
      </w:r>
      <w:r w:rsidR="001A0294" w:rsidRPr="001A0294">
        <w:rPr>
          <w:vertAlign w:val="superscript"/>
        </w:rPr>
        <w:t>st</w:t>
      </w:r>
      <w:r w:rsidR="001A0294">
        <w:t xml:space="preserve"> </w:t>
      </w:r>
      <w:r w:rsidR="005B2D79">
        <w:t>D</w:t>
      </w:r>
      <w:r w:rsidR="005B2D79">
        <w:rPr>
          <w:szCs w:val="26"/>
        </w:rPr>
        <w:t>efendant</w:t>
      </w:r>
    </w:p>
    <w:p w:rsidR="001A0294" w:rsidRPr="001A0294" w:rsidRDefault="001A0294" w:rsidP="001A0294">
      <w:pPr>
        <w:tabs>
          <w:tab w:val="clear" w:pos="1440"/>
          <w:tab w:val="clear" w:pos="4320"/>
          <w:tab w:val="clear" w:pos="9072"/>
          <w:tab w:val="center" w:pos="4050"/>
          <w:tab w:val="right" w:pos="8280"/>
        </w:tabs>
        <w:rPr>
          <w:rFonts w:eastAsia="PMingLiU"/>
          <w:szCs w:val="26"/>
          <w:lang w:eastAsia="zh-HK"/>
        </w:rPr>
      </w:pPr>
      <w:r>
        <w:rPr>
          <w:szCs w:val="26"/>
        </w:rPr>
        <w:tab/>
      </w:r>
      <w:r>
        <w:rPr>
          <w:rFonts w:ascii="PMingLiU" w:eastAsia="PMingLiU" w:hAnsi="PMingLiU" w:hint="eastAsia"/>
          <w:szCs w:val="26"/>
          <w:lang w:eastAsia="zh-HK"/>
        </w:rPr>
        <w:t>黃利華</w:t>
      </w:r>
      <w:r>
        <w:rPr>
          <w:rFonts w:ascii="PMingLiU" w:eastAsia="PMingLiU" w:hAnsi="PMingLiU"/>
          <w:szCs w:val="26"/>
          <w:lang w:eastAsia="zh-HK"/>
        </w:rPr>
        <w:tab/>
      </w:r>
      <w:r w:rsidRPr="001A0294">
        <w:rPr>
          <w:rFonts w:eastAsia="PMingLiU"/>
          <w:szCs w:val="26"/>
          <w:lang w:eastAsia="zh-HK"/>
        </w:rPr>
        <w:t>2</w:t>
      </w:r>
      <w:r w:rsidRPr="001A0294">
        <w:rPr>
          <w:rFonts w:eastAsia="PMingLiU"/>
          <w:szCs w:val="26"/>
          <w:vertAlign w:val="superscript"/>
          <w:lang w:eastAsia="zh-HK"/>
        </w:rPr>
        <w:t>nd</w:t>
      </w:r>
      <w:r w:rsidRPr="001A0294">
        <w:rPr>
          <w:rFonts w:eastAsia="PMingLiU"/>
          <w:szCs w:val="26"/>
          <w:lang w:eastAsia="zh-HK"/>
        </w:rPr>
        <w:t xml:space="preserve"> Defendant</w:t>
      </w:r>
    </w:p>
    <w:p w:rsidR="001A0294" w:rsidRPr="001A0294" w:rsidRDefault="001A0294" w:rsidP="001A0294">
      <w:pPr>
        <w:tabs>
          <w:tab w:val="clear" w:pos="1440"/>
          <w:tab w:val="clear" w:pos="4320"/>
          <w:tab w:val="clear" w:pos="9072"/>
          <w:tab w:val="center" w:pos="4050"/>
          <w:tab w:val="right" w:pos="8280"/>
        </w:tabs>
        <w:rPr>
          <w:szCs w:val="26"/>
        </w:rPr>
      </w:pPr>
      <w:r w:rsidRPr="001A0294">
        <w:rPr>
          <w:rFonts w:eastAsia="PMingLiU"/>
          <w:szCs w:val="26"/>
          <w:lang w:eastAsia="zh-HK"/>
        </w:rPr>
        <w:tab/>
      </w:r>
      <w:r w:rsidRPr="001A0294">
        <w:rPr>
          <w:rFonts w:eastAsia="PMingLiU"/>
          <w:szCs w:val="26"/>
          <w:lang w:eastAsia="zh-HK"/>
        </w:rPr>
        <w:tab/>
        <w:t>(Discontinued)</w:t>
      </w:r>
    </w:p>
    <w:p w:rsidR="005E4F81" w:rsidRDefault="005E4F81" w:rsidP="00A8299F">
      <w:pPr>
        <w:tabs>
          <w:tab w:val="clear" w:pos="4320"/>
          <w:tab w:val="clear" w:pos="9072"/>
          <w:tab w:val="left" w:pos="6930"/>
        </w:tabs>
        <w:spacing w:line="360" w:lineRule="auto"/>
        <w:jc w:val="center"/>
        <w:rPr>
          <w:szCs w:val="26"/>
        </w:rPr>
      </w:pPr>
      <w:r>
        <w:rPr>
          <w:szCs w:val="26"/>
        </w:rPr>
        <w:t>-------------------------</w:t>
      </w:r>
    </w:p>
    <w:p w:rsidR="00A8299F" w:rsidRPr="004F7678" w:rsidRDefault="00A8299F" w:rsidP="00A8299F">
      <w:pPr>
        <w:tabs>
          <w:tab w:val="right" w:pos="8100"/>
        </w:tabs>
      </w:pPr>
    </w:p>
    <w:p w:rsidR="00A8299F" w:rsidRPr="004F7678" w:rsidRDefault="00A8299F" w:rsidP="00A8299F">
      <w:pPr>
        <w:tabs>
          <w:tab w:val="clear" w:pos="1440"/>
          <w:tab w:val="clear" w:pos="4320"/>
          <w:tab w:val="clear" w:pos="9072"/>
        </w:tabs>
        <w:spacing w:line="360" w:lineRule="auto"/>
        <w:jc w:val="both"/>
      </w:pPr>
      <w:r w:rsidRPr="004F7678">
        <w:t xml:space="preserve">Before:  </w:t>
      </w:r>
      <w:r w:rsidR="001A0294">
        <w:t xml:space="preserve">His </w:t>
      </w:r>
      <w:proofErr w:type="spellStart"/>
      <w:r w:rsidR="001A0294">
        <w:t>Honour</w:t>
      </w:r>
      <w:proofErr w:type="spellEnd"/>
      <w:r w:rsidRPr="004F7678">
        <w:t xml:space="preserve"> Judge </w:t>
      </w:r>
      <w:r w:rsidR="001A0294">
        <w:t>Andrew Li</w:t>
      </w:r>
      <w:r w:rsidRPr="004F7678">
        <w:t xml:space="preserve"> in Court </w:t>
      </w:r>
    </w:p>
    <w:p w:rsidR="00A8299F" w:rsidRPr="004F7678" w:rsidRDefault="00A8299F" w:rsidP="00A8299F">
      <w:pPr>
        <w:tabs>
          <w:tab w:val="left" w:pos="2100"/>
          <w:tab w:val="left" w:pos="2380"/>
          <w:tab w:val="right" w:pos="8100"/>
        </w:tabs>
        <w:spacing w:line="360" w:lineRule="auto"/>
      </w:pPr>
      <w:r w:rsidRPr="004F7678">
        <w:t xml:space="preserve">Date of Hearing:  </w:t>
      </w:r>
      <w:r w:rsidR="001A0294">
        <w:t>6 June</w:t>
      </w:r>
      <w:r w:rsidR="00BB36A2">
        <w:t xml:space="preserve"> 2017</w:t>
      </w:r>
    </w:p>
    <w:p w:rsidR="00A8299F" w:rsidRPr="004F7678" w:rsidRDefault="00A8299F" w:rsidP="00A8299F">
      <w:pPr>
        <w:pStyle w:val="normal3"/>
        <w:tabs>
          <w:tab w:val="clear" w:pos="1440"/>
          <w:tab w:val="clear" w:pos="4500"/>
          <w:tab w:val="clear" w:pos="9000"/>
          <w:tab w:val="left" w:pos="2100"/>
          <w:tab w:val="left" w:pos="2380"/>
          <w:tab w:val="right" w:pos="8100"/>
        </w:tabs>
        <w:overflowPunct/>
        <w:autoSpaceDE/>
        <w:autoSpaceDN/>
        <w:rPr>
          <w:rFonts w:eastAsia="宋体"/>
          <w:lang w:val="en-US"/>
        </w:rPr>
      </w:pPr>
      <w:r w:rsidRPr="004F7678">
        <w:rPr>
          <w:rFonts w:eastAsia="宋体"/>
          <w:lang w:val="en-US"/>
        </w:rPr>
        <w:t xml:space="preserve">Date of </w:t>
      </w:r>
      <w:r w:rsidR="00BB36A2">
        <w:rPr>
          <w:rFonts w:eastAsia="宋体"/>
          <w:lang w:val="en-US"/>
        </w:rPr>
        <w:t>Decision</w:t>
      </w:r>
      <w:r w:rsidRPr="004F7678">
        <w:rPr>
          <w:rFonts w:eastAsia="宋体"/>
          <w:lang w:val="en-US"/>
        </w:rPr>
        <w:t xml:space="preserve">:  </w:t>
      </w:r>
      <w:r w:rsidR="00ED5279">
        <w:rPr>
          <w:rFonts w:eastAsia="宋体"/>
          <w:lang w:val="en-US"/>
        </w:rPr>
        <w:t>6</w:t>
      </w:r>
      <w:r w:rsidR="00BB36A2">
        <w:rPr>
          <w:rFonts w:eastAsia="宋体"/>
          <w:lang w:val="en-US"/>
        </w:rPr>
        <w:t xml:space="preserve"> </w:t>
      </w:r>
      <w:r w:rsidR="001A0294">
        <w:rPr>
          <w:rFonts w:eastAsia="宋体"/>
          <w:lang w:val="en-US"/>
        </w:rPr>
        <w:t>June</w:t>
      </w:r>
      <w:r w:rsidR="00BB36A2">
        <w:rPr>
          <w:rFonts w:eastAsia="宋体"/>
          <w:lang w:val="en-US"/>
        </w:rPr>
        <w:t xml:space="preserve"> 2017</w:t>
      </w:r>
    </w:p>
    <w:p w:rsidR="00F26B60" w:rsidRDefault="00F26B60" w:rsidP="002C0B1D">
      <w:pPr>
        <w:tabs>
          <w:tab w:val="clear" w:pos="4320"/>
          <w:tab w:val="clear" w:pos="9072"/>
        </w:tabs>
        <w:spacing w:line="360" w:lineRule="auto"/>
        <w:rPr>
          <w:rFonts w:eastAsia="PMingLiU"/>
          <w:szCs w:val="26"/>
          <w:lang w:eastAsia="zh-TW"/>
        </w:rPr>
      </w:pPr>
    </w:p>
    <w:p w:rsidR="005E4F81" w:rsidRDefault="005E4F81" w:rsidP="002C0B1D">
      <w:pPr>
        <w:tabs>
          <w:tab w:val="clear" w:pos="4320"/>
          <w:tab w:val="clear" w:pos="9072"/>
        </w:tabs>
        <w:spacing w:line="360" w:lineRule="auto"/>
        <w:jc w:val="center"/>
        <w:rPr>
          <w:szCs w:val="26"/>
        </w:rPr>
      </w:pPr>
      <w:r>
        <w:rPr>
          <w:szCs w:val="26"/>
        </w:rPr>
        <w:t>---</w:t>
      </w:r>
      <w:r w:rsidR="00A8299F">
        <w:rPr>
          <w:szCs w:val="26"/>
        </w:rPr>
        <w:t>-----------------</w:t>
      </w:r>
      <w:r w:rsidR="001A0294">
        <w:rPr>
          <w:szCs w:val="26"/>
        </w:rPr>
        <w:t>--</w:t>
      </w:r>
    </w:p>
    <w:p w:rsidR="005E4F81" w:rsidRDefault="00E02FA4" w:rsidP="002C0B1D">
      <w:pPr>
        <w:tabs>
          <w:tab w:val="clear" w:pos="4320"/>
          <w:tab w:val="clear" w:pos="9072"/>
        </w:tabs>
        <w:spacing w:line="360" w:lineRule="auto"/>
        <w:jc w:val="center"/>
        <w:rPr>
          <w:szCs w:val="26"/>
        </w:rPr>
      </w:pPr>
      <w:r>
        <w:rPr>
          <w:szCs w:val="26"/>
        </w:rPr>
        <w:t>DECISION</w:t>
      </w:r>
    </w:p>
    <w:p w:rsidR="00A8299F" w:rsidRDefault="00A8299F" w:rsidP="00A8299F">
      <w:pPr>
        <w:tabs>
          <w:tab w:val="clear" w:pos="4320"/>
          <w:tab w:val="clear" w:pos="9072"/>
        </w:tabs>
        <w:spacing w:line="360" w:lineRule="auto"/>
        <w:jc w:val="center"/>
        <w:rPr>
          <w:szCs w:val="26"/>
        </w:rPr>
      </w:pPr>
      <w:r>
        <w:rPr>
          <w:szCs w:val="26"/>
        </w:rPr>
        <w:t>----------</w:t>
      </w:r>
      <w:r w:rsidR="001A0294">
        <w:rPr>
          <w:szCs w:val="26"/>
        </w:rPr>
        <w:t>------------</w:t>
      </w:r>
    </w:p>
    <w:p w:rsidR="00B55F95" w:rsidRDefault="00B55F95" w:rsidP="00B55F95">
      <w:pPr>
        <w:tabs>
          <w:tab w:val="clear" w:pos="4320"/>
          <w:tab w:val="clear" w:pos="9072"/>
        </w:tabs>
        <w:spacing w:line="360" w:lineRule="auto"/>
        <w:jc w:val="both"/>
        <w:rPr>
          <w:rFonts w:eastAsia="PMingLiU"/>
          <w:bCs/>
        </w:rPr>
      </w:pPr>
    </w:p>
    <w:p w:rsidR="00D95893" w:rsidRDefault="00CE2E4C" w:rsidP="004453DC">
      <w:pPr>
        <w:numPr>
          <w:ilvl w:val="0"/>
          <w:numId w:val="31"/>
        </w:numPr>
        <w:tabs>
          <w:tab w:val="clear" w:pos="4320"/>
          <w:tab w:val="clear" w:pos="9072"/>
        </w:tabs>
        <w:snapToGrid/>
        <w:spacing w:line="360" w:lineRule="auto"/>
        <w:ind w:left="0" w:firstLine="0"/>
        <w:jc w:val="both"/>
      </w:pPr>
      <w:r>
        <w:t xml:space="preserve">This is a </w:t>
      </w:r>
      <w:r w:rsidR="00E02FA4">
        <w:t>decision</w:t>
      </w:r>
      <w:r w:rsidR="00D95893">
        <w:t xml:space="preserve"> result</w:t>
      </w:r>
      <w:r w:rsidR="001E62A4">
        <w:t>ing from</w:t>
      </w:r>
      <w:r w:rsidR="00D95893">
        <w:t xml:space="preserve"> </w:t>
      </w:r>
      <w:r w:rsidR="001E62A4">
        <w:t>the</w:t>
      </w:r>
      <w:r w:rsidR="00D95893">
        <w:t xml:space="preserve"> </w:t>
      </w:r>
      <w:r w:rsidR="001E62A4">
        <w:t>failure on the part of the plaintiff’s solicitors to comply with</w:t>
      </w:r>
      <w:r w:rsidR="00D95893">
        <w:t xml:space="preserve"> the case management directions given by the court on the preparation of an assessment of damages hearing </w:t>
      </w:r>
      <w:r w:rsidR="00E02FA4">
        <w:t>which was</w:t>
      </w:r>
      <w:r w:rsidR="00D95893">
        <w:t xml:space="preserve"> supposed to commence this morning. </w:t>
      </w:r>
    </w:p>
    <w:p w:rsidR="00D95893" w:rsidRDefault="00D95893" w:rsidP="00D95893">
      <w:pPr>
        <w:tabs>
          <w:tab w:val="clear" w:pos="4320"/>
          <w:tab w:val="clear" w:pos="9072"/>
        </w:tabs>
        <w:snapToGrid/>
        <w:spacing w:line="360" w:lineRule="auto"/>
        <w:jc w:val="both"/>
      </w:pPr>
    </w:p>
    <w:p w:rsidR="00D95893" w:rsidRDefault="00D95893" w:rsidP="00D95893">
      <w:pPr>
        <w:tabs>
          <w:tab w:val="clear" w:pos="4320"/>
          <w:tab w:val="clear" w:pos="9072"/>
        </w:tabs>
        <w:snapToGrid/>
        <w:spacing w:line="360" w:lineRule="auto"/>
        <w:jc w:val="both"/>
      </w:pPr>
    </w:p>
    <w:p w:rsidR="00D95893" w:rsidRDefault="00D95893" w:rsidP="00D95893">
      <w:pPr>
        <w:tabs>
          <w:tab w:val="clear" w:pos="4320"/>
          <w:tab w:val="clear" w:pos="9072"/>
        </w:tabs>
        <w:snapToGrid/>
        <w:spacing w:line="360" w:lineRule="auto"/>
        <w:jc w:val="both"/>
        <w:rPr>
          <w:i/>
        </w:rPr>
      </w:pPr>
      <w:r w:rsidRPr="00D95893">
        <w:rPr>
          <w:i/>
        </w:rPr>
        <w:lastRenderedPageBreak/>
        <w:t>BACKGROUND</w:t>
      </w:r>
    </w:p>
    <w:p w:rsidR="00D95893" w:rsidRPr="00D95893" w:rsidRDefault="00D95893" w:rsidP="00D95893">
      <w:pPr>
        <w:tabs>
          <w:tab w:val="clear" w:pos="4320"/>
          <w:tab w:val="clear" w:pos="9072"/>
        </w:tabs>
        <w:snapToGrid/>
        <w:spacing w:line="360" w:lineRule="auto"/>
        <w:jc w:val="both"/>
        <w:rPr>
          <w:i/>
        </w:rPr>
      </w:pPr>
    </w:p>
    <w:p w:rsidR="00CE2E4C" w:rsidRDefault="00D95893" w:rsidP="004453DC">
      <w:pPr>
        <w:numPr>
          <w:ilvl w:val="0"/>
          <w:numId w:val="31"/>
        </w:numPr>
        <w:tabs>
          <w:tab w:val="clear" w:pos="4320"/>
          <w:tab w:val="clear" w:pos="9072"/>
        </w:tabs>
        <w:snapToGrid/>
        <w:spacing w:line="360" w:lineRule="auto"/>
        <w:ind w:left="0" w:firstLine="0"/>
        <w:jc w:val="both"/>
      </w:pPr>
      <w:r>
        <w:t xml:space="preserve">The </w:t>
      </w:r>
      <w:r w:rsidR="00336B9F">
        <w:t xml:space="preserve">hearing </w:t>
      </w:r>
      <w:r>
        <w:t xml:space="preserve">was originally scheduled </w:t>
      </w:r>
      <w:r w:rsidR="00336B9F">
        <w:t xml:space="preserve">for the </w:t>
      </w:r>
      <w:r>
        <w:t>a</w:t>
      </w:r>
      <w:r w:rsidR="00336B9F">
        <w:t xml:space="preserve">ssessment </w:t>
      </w:r>
      <w:r>
        <w:t>of</w:t>
      </w:r>
      <w:r w:rsidR="00336B9F">
        <w:t xml:space="preserve"> </w:t>
      </w:r>
      <w:r>
        <w:t>d</w:t>
      </w:r>
      <w:r w:rsidR="00336B9F">
        <w:t>amages of the above personal injury action b</w:t>
      </w:r>
      <w:r>
        <w:t>r</w:t>
      </w:r>
      <w:r w:rsidR="00336B9F">
        <w:t>ought by the plaintiff against the 1</w:t>
      </w:r>
      <w:r w:rsidR="00336B9F" w:rsidRPr="00336B9F">
        <w:rPr>
          <w:vertAlign w:val="superscript"/>
        </w:rPr>
        <w:t>st</w:t>
      </w:r>
      <w:r w:rsidR="00336B9F">
        <w:t xml:space="preserve"> defendant (the action against the 2</w:t>
      </w:r>
      <w:r w:rsidR="00336B9F" w:rsidRPr="00336B9F">
        <w:rPr>
          <w:vertAlign w:val="superscript"/>
        </w:rPr>
        <w:t>nd</w:t>
      </w:r>
      <w:r w:rsidR="00336B9F">
        <w:t xml:space="preserve"> defendant </w:t>
      </w:r>
      <w:r>
        <w:t>had been dis</w:t>
      </w:r>
      <w:r w:rsidR="00336B9F">
        <w:t>continued).</w:t>
      </w:r>
    </w:p>
    <w:p w:rsidR="00A6542F" w:rsidRDefault="00A6542F" w:rsidP="00A6542F">
      <w:pPr>
        <w:tabs>
          <w:tab w:val="clear" w:pos="4320"/>
          <w:tab w:val="clear" w:pos="9072"/>
        </w:tabs>
        <w:snapToGrid/>
        <w:spacing w:line="360" w:lineRule="auto"/>
        <w:jc w:val="both"/>
      </w:pPr>
    </w:p>
    <w:p w:rsidR="00CE2E4C" w:rsidRDefault="007A76D4" w:rsidP="004453DC">
      <w:pPr>
        <w:numPr>
          <w:ilvl w:val="0"/>
          <w:numId w:val="31"/>
        </w:numPr>
        <w:tabs>
          <w:tab w:val="clear" w:pos="4320"/>
          <w:tab w:val="clear" w:pos="9072"/>
        </w:tabs>
        <w:snapToGrid/>
        <w:spacing w:line="360" w:lineRule="auto"/>
        <w:ind w:left="0" w:firstLine="0"/>
        <w:jc w:val="both"/>
      </w:pPr>
      <w:r>
        <w:t>Interlocutory judg</w:t>
      </w:r>
      <w:r w:rsidR="00336B9F">
        <w:t xml:space="preserve">ment </w:t>
      </w:r>
      <w:r w:rsidR="001E62A4">
        <w:t>had</w:t>
      </w:r>
      <w:r w:rsidR="007B3C03">
        <w:t xml:space="preserve"> been</w:t>
      </w:r>
      <w:r w:rsidR="00D95893">
        <w:t xml:space="preserve"> entered </w:t>
      </w:r>
      <w:r w:rsidR="00336B9F">
        <w:t>against the 1</w:t>
      </w:r>
      <w:r w:rsidR="00336B9F" w:rsidRPr="00336B9F">
        <w:rPr>
          <w:vertAlign w:val="superscript"/>
        </w:rPr>
        <w:t>st</w:t>
      </w:r>
      <w:r w:rsidR="00336B9F">
        <w:t xml:space="preserve"> defendant on 2 December 2014 as no notice of intention to defend had been received from the 1</w:t>
      </w:r>
      <w:r w:rsidR="00336B9F" w:rsidRPr="00336B9F">
        <w:rPr>
          <w:vertAlign w:val="superscript"/>
        </w:rPr>
        <w:t>st</w:t>
      </w:r>
      <w:r w:rsidR="00336B9F">
        <w:t xml:space="preserve"> defendant.  The case </w:t>
      </w:r>
      <w:r w:rsidR="00D95893">
        <w:t xml:space="preserve">then </w:t>
      </w:r>
      <w:r w:rsidR="00336B9F">
        <w:t>proceed</w:t>
      </w:r>
      <w:r w:rsidR="00BB30F6">
        <w:t>ed</w:t>
      </w:r>
      <w:r w:rsidR="00336B9F" w:rsidRPr="007A76D4">
        <w:t xml:space="preserve"> </w:t>
      </w:r>
      <w:r w:rsidRPr="007A76D4">
        <w:rPr>
          <w:rFonts w:eastAsia="PMingLiU"/>
          <w:lang w:eastAsia="zh-HK"/>
        </w:rPr>
        <w:t>to</w:t>
      </w:r>
      <w:r>
        <w:rPr>
          <w:rFonts w:ascii="PMingLiU" w:eastAsia="PMingLiU" w:hAnsi="PMingLiU" w:hint="eastAsia"/>
          <w:lang w:eastAsia="zh-HK"/>
        </w:rPr>
        <w:t xml:space="preserve"> </w:t>
      </w:r>
      <w:r w:rsidR="00336B9F">
        <w:t xml:space="preserve">the </w:t>
      </w:r>
      <w:r w:rsidR="00D95893">
        <w:t xml:space="preserve">case management stage with </w:t>
      </w:r>
      <w:r>
        <w:t xml:space="preserve">several </w:t>
      </w:r>
      <w:r w:rsidR="00336B9F">
        <w:t>check</w:t>
      </w:r>
      <w:r w:rsidR="00BB30F6">
        <w:t>list</w:t>
      </w:r>
      <w:r w:rsidR="00336B9F">
        <w:t xml:space="preserve"> </w:t>
      </w:r>
      <w:r w:rsidR="00D6430E">
        <w:t>review</w:t>
      </w:r>
      <w:r w:rsidR="00BB30F6">
        <w:t xml:space="preserve"> </w:t>
      </w:r>
      <w:r w:rsidR="00D95893">
        <w:t xml:space="preserve">(“CLR”) </w:t>
      </w:r>
      <w:r w:rsidR="00BB30F6">
        <w:t>hearing</w:t>
      </w:r>
      <w:r w:rsidR="00D95893">
        <w:t>s</w:t>
      </w:r>
      <w:r w:rsidR="00BB30F6">
        <w:t xml:space="preserve"> </w:t>
      </w:r>
      <w:r>
        <w:t xml:space="preserve">listed </w:t>
      </w:r>
      <w:r w:rsidR="00BB30F6">
        <w:t xml:space="preserve">before the </w:t>
      </w:r>
      <w:r w:rsidR="00D95893">
        <w:t>m</w:t>
      </w:r>
      <w:r w:rsidR="00BB30F6">
        <w:t>aster</w:t>
      </w:r>
      <w:r w:rsidR="00D95893">
        <w:t>s</w:t>
      </w:r>
      <w:r w:rsidR="00BB30F6">
        <w:t>.</w:t>
      </w:r>
    </w:p>
    <w:p w:rsidR="00A6542F" w:rsidRDefault="00A6542F" w:rsidP="00A6542F">
      <w:pPr>
        <w:tabs>
          <w:tab w:val="clear" w:pos="4320"/>
          <w:tab w:val="clear" w:pos="9072"/>
        </w:tabs>
        <w:snapToGrid/>
        <w:spacing w:line="360" w:lineRule="auto"/>
        <w:jc w:val="both"/>
      </w:pPr>
    </w:p>
    <w:p w:rsidR="00CE2E4C" w:rsidRDefault="00BB30F6" w:rsidP="004453DC">
      <w:pPr>
        <w:numPr>
          <w:ilvl w:val="0"/>
          <w:numId w:val="31"/>
        </w:numPr>
        <w:tabs>
          <w:tab w:val="clear" w:pos="4320"/>
          <w:tab w:val="clear" w:pos="9072"/>
        </w:tabs>
        <w:snapToGrid/>
        <w:spacing w:line="360" w:lineRule="auto"/>
        <w:ind w:left="0" w:firstLine="0"/>
        <w:jc w:val="both"/>
      </w:pPr>
      <w:r>
        <w:t xml:space="preserve">On 5 December 2016, at the </w:t>
      </w:r>
      <w:r w:rsidR="00D95893">
        <w:t>CLR</w:t>
      </w:r>
      <w:r>
        <w:t xml:space="preserve"> hearing</w:t>
      </w:r>
      <w:r w:rsidR="00D95893">
        <w:t xml:space="preserve"> before</w:t>
      </w:r>
      <w:r>
        <w:t xml:space="preserve"> Master Rita So</w:t>
      </w:r>
      <w:r w:rsidR="00D95893">
        <w:t xml:space="preserve">, the master </w:t>
      </w:r>
      <w:r>
        <w:t xml:space="preserve">fixed the </w:t>
      </w:r>
      <w:r w:rsidR="00D95893">
        <w:t>a</w:t>
      </w:r>
      <w:r>
        <w:t xml:space="preserve">ssessment of </w:t>
      </w:r>
      <w:r w:rsidR="00D95893">
        <w:t>d</w:t>
      </w:r>
      <w:r w:rsidR="001E62A4">
        <w:t>amages hearing on</w:t>
      </w:r>
      <w:r>
        <w:t xml:space="preserve"> 6 June 2017 with an estimated l</w:t>
      </w:r>
      <w:r w:rsidR="00D95893">
        <w:t>ength of</w:t>
      </w:r>
      <w:r>
        <w:t xml:space="preserve"> two days</w:t>
      </w:r>
      <w:r w:rsidR="00D95893">
        <w:t xml:space="preserve"> (</w:t>
      </w:r>
      <w:r>
        <w:t xml:space="preserve">with 7 June 2017 </w:t>
      </w:r>
      <w:r w:rsidR="00351DD3">
        <w:t xml:space="preserve">also </w:t>
      </w:r>
      <w:r>
        <w:t xml:space="preserve">reserved).  Master So also fixed a pre-trial review </w:t>
      </w:r>
      <w:r w:rsidR="00D95893">
        <w:t xml:space="preserve">(“PTR”) hearing </w:t>
      </w:r>
      <w:r>
        <w:t xml:space="preserve">for this case </w:t>
      </w:r>
      <w:r w:rsidR="00351DD3">
        <w:t xml:space="preserve">to be heard </w:t>
      </w:r>
      <w:r>
        <w:t xml:space="preserve">on 6 April 2017.  Pursuant to Master </w:t>
      </w:r>
      <w:proofErr w:type="spellStart"/>
      <w:r>
        <w:t>So’s</w:t>
      </w:r>
      <w:proofErr w:type="spellEnd"/>
      <w:r>
        <w:t xml:space="preserve"> </w:t>
      </w:r>
      <w:r w:rsidR="00351DD3">
        <w:t>O</w:t>
      </w:r>
      <w:r>
        <w:t xml:space="preserve">rder, the plaintiff served a notice of appointment of </w:t>
      </w:r>
      <w:r w:rsidR="001E62A4">
        <w:t>a</w:t>
      </w:r>
      <w:r>
        <w:t xml:space="preserve">ssessment of </w:t>
      </w:r>
      <w:r w:rsidR="001E62A4">
        <w:t>d</w:t>
      </w:r>
      <w:r>
        <w:t>amages on the 1</w:t>
      </w:r>
      <w:r w:rsidRPr="00BB30F6">
        <w:rPr>
          <w:vertAlign w:val="superscript"/>
        </w:rPr>
        <w:t>st</w:t>
      </w:r>
      <w:r>
        <w:t xml:space="preserve"> defendant on 14 December 2016.  Master So also ordered that the plaintiff was to translate the English documents contained in the </w:t>
      </w:r>
      <w:r w:rsidR="00351DD3">
        <w:t>a</w:t>
      </w:r>
      <w:r w:rsidR="001E62A4">
        <w:t xml:space="preserve">ssessment </w:t>
      </w:r>
      <w:r w:rsidR="00351DD3">
        <w:t>bundle into Chinese and have them</w:t>
      </w:r>
      <w:r w:rsidR="00E02FA4">
        <w:t xml:space="preserve"> serve</w:t>
      </w:r>
      <w:r w:rsidR="001E62A4">
        <w:t>d</w:t>
      </w:r>
      <w:r>
        <w:t xml:space="preserve"> on the 1</w:t>
      </w:r>
      <w:r w:rsidRPr="00BB30F6">
        <w:rPr>
          <w:vertAlign w:val="superscript"/>
        </w:rPr>
        <w:t>st</w:t>
      </w:r>
      <w:r>
        <w:t xml:space="preserve"> defendant on or before 13 March 2017.  </w:t>
      </w:r>
    </w:p>
    <w:p w:rsidR="00AA2260" w:rsidRDefault="00AA2260" w:rsidP="00AA2260">
      <w:pPr>
        <w:tabs>
          <w:tab w:val="clear" w:pos="4320"/>
          <w:tab w:val="clear" w:pos="9072"/>
        </w:tabs>
        <w:snapToGrid/>
        <w:spacing w:line="360" w:lineRule="auto"/>
        <w:jc w:val="both"/>
      </w:pPr>
    </w:p>
    <w:p w:rsidR="00CE2E4C" w:rsidRDefault="00BB30F6" w:rsidP="008149D4">
      <w:pPr>
        <w:numPr>
          <w:ilvl w:val="0"/>
          <w:numId w:val="31"/>
        </w:numPr>
        <w:tabs>
          <w:tab w:val="clear" w:pos="4320"/>
          <w:tab w:val="clear" w:pos="9072"/>
        </w:tabs>
        <w:snapToGrid/>
        <w:spacing w:line="360" w:lineRule="auto"/>
        <w:ind w:left="0" w:firstLine="0"/>
        <w:jc w:val="both"/>
      </w:pPr>
      <w:r>
        <w:t xml:space="preserve">At the </w:t>
      </w:r>
      <w:r w:rsidR="00351DD3">
        <w:t>PTR</w:t>
      </w:r>
      <w:r>
        <w:t xml:space="preserve"> hearing before Deputy Judge S P Yip on 6 April 2017, the plaintiff was represented by his solicitors whilst the 1</w:t>
      </w:r>
      <w:r w:rsidRPr="00BB30F6">
        <w:rPr>
          <w:vertAlign w:val="superscript"/>
        </w:rPr>
        <w:t>st</w:t>
      </w:r>
      <w:r>
        <w:t xml:space="preserve"> defendant who was acting in person was absent.  Having heard the representation</w:t>
      </w:r>
      <w:r w:rsidR="00351DD3">
        <w:t>s</w:t>
      </w:r>
      <w:r>
        <w:t xml:space="preserve"> made by the plaintiff’s solicitor</w:t>
      </w:r>
      <w:r w:rsidR="007A76D4">
        <w:t xml:space="preserve"> </w:t>
      </w:r>
      <w:r w:rsidR="0051406A">
        <w:t>who attended</w:t>
      </w:r>
      <w:r w:rsidR="007A76D4">
        <w:t xml:space="preserve"> the hearing</w:t>
      </w:r>
      <w:r>
        <w:t xml:space="preserve">, Deputy Judge </w:t>
      </w:r>
      <w:r>
        <w:lastRenderedPageBreak/>
        <w:t xml:space="preserve">Yip ordered </w:t>
      </w:r>
      <w:r w:rsidR="00351DD3">
        <w:t>that</w:t>
      </w:r>
      <w:r>
        <w:t xml:space="preserve"> the </w:t>
      </w:r>
      <w:r w:rsidR="00E02FA4">
        <w:t>a</w:t>
      </w:r>
      <w:r>
        <w:t xml:space="preserve">ssessment of </w:t>
      </w:r>
      <w:r w:rsidR="00E02FA4">
        <w:t>d</w:t>
      </w:r>
      <w:r w:rsidR="00351DD3">
        <w:t>amages hearing would proceed</w:t>
      </w:r>
      <w:r>
        <w:t xml:space="preserve"> </w:t>
      </w:r>
      <w:r w:rsidR="00351DD3">
        <w:t>at</w:t>
      </w:r>
      <w:r>
        <w:t xml:space="preserve"> the or</w:t>
      </w:r>
      <w:r w:rsidR="00B6732B">
        <w:t>iginally scheduled date</w:t>
      </w:r>
      <w:r w:rsidR="00351DD3">
        <w:t>s</w:t>
      </w:r>
      <w:r w:rsidR="00B6732B">
        <w:t xml:space="preserve"> on 6 June 2017</w:t>
      </w:r>
      <w:r w:rsidR="007A76D4">
        <w:t>, still with an estimated length of 2 days</w:t>
      </w:r>
      <w:r w:rsidR="00B6732B">
        <w:t xml:space="preserve">.  Deputy Judge Yip also allowed the plaintiff </w:t>
      </w:r>
      <w:r w:rsidR="00351DD3">
        <w:t>an</w:t>
      </w:r>
      <w:r w:rsidR="00B6732B">
        <w:t xml:space="preserve"> extension of 14 days to serve the Chinese translation of the English documents contained in the assessment bundle.  The exte</w:t>
      </w:r>
      <w:r w:rsidR="00E02FA4">
        <w:t xml:space="preserve">nded deadline to serve such </w:t>
      </w:r>
      <w:r w:rsidR="00B6732B">
        <w:t>translated documents w</w:t>
      </w:r>
      <w:r w:rsidR="007A76D4">
        <w:t>ould</w:t>
      </w:r>
      <w:r w:rsidR="00B6732B">
        <w:t xml:space="preserve"> be on or before 20 April 2017.</w:t>
      </w:r>
      <w:r w:rsidR="008149D4">
        <w:t xml:space="preserve">  </w:t>
      </w:r>
      <w:r w:rsidR="0065132C">
        <w:t>Deputy Judge Yip also ordered that the plaintiff’s solicitors</w:t>
      </w:r>
      <w:r w:rsidR="008149D4">
        <w:t xml:space="preserve"> to </w:t>
      </w:r>
      <w:r w:rsidR="0065132C">
        <w:t>prepare the hearing bundle in accordance with practice direction</w:t>
      </w:r>
      <w:r w:rsidR="00E02FA4">
        <w:t>s</w:t>
      </w:r>
      <w:r w:rsidR="0065132C">
        <w:t xml:space="preserve"> 27 and 5.6 and have </w:t>
      </w:r>
      <w:r w:rsidR="001E62A4">
        <w:t>them</w:t>
      </w:r>
      <w:r w:rsidR="00E02FA4">
        <w:t xml:space="preserve"> </w:t>
      </w:r>
      <w:r w:rsidR="0065132C">
        <w:t>lodged with the court and serve</w:t>
      </w:r>
      <w:r w:rsidR="001E62A4">
        <w:t>d</w:t>
      </w:r>
      <w:r w:rsidR="0065132C">
        <w:t xml:space="preserve"> on the 1</w:t>
      </w:r>
      <w:r w:rsidR="0065132C" w:rsidRPr="008149D4">
        <w:rPr>
          <w:vertAlign w:val="superscript"/>
        </w:rPr>
        <w:t>st</w:t>
      </w:r>
      <w:r w:rsidR="0065132C">
        <w:t xml:space="preserve"> defendant on or before 2</w:t>
      </w:r>
      <w:r w:rsidR="007A76D4">
        <w:t>3</w:t>
      </w:r>
      <w:r w:rsidR="0065132C">
        <w:t xml:space="preserve"> May 2017.  Further, the plaintiff was ordered to </w:t>
      </w:r>
      <w:r w:rsidR="00E02FA4">
        <w:t>lodge</w:t>
      </w:r>
      <w:r w:rsidR="0065132C">
        <w:t xml:space="preserve"> it</w:t>
      </w:r>
      <w:r w:rsidR="004D3625">
        <w:t>s opening</w:t>
      </w:r>
      <w:r w:rsidR="0065132C">
        <w:t xml:space="preserve"> submission</w:t>
      </w:r>
      <w:r w:rsidR="004D3625">
        <w:t>, list of a</w:t>
      </w:r>
      <w:r w:rsidR="00E02FA4">
        <w:t>uthorities</w:t>
      </w:r>
      <w:r w:rsidR="004D3625">
        <w:t xml:space="preserve"> and cop</w:t>
      </w:r>
      <w:r w:rsidR="00D6430E">
        <w:t xml:space="preserve">ies </w:t>
      </w:r>
      <w:r w:rsidR="00E02FA4">
        <w:t>of the authorities</w:t>
      </w:r>
      <w:r w:rsidR="004D3625">
        <w:t xml:space="preserve"> (with Chinese translation of rel</w:t>
      </w:r>
      <w:r w:rsidR="001E62A4">
        <w:t>evant</w:t>
      </w:r>
      <w:r w:rsidR="00E02FA4">
        <w:t xml:space="preserve"> paragraphs in the authorities) </w:t>
      </w:r>
      <w:r w:rsidR="004D3625">
        <w:t>with the court and serve on the other side on or before 2</w:t>
      </w:r>
      <w:r w:rsidR="00D6430E">
        <w:t>3</w:t>
      </w:r>
      <w:r w:rsidR="004D3625">
        <w:t xml:space="preserve"> May 2017.  The 1</w:t>
      </w:r>
      <w:r w:rsidR="004D3625" w:rsidRPr="008149D4">
        <w:rPr>
          <w:vertAlign w:val="superscript"/>
        </w:rPr>
        <w:t>st</w:t>
      </w:r>
      <w:r w:rsidR="004D3625">
        <w:t xml:space="preserve"> defendant was ordered to </w:t>
      </w:r>
      <w:r w:rsidR="00E02FA4">
        <w:t xml:space="preserve">lodge </w:t>
      </w:r>
      <w:r w:rsidR="004D3625">
        <w:t>his opening submission, list of autho</w:t>
      </w:r>
      <w:r w:rsidR="00E02FA4">
        <w:t>rities and copy of the authorities</w:t>
      </w:r>
      <w:r w:rsidR="004D3625">
        <w:t xml:space="preserve"> with the court and </w:t>
      </w:r>
      <w:r w:rsidR="00E02FA4">
        <w:t xml:space="preserve">serve </w:t>
      </w:r>
      <w:r w:rsidR="004D3625">
        <w:t>on the other side on or before 30 May 2017.</w:t>
      </w:r>
    </w:p>
    <w:p w:rsidR="00AA2260" w:rsidRDefault="00AA2260" w:rsidP="00AA2260">
      <w:pPr>
        <w:tabs>
          <w:tab w:val="clear" w:pos="4320"/>
          <w:tab w:val="clear" w:pos="9072"/>
        </w:tabs>
        <w:snapToGrid/>
        <w:spacing w:line="360" w:lineRule="auto"/>
        <w:jc w:val="both"/>
      </w:pPr>
    </w:p>
    <w:p w:rsidR="00CE2E4C" w:rsidRDefault="004D3625" w:rsidP="004453DC">
      <w:pPr>
        <w:numPr>
          <w:ilvl w:val="0"/>
          <w:numId w:val="31"/>
        </w:numPr>
        <w:tabs>
          <w:tab w:val="clear" w:pos="4320"/>
          <w:tab w:val="clear" w:pos="9072"/>
        </w:tabs>
        <w:snapToGrid/>
        <w:spacing w:line="360" w:lineRule="auto"/>
        <w:ind w:left="0" w:firstLine="0"/>
        <w:jc w:val="both"/>
      </w:pPr>
      <w:r>
        <w:t xml:space="preserve">It is to be noted that </w:t>
      </w:r>
      <w:r w:rsidR="00E02FA4">
        <w:t>copies of the</w:t>
      </w:r>
      <w:r>
        <w:t xml:space="preserve"> </w:t>
      </w:r>
      <w:r w:rsidR="00E02FA4">
        <w:t>N</w:t>
      </w:r>
      <w:r>
        <w:t xml:space="preserve">otice of </w:t>
      </w:r>
      <w:r w:rsidR="00E02FA4">
        <w:t>T</w:t>
      </w:r>
      <w:r>
        <w:t>rial (</w:t>
      </w:r>
      <w:r w:rsidR="007A76D4">
        <w:rPr>
          <w:rFonts w:eastAsia="PMingLiU" w:hint="eastAsia"/>
          <w:lang w:eastAsia="zh-HK"/>
        </w:rPr>
        <w:t>「</w:t>
      </w:r>
      <w:r>
        <w:rPr>
          <w:rFonts w:eastAsia="PMingLiU" w:hint="eastAsia"/>
          <w:lang w:eastAsia="zh-HK"/>
        </w:rPr>
        <w:t>審訊通知書</w:t>
      </w:r>
      <w:r w:rsidR="007A76D4">
        <w:rPr>
          <w:rFonts w:eastAsia="PMingLiU" w:hint="eastAsia"/>
          <w:lang w:eastAsia="zh-HK"/>
        </w:rPr>
        <w:t>」</w:t>
      </w:r>
      <w:r>
        <w:t>) ha</w:t>
      </w:r>
      <w:r w:rsidR="00E02FA4">
        <w:t>ve</w:t>
      </w:r>
      <w:r>
        <w:t xml:space="preserve"> been </w:t>
      </w:r>
      <w:r w:rsidR="00E02FA4">
        <w:t>sent to</w:t>
      </w:r>
      <w:r>
        <w:t xml:space="preserve"> the plaintiff’s solicitors and the 1</w:t>
      </w:r>
      <w:r w:rsidRPr="004D3625">
        <w:rPr>
          <w:vertAlign w:val="superscript"/>
        </w:rPr>
        <w:t>st</w:t>
      </w:r>
      <w:r>
        <w:t xml:space="preserve"> defendant </w:t>
      </w:r>
      <w:r w:rsidR="001E62A4">
        <w:t xml:space="preserve">respectively </w:t>
      </w:r>
      <w:r>
        <w:t xml:space="preserve">by </w:t>
      </w:r>
      <w:r w:rsidR="00E02FA4">
        <w:t xml:space="preserve">the registry of the court </w:t>
      </w:r>
      <w:r>
        <w:t>on 22 February 2017.</w:t>
      </w:r>
    </w:p>
    <w:p w:rsidR="00AA2260" w:rsidRDefault="00AA2260" w:rsidP="00AA2260">
      <w:pPr>
        <w:tabs>
          <w:tab w:val="clear" w:pos="4320"/>
          <w:tab w:val="clear" w:pos="9072"/>
        </w:tabs>
        <w:snapToGrid/>
        <w:spacing w:line="360" w:lineRule="auto"/>
        <w:jc w:val="both"/>
      </w:pPr>
    </w:p>
    <w:p w:rsidR="002C154D" w:rsidRPr="002C154D" w:rsidRDefault="002C154D" w:rsidP="00AA2260">
      <w:pPr>
        <w:tabs>
          <w:tab w:val="clear" w:pos="4320"/>
          <w:tab w:val="clear" w:pos="9072"/>
        </w:tabs>
        <w:snapToGrid/>
        <w:spacing w:line="360" w:lineRule="auto"/>
        <w:jc w:val="both"/>
        <w:rPr>
          <w:i/>
        </w:rPr>
      </w:pPr>
      <w:r w:rsidRPr="002C154D">
        <w:rPr>
          <w:i/>
        </w:rPr>
        <w:t>DISCUSSSION</w:t>
      </w:r>
    </w:p>
    <w:p w:rsidR="002C154D" w:rsidRDefault="002C154D" w:rsidP="00AA2260">
      <w:pPr>
        <w:tabs>
          <w:tab w:val="clear" w:pos="4320"/>
          <w:tab w:val="clear" w:pos="9072"/>
        </w:tabs>
        <w:snapToGrid/>
        <w:spacing w:line="360" w:lineRule="auto"/>
        <w:jc w:val="both"/>
        <w:rPr>
          <w:i/>
        </w:rPr>
      </w:pPr>
    </w:p>
    <w:p w:rsidR="004D3625" w:rsidRPr="004D3625" w:rsidRDefault="005D3773" w:rsidP="00AA2260">
      <w:pPr>
        <w:tabs>
          <w:tab w:val="clear" w:pos="4320"/>
          <w:tab w:val="clear" w:pos="9072"/>
        </w:tabs>
        <w:snapToGrid/>
        <w:spacing w:line="360" w:lineRule="auto"/>
        <w:jc w:val="both"/>
        <w:rPr>
          <w:i/>
        </w:rPr>
      </w:pPr>
      <w:r>
        <w:rPr>
          <w:i/>
        </w:rPr>
        <w:t>Complete f</w:t>
      </w:r>
      <w:r w:rsidR="004D3625" w:rsidRPr="004D3625">
        <w:rPr>
          <w:i/>
        </w:rPr>
        <w:t>ailure to observe the court order</w:t>
      </w:r>
      <w:r w:rsidR="002C154D">
        <w:rPr>
          <w:i/>
        </w:rPr>
        <w:t>s</w:t>
      </w:r>
    </w:p>
    <w:p w:rsidR="004D3625" w:rsidRDefault="004D3625" w:rsidP="00AA2260">
      <w:pPr>
        <w:tabs>
          <w:tab w:val="clear" w:pos="4320"/>
          <w:tab w:val="clear" w:pos="9072"/>
        </w:tabs>
        <w:snapToGrid/>
        <w:spacing w:line="360" w:lineRule="auto"/>
        <w:jc w:val="both"/>
      </w:pPr>
    </w:p>
    <w:p w:rsidR="005D3773" w:rsidRDefault="004D3625" w:rsidP="004453DC">
      <w:pPr>
        <w:numPr>
          <w:ilvl w:val="0"/>
          <w:numId w:val="31"/>
        </w:numPr>
        <w:tabs>
          <w:tab w:val="clear" w:pos="4320"/>
          <w:tab w:val="clear" w:pos="9072"/>
        </w:tabs>
        <w:snapToGrid/>
        <w:spacing w:line="360" w:lineRule="auto"/>
        <w:ind w:left="0" w:firstLine="0"/>
        <w:jc w:val="both"/>
      </w:pPr>
      <w:r>
        <w:t>In br</w:t>
      </w:r>
      <w:r w:rsidR="005D3773">
        <w:t>each</w:t>
      </w:r>
      <w:r>
        <w:t xml:space="preserve"> of Deputy Judge Yip’s </w:t>
      </w:r>
      <w:r w:rsidR="005D3773">
        <w:t>O</w:t>
      </w:r>
      <w:r>
        <w:t xml:space="preserve">rder made at the PTR, the plaintiff’s solicitors </w:t>
      </w:r>
      <w:r w:rsidR="005D3773">
        <w:t xml:space="preserve">had </w:t>
      </w:r>
      <w:r>
        <w:t xml:space="preserve">failed to serve the Chinese translation of all the English documents contained in the </w:t>
      </w:r>
      <w:r w:rsidR="005D3773">
        <w:t>a</w:t>
      </w:r>
      <w:r>
        <w:t>ssessment bundle</w:t>
      </w:r>
      <w:r w:rsidR="005D3773">
        <w:t>s</w:t>
      </w:r>
      <w:r>
        <w:t xml:space="preserve"> on or before 20 April 2017.  </w:t>
      </w:r>
      <w:r w:rsidR="005D3773">
        <w:t>T</w:t>
      </w:r>
      <w:r>
        <w:t xml:space="preserve">he plaintiff’s solicitors </w:t>
      </w:r>
      <w:r w:rsidR="005D3773">
        <w:t xml:space="preserve">had also </w:t>
      </w:r>
      <w:r>
        <w:t xml:space="preserve">failed to prepare the </w:t>
      </w:r>
      <w:r w:rsidR="005D3773">
        <w:lastRenderedPageBreak/>
        <w:t>a</w:t>
      </w:r>
      <w:r>
        <w:t>ssessment bundle</w:t>
      </w:r>
      <w:r w:rsidR="005D3773">
        <w:t>s</w:t>
      </w:r>
      <w:r>
        <w:t xml:space="preserve"> and have </w:t>
      </w:r>
      <w:r w:rsidR="005D3773">
        <w:t xml:space="preserve">them </w:t>
      </w:r>
      <w:r>
        <w:t xml:space="preserve">lodged </w:t>
      </w:r>
      <w:r w:rsidR="005D3773">
        <w:t xml:space="preserve">with the </w:t>
      </w:r>
      <w:r>
        <w:t xml:space="preserve">court </w:t>
      </w:r>
      <w:r w:rsidR="005D3773">
        <w:t xml:space="preserve">and served on the other side </w:t>
      </w:r>
      <w:r>
        <w:t>on or before 2</w:t>
      </w:r>
      <w:r w:rsidR="00CB1636">
        <w:t>3</w:t>
      </w:r>
      <w:r w:rsidR="005D3773">
        <w:t xml:space="preserve"> May 2017</w:t>
      </w:r>
      <w:r>
        <w:t xml:space="preserve">.  </w:t>
      </w:r>
      <w:r w:rsidR="005D3773">
        <w:t>F</w:t>
      </w:r>
      <w:r>
        <w:t xml:space="preserve">urther, the plaintiff’s solicitors had failed to lodge and serve </w:t>
      </w:r>
      <w:r w:rsidR="005D3773">
        <w:t xml:space="preserve">the </w:t>
      </w:r>
      <w:r>
        <w:t xml:space="preserve">opening </w:t>
      </w:r>
      <w:r w:rsidR="005D3773">
        <w:t>submission and list of authorities</w:t>
      </w:r>
      <w:r>
        <w:t xml:space="preserve"> (with Chinese trans</w:t>
      </w:r>
      <w:r w:rsidR="00CB1636">
        <w:t>lation of the relevant excer</w:t>
      </w:r>
      <w:r w:rsidR="005D3773">
        <w:t xml:space="preserve">pts) on or before 23 May 2017. </w:t>
      </w:r>
    </w:p>
    <w:p w:rsidR="005D3773" w:rsidRDefault="005D3773" w:rsidP="005D3773">
      <w:pPr>
        <w:tabs>
          <w:tab w:val="clear" w:pos="4320"/>
          <w:tab w:val="clear" w:pos="9072"/>
        </w:tabs>
        <w:snapToGrid/>
        <w:spacing w:line="360" w:lineRule="auto"/>
        <w:jc w:val="both"/>
      </w:pPr>
    </w:p>
    <w:p w:rsidR="0002518C" w:rsidRDefault="00CB1636" w:rsidP="004453DC">
      <w:pPr>
        <w:numPr>
          <w:ilvl w:val="0"/>
          <w:numId w:val="31"/>
        </w:numPr>
        <w:tabs>
          <w:tab w:val="clear" w:pos="4320"/>
          <w:tab w:val="clear" w:pos="9072"/>
        </w:tabs>
        <w:snapToGrid/>
        <w:spacing w:line="360" w:lineRule="auto"/>
        <w:ind w:left="0" w:firstLine="0"/>
        <w:jc w:val="both"/>
      </w:pPr>
      <w:r>
        <w:t xml:space="preserve">It was not until the clerk of this court </w:t>
      </w:r>
      <w:r w:rsidR="005D3773">
        <w:t>asked</w:t>
      </w:r>
      <w:r>
        <w:t xml:space="preserve"> the plaintiff’s solicitors for the above documents on 1 June 2017 that the plaintiff’s solicitors seemed to </w:t>
      </w:r>
      <w:r w:rsidR="005D3773">
        <w:t xml:space="preserve">have </w:t>
      </w:r>
      <w:r w:rsidR="007B3C03">
        <w:t xml:space="preserve">suddenly </w:t>
      </w:r>
      <w:r>
        <w:t>woke</w:t>
      </w:r>
      <w:r w:rsidR="005D3773">
        <w:t>n</w:t>
      </w:r>
      <w:r>
        <w:t xml:space="preserve"> up to </w:t>
      </w:r>
      <w:r w:rsidR="001E62A4">
        <w:t>the fact that they had not comp</w:t>
      </w:r>
      <w:r>
        <w:t>l</w:t>
      </w:r>
      <w:r w:rsidR="001E62A4">
        <w:t>i</w:t>
      </w:r>
      <w:r>
        <w:t>ed with any of the above order</w:t>
      </w:r>
      <w:r w:rsidR="005D3773">
        <w:t>s</w:t>
      </w:r>
      <w:r>
        <w:t xml:space="preserve"> made by </w:t>
      </w:r>
      <w:r w:rsidR="005D3773">
        <w:t>Deputy</w:t>
      </w:r>
      <w:r>
        <w:t xml:space="preserve"> Judge Yip.</w:t>
      </w:r>
    </w:p>
    <w:p w:rsidR="00CE2E4C" w:rsidRDefault="00CE2E4C" w:rsidP="0002518C">
      <w:pPr>
        <w:tabs>
          <w:tab w:val="clear" w:pos="4320"/>
          <w:tab w:val="clear" w:pos="9072"/>
        </w:tabs>
        <w:snapToGrid/>
        <w:spacing w:line="360" w:lineRule="auto"/>
        <w:jc w:val="both"/>
      </w:pPr>
    </w:p>
    <w:p w:rsidR="005D3773" w:rsidRDefault="007B3C03" w:rsidP="0002518C">
      <w:pPr>
        <w:tabs>
          <w:tab w:val="clear" w:pos="4320"/>
          <w:tab w:val="clear" w:pos="9072"/>
        </w:tabs>
        <w:snapToGrid/>
        <w:spacing w:line="360" w:lineRule="auto"/>
        <w:jc w:val="both"/>
        <w:rPr>
          <w:i/>
        </w:rPr>
      </w:pPr>
      <w:r>
        <w:rPr>
          <w:i/>
        </w:rPr>
        <w:t>Req</w:t>
      </w:r>
      <w:r w:rsidR="004B5361">
        <w:rPr>
          <w:i/>
        </w:rPr>
        <w:t>u</w:t>
      </w:r>
      <w:r>
        <w:rPr>
          <w:i/>
        </w:rPr>
        <w:t>e</w:t>
      </w:r>
      <w:r w:rsidR="004B5361">
        <w:rPr>
          <w:i/>
        </w:rPr>
        <w:t>st</w:t>
      </w:r>
      <w:r w:rsidR="005D3773" w:rsidRPr="005D3773">
        <w:rPr>
          <w:i/>
        </w:rPr>
        <w:t xml:space="preserve"> to adjourn the hearing </w:t>
      </w:r>
    </w:p>
    <w:p w:rsidR="005D3773" w:rsidRPr="005D3773" w:rsidRDefault="005D3773" w:rsidP="0002518C">
      <w:pPr>
        <w:tabs>
          <w:tab w:val="clear" w:pos="4320"/>
          <w:tab w:val="clear" w:pos="9072"/>
        </w:tabs>
        <w:snapToGrid/>
        <w:spacing w:line="360" w:lineRule="auto"/>
        <w:jc w:val="both"/>
        <w:rPr>
          <w:i/>
        </w:rPr>
      </w:pPr>
    </w:p>
    <w:p w:rsidR="00CE2E4C" w:rsidRDefault="00C6132E" w:rsidP="004453DC">
      <w:pPr>
        <w:numPr>
          <w:ilvl w:val="0"/>
          <w:numId w:val="31"/>
        </w:numPr>
        <w:tabs>
          <w:tab w:val="clear" w:pos="4320"/>
          <w:tab w:val="clear" w:pos="9072"/>
        </w:tabs>
        <w:snapToGrid/>
        <w:spacing w:line="360" w:lineRule="auto"/>
        <w:ind w:left="0" w:firstLine="0"/>
        <w:jc w:val="both"/>
      </w:pPr>
      <w:r>
        <w:t xml:space="preserve">On </w:t>
      </w:r>
      <w:r w:rsidR="004B5361">
        <w:t xml:space="preserve">Friday, </w:t>
      </w:r>
      <w:r>
        <w:t>2 June 2017,</w:t>
      </w:r>
      <w:r w:rsidR="005D3773">
        <w:t xml:space="preserve"> </w:t>
      </w:r>
      <w:r>
        <w:t xml:space="preserve">the plaintiff’s solicitors wrote </w:t>
      </w:r>
      <w:r w:rsidR="005D3773">
        <w:t>to the court and purportedly tried</w:t>
      </w:r>
      <w:r>
        <w:t xml:space="preserve"> to explain that, due to their “oversight”</w:t>
      </w:r>
      <w:r w:rsidR="005D3773">
        <w:t>,</w:t>
      </w:r>
      <w:r w:rsidR="007B3C03">
        <w:t xml:space="preserve"> they were</w:t>
      </w:r>
      <w:r>
        <w:t xml:space="preserve"> not prepared for the assessment of damages </w:t>
      </w:r>
      <w:r w:rsidR="007A76D4">
        <w:t xml:space="preserve">hearing </w:t>
      </w:r>
      <w:r>
        <w:t>as the Chinese translation of the documents had not yet been prepared nor sent to the 1</w:t>
      </w:r>
      <w:r w:rsidRPr="00C6132E">
        <w:rPr>
          <w:vertAlign w:val="superscript"/>
        </w:rPr>
        <w:t>st</w:t>
      </w:r>
      <w:r>
        <w:t xml:space="preserve"> defendant.  They said that, at the time of writing the letter, they were still in the course of translating the same and could do so within the next 14 days (</w:t>
      </w:r>
      <w:proofErr w:type="spellStart"/>
      <w:r w:rsidR="007A76D4">
        <w:t>ie</w:t>
      </w:r>
      <w:proofErr w:type="spellEnd"/>
      <w:r w:rsidR="007A76D4">
        <w:t xml:space="preserve"> </w:t>
      </w:r>
      <w:r>
        <w:t xml:space="preserve">from 2 June 2017).  The plaintiff’s solicitors asked </w:t>
      </w:r>
      <w:r w:rsidR="001C301D">
        <w:t xml:space="preserve">the </w:t>
      </w:r>
      <w:r>
        <w:t>court to adjourn the asses</w:t>
      </w:r>
      <w:r w:rsidR="005D3773">
        <w:t>sment hearing to August 2017 in</w:t>
      </w:r>
      <w:r>
        <w:t xml:space="preserve"> order to allow them to have</w:t>
      </w:r>
      <w:r w:rsidR="004C5547">
        <w:t xml:space="preserve"> more time to finish the translation and sent to the 1</w:t>
      </w:r>
      <w:r w:rsidR="004C5547" w:rsidRPr="004C5547">
        <w:rPr>
          <w:vertAlign w:val="superscript"/>
        </w:rPr>
        <w:t>st</w:t>
      </w:r>
      <w:r w:rsidR="004C5547">
        <w:t xml:space="preserve"> defendant.</w:t>
      </w:r>
    </w:p>
    <w:p w:rsidR="004B5361" w:rsidRDefault="004B5361" w:rsidP="004B5361">
      <w:pPr>
        <w:tabs>
          <w:tab w:val="clear" w:pos="4320"/>
          <w:tab w:val="clear" w:pos="9072"/>
        </w:tabs>
        <w:snapToGrid/>
        <w:spacing w:line="360" w:lineRule="auto"/>
        <w:jc w:val="both"/>
      </w:pPr>
    </w:p>
    <w:p w:rsidR="004B5361" w:rsidRDefault="004B5361" w:rsidP="004453DC">
      <w:pPr>
        <w:numPr>
          <w:ilvl w:val="0"/>
          <w:numId w:val="31"/>
        </w:numPr>
        <w:tabs>
          <w:tab w:val="clear" w:pos="4320"/>
          <w:tab w:val="clear" w:pos="9072"/>
        </w:tabs>
        <w:snapToGrid/>
        <w:spacing w:line="360" w:lineRule="auto"/>
        <w:ind w:left="0" w:firstLine="0"/>
        <w:jc w:val="both"/>
      </w:pPr>
      <w:r>
        <w:t xml:space="preserve">On Monday, 5 June 2017, this court gave the following written directions to the plaintiff’s </w:t>
      </w:r>
      <w:proofErr w:type="gramStart"/>
      <w:r>
        <w:t>solicitors:-</w:t>
      </w:r>
      <w:proofErr w:type="gramEnd"/>
    </w:p>
    <w:p w:rsidR="004B5361" w:rsidRDefault="004B5361" w:rsidP="004B5361">
      <w:pPr>
        <w:pStyle w:val="ListParagraph"/>
      </w:pPr>
    </w:p>
    <w:p w:rsidR="009A0AE2" w:rsidRPr="007A76D4" w:rsidRDefault="009A0AE2" w:rsidP="007A76D4">
      <w:pPr>
        <w:ind w:left="1440" w:right="749"/>
        <w:jc w:val="both"/>
        <w:rPr>
          <w:sz w:val="24"/>
          <w:szCs w:val="24"/>
        </w:rPr>
      </w:pPr>
      <w:r w:rsidRPr="007A76D4">
        <w:rPr>
          <w:rFonts w:eastAsia="PMingLiU"/>
          <w:sz w:val="24"/>
          <w:szCs w:val="24"/>
          <w:lang w:eastAsia="zh-TW"/>
        </w:rPr>
        <w:t>“</w:t>
      </w:r>
      <w:r w:rsidRPr="007A76D4">
        <w:rPr>
          <w:sz w:val="24"/>
          <w:szCs w:val="24"/>
        </w:rPr>
        <w:t xml:space="preserve">The trial dates fixed for the Assessment of Damages on 6 June 2017 (with 7 June 2017 reserved) are “milestone dates” under Order 25, Rule 3 of the Rules of the District Court, Cap.336H. They cannot be varied unless there are exceptional </w:t>
      </w:r>
      <w:r w:rsidRPr="007A76D4">
        <w:rPr>
          <w:sz w:val="24"/>
          <w:szCs w:val="24"/>
        </w:rPr>
        <w:lastRenderedPageBreak/>
        <w:t xml:space="preserve">circumstances. Oversight or failure to prepare the case properly for the assessment by the plaintiff’s legal representatives are not “exceptional circumstances”: see 25/1B/1 of </w:t>
      </w:r>
      <w:r w:rsidRPr="007A76D4">
        <w:rPr>
          <w:i/>
          <w:sz w:val="24"/>
          <w:szCs w:val="24"/>
        </w:rPr>
        <w:t>Hong Kong Civil Procedure 2017</w:t>
      </w:r>
      <w:r w:rsidRPr="007A76D4">
        <w:rPr>
          <w:sz w:val="24"/>
          <w:szCs w:val="24"/>
        </w:rPr>
        <w:t>.</w:t>
      </w:r>
    </w:p>
    <w:p w:rsidR="009A0AE2" w:rsidRPr="007A76D4" w:rsidRDefault="009A0AE2" w:rsidP="007A76D4">
      <w:pPr>
        <w:ind w:left="1440" w:right="749"/>
        <w:jc w:val="both"/>
        <w:rPr>
          <w:sz w:val="24"/>
          <w:szCs w:val="24"/>
        </w:rPr>
      </w:pPr>
    </w:p>
    <w:p w:rsidR="004B5361" w:rsidRPr="007A76D4" w:rsidRDefault="009A0AE2" w:rsidP="007A76D4">
      <w:pPr>
        <w:ind w:left="1440" w:right="749"/>
        <w:jc w:val="both"/>
        <w:rPr>
          <w:sz w:val="24"/>
          <w:szCs w:val="24"/>
        </w:rPr>
      </w:pPr>
      <w:r w:rsidRPr="007A76D4">
        <w:rPr>
          <w:sz w:val="24"/>
          <w:szCs w:val="24"/>
        </w:rPr>
        <w:t>Hence, the plaintiff’s application to adjourn the assessment hearing is hereby refused. The assessment hearing will proceed as scheduled.</w:t>
      </w:r>
      <w:r w:rsidRPr="007A76D4">
        <w:rPr>
          <w:rFonts w:eastAsia="PMingLiU"/>
          <w:sz w:val="24"/>
          <w:szCs w:val="24"/>
          <w:lang w:eastAsia="zh-TW"/>
        </w:rPr>
        <w:t>”</w:t>
      </w:r>
    </w:p>
    <w:p w:rsidR="00DD2B12" w:rsidRPr="004B5361" w:rsidRDefault="00DD2B12" w:rsidP="00DD2B12">
      <w:pPr>
        <w:tabs>
          <w:tab w:val="clear" w:pos="4320"/>
          <w:tab w:val="clear" w:pos="9072"/>
        </w:tabs>
        <w:snapToGrid/>
        <w:spacing w:line="360" w:lineRule="auto"/>
        <w:jc w:val="both"/>
        <w:rPr>
          <w:b/>
          <w:i/>
        </w:rPr>
      </w:pPr>
    </w:p>
    <w:p w:rsidR="004C5547" w:rsidRPr="004C5547" w:rsidRDefault="004C5547" w:rsidP="00DD2B12">
      <w:pPr>
        <w:tabs>
          <w:tab w:val="clear" w:pos="4320"/>
          <w:tab w:val="clear" w:pos="9072"/>
        </w:tabs>
        <w:snapToGrid/>
        <w:spacing w:line="360" w:lineRule="auto"/>
        <w:jc w:val="both"/>
        <w:rPr>
          <w:i/>
        </w:rPr>
      </w:pPr>
      <w:r w:rsidRPr="004C5547">
        <w:rPr>
          <w:i/>
        </w:rPr>
        <w:t>Milestone dates</w:t>
      </w:r>
    </w:p>
    <w:p w:rsidR="004C5547" w:rsidRDefault="004C5547" w:rsidP="00DD2B12">
      <w:pPr>
        <w:tabs>
          <w:tab w:val="clear" w:pos="4320"/>
          <w:tab w:val="clear" w:pos="9072"/>
        </w:tabs>
        <w:snapToGrid/>
        <w:spacing w:line="360" w:lineRule="auto"/>
        <w:jc w:val="both"/>
      </w:pPr>
    </w:p>
    <w:p w:rsidR="00CE2E4C" w:rsidRDefault="004C5547" w:rsidP="004453DC">
      <w:pPr>
        <w:numPr>
          <w:ilvl w:val="0"/>
          <w:numId w:val="31"/>
        </w:numPr>
        <w:tabs>
          <w:tab w:val="clear" w:pos="4320"/>
          <w:tab w:val="clear" w:pos="9072"/>
        </w:tabs>
        <w:snapToGrid/>
        <w:spacing w:line="360" w:lineRule="auto"/>
        <w:ind w:left="0" w:firstLine="0"/>
        <w:jc w:val="both"/>
      </w:pPr>
      <w:r>
        <w:t xml:space="preserve">Under </w:t>
      </w:r>
      <w:r w:rsidR="005D3773">
        <w:t>O</w:t>
      </w:r>
      <w:r>
        <w:t xml:space="preserve">rder 25 rule 3 of the Rules of </w:t>
      </w:r>
      <w:r w:rsidR="005D3773">
        <w:t xml:space="preserve">the </w:t>
      </w:r>
      <w:r>
        <w:t>District Court</w:t>
      </w:r>
      <w:r w:rsidR="005D3773">
        <w:t xml:space="preserve"> (“RDC”)</w:t>
      </w:r>
      <w:r>
        <w:t xml:space="preserve">, </w:t>
      </w:r>
      <w:r w:rsidR="005D3773">
        <w:t xml:space="preserve">which is equivalent to Order 25, rule 1B of the Rules of the High Court, </w:t>
      </w:r>
      <w:r w:rsidR="00A82100">
        <w:t>a</w:t>
      </w:r>
      <w:r>
        <w:t xml:space="preserve"> party may apply to the court if </w:t>
      </w:r>
      <w:r w:rsidR="001C301D">
        <w:t>he</w:t>
      </w:r>
      <w:r w:rsidR="00A82100">
        <w:t xml:space="preserve"> wishes to vary</w:t>
      </w:r>
      <w:r>
        <w:t xml:space="preserve"> a milestone date</w:t>
      </w:r>
      <w:r w:rsidR="00CE2E4C">
        <w:t>.</w:t>
      </w:r>
      <w:r>
        <w:t xml:space="preserve">  However, the court shall not grant </w:t>
      </w:r>
      <w:r w:rsidR="001C301D">
        <w:t xml:space="preserve">an </w:t>
      </w:r>
      <w:r>
        <w:t>application under this rule unless the</w:t>
      </w:r>
      <w:r w:rsidR="00A82100">
        <w:t>re</w:t>
      </w:r>
      <w:r>
        <w:t xml:space="preserve"> </w:t>
      </w:r>
      <w:r w:rsidR="00A82100">
        <w:t xml:space="preserve">are </w:t>
      </w:r>
      <w:r w:rsidR="006458E3">
        <w:t xml:space="preserve">exceptional </w:t>
      </w:r>
      <w:r>
        <w:t>circumstances justify</w:t>
      </w:r>
      <w:r w:rsidR="00A82100">
        <w:t>ing</w:t>
      </w:r>
      <w:r>
        <w:t xml:space="preserve"> the </w:t>
      </w:r>
      <w:r w:rsidR="00A82100">
        <w:t>variation</w:t>
      </w:r>
      <w:r>
        <w:t xml:space="preserve">.  Under </w:t>
      </w:r>
      <w:r w:rsidR="00A82100">
        <w:t>sub-rule</w:t>
      </w:r>
      <w:r>
        <w:t xml:space="preserve"> (8)</w:t>
      </w:r>
      <w:r w:rsidR="00A82100">
        <w:t>, “</w:t>
      </w:r>
      <w:r>
        <w:t>milestone date</w:t>
      </w:r>
      <w:r w:rsidR="00A82100">
        <w:t>”</w:t>
      </w:r>
      <w:r>
        <w:t xml:space="preserve"> include </w:t>
      </w:r>
      <w:r w:rsidR="00A82100">
        <w:t>a</w:t>
      </w:r>
      <w:r>
        <w:t xml:space="preserve"> date which the court has fixed for (</w:t>
      </w:r>
      <w:proofErr w:type="spellStart"/>
      <w:r w:rsidR="00A82100">
        <w:t>i</w:t>
      </w:r>
      <w:proofErr w:type="spellEnd"/>
      <w:r>
        <w:t>) a case management conference; (</w:t>
      </w:r>
      <w:r w:rsidR="00A82100">
        <w:t>ii</w:t>
      </w:r>
      <w:r>
        <w:t>) pre-trial review; or (</w:t>
      </w:r>
      <w:r w:rsidR="00A82100">
        <w:t>iii</w:t>
      </w:r>
      <w:r>
        <w:t>) the trial.  In this cont</w:t>
      </w:r>
      <w:r w:rsidR="00A82100">
        <w:t>ex</w:t>
      </w:r>
      <w:r>
        <w:t xml:space="preserve">t, the </w:t>
      </w:r>
      <w:r w:rsidR="00A82100">
        <w:t>“</w:t>
      </w:r>
      <w:r>
        <w:t>trial</w:t>
      </w:r>
      <w:r w:rsidR="00A82100">
        <w:t>” would have</w:t>
      </w:r>
      <w:r>
        <w:t xml:space="preserve"> included the </w:t>
      </w:r>
      <w:r w:rsidR="00A82100">
        <w:t>a</w:t>
      </w:r>
      <w:r>
        <w:t xml:space="preserve">ssessment of </w:t>
      </w:r>
      <w:r w:rsidR="00A82100">
        <w:t>d</w:t>
      </w:r>
      <w:r>
        <w:t>amages hearing.</w:t>
      </w:r>
    </w:p>
    <w:p w:rsidR="00DD2B12" w:rsidRDefault="00DD2B12" w:rsidP="00DD2B12">
      <w:pPr>
        <w:tabs>
          <w:tab w:val="clear" w:pos="4320"/>
          <w:tab w:val="clear" w:pos="9072"/>
        </w:tabs>
        <w:snapToGrid/>
        <w:spacing w:line="360" w:lineRule="auto"/>
        <w:jc w:val="both"/>
      </w:pPr>
    </w:p>
    <w:p w:rsidR="00CE2E4C" w:rsidRDefault="00FA585C" w:rsidP="004453DC">
      <w:pPr>
        <w:numPr>
          <w:ilvl w:val="0"/>
          <w:numId w:val="31"/>
        </w:numPr>
        <w:tabs>
          <w:tab w:val="clear" w:pos="4320"/>
          <w:tab w:val="clear" w:pos="9072"/>
        </w:tabs>
        <w:snapToGrid/>
        <w:spacing w:line="360" w:lineRule="auto"/>
        <w:ind w:left="0" w:firstLine="0"/>
        <w:jc w:val="both"/>
      </w:pPr>
      <w:r>
        <w:t xml:space="preserve">According to </w:t>
      </w:r>
      <w:r w:rsidR="00A82100">
        <w:t xml:space="preserve">para </w:t>
      </w:r>
      <w:r>
        <w:t>25/1</w:t>
      </w:r>
      <w:r w:rsidR="001C301D">
        <w:t>B</w:t>
      </w:r>
      <w:r>
        <w:t>/1 of the Hong Kong Civil Procedure 2017</w:t>
      </w:r>
      <w:r w:rsidR="00A82100">
        <w:t>,</w:t>
      </w:r>
      <w:r>
        <w:t xml:space="preserve"> the CMC, PTR and most importantly, the trial date, are “</w:t>
      </w:r>
      <w:r w:rsidR="00A82100">
        <w:t>m</w:t>
      </w:r>
      <w:r>
        <w:t>ilestone dates”</w:t>
      </w:r>
      <w:r w:rsidR="00414DE6">
        <w:t xml:space="preserve">. </w:t>
      </w:r>
      <w:r>
        <w:t xml:space="preserve"> </w:t>
      </w:r>
      <w:r w:rsidR="00414DE6">
        <w:t>I</w:t>
      </w:r>
      <w:r>
        <w:t xml:space="preserve">t has been </w:t>
      </w:r>
      <w:r w:rsidR="006458E3">
        <w:t>said that these dates cannot be varied by agreement and a party who wishes to var</w:t>
      </w:r>
      <w:r w:rsidR="00A82100">
        <w:t>y any of t</w:t>
      </w:r>
      <w:r w:rsidR="006458E3">
        <w:t>he milestone dates must apply the court showing that “exceptional circumstances” apply.  It has been said that late instruction</w:t>
      </w:r>
      <w:r w:rsidR="00A82100">
        <w:t>s</w:t>
      </w:r>
      <w:r w:rsidR="006458E3">
        <w:t xml:space="preserve"> </w:t>
      </w:r>
      <w:r w:rsidR="00A82100">
        <w:t>from clients,</w:t>
      </w:r>
      <w:r w:rsidR="006458E3">
        <w:t xml:space="preserve"> a change </w:t>
      </w:r>
      <w:r w:rsidR="00A82100">
        <w:t>in</w:t>
      </w:r>
      <w:r w:rsidR="006458E3">
        <w:t xml:space="preserve"> </w:t>
      </w:r>
      <w:r w:rsidR="00A82100">
        <w:t xml:space="preserve">the </w:t>
      </w:r>
      <w:r w:rsidR="006458E3">
        <w:t>team of lawyers and the absen</w:t>
      </w:r>
      <w:r w:rsidR="00A82100">
        <w:t>ce</w:t>
      </w:r>
      <w:r w:rsidR="006458E3">
        <w:t xml:space="preserve"> of p</w:t>
      </w:r>
      <w:r w:rsidR="00A82100">
        <w:t>rejudice</w:t>
      </w:r>
      <w:r w:rsidR="006458E3">
        <w:t xml:space="preserve"> </w:t>
      </w:r>
      <w:r w:rsidR="00A82100">
        <w:t xml:space="preserve">to the </w:t>
      </w:r>
      <w:r w:rsidR="006458E3">
        <w:t xml:space="preserve">other party which cannot be compensated for by costs, will not be treated as exceptional circumstances.  Further, </w:t>
      </w:r>
      <w:r w:rsidR="00A82100">
        <w:t xml:space="preserve">it is stated </w:t>
      </w:r>
      <w:r w:rsidR="006458E3">
        <w:t xml:space="preserve">that the court will not be pre-disposed to delaying the trial and </w:t>
      </w:r>
      <w:r w:rsidR="00A82100">
        <w:t>very</w:t>
      </w:r>
      <w:r w:rsidR="006458E3">
        <w:t xml:space="preserve"> cogent arguments and the reasons will be required in order to achieve any </w:t>
      </w:r>
      <w:r w:rsidR="001C301D">
        <w:t>variation</w:t>
      </w:r>
      <w:r w:rsidR="006458E3">
        <w:t>.</w:t>
      </w:r>
    </w:p>
    <w:p w:rsidR="00DD2B12" w:rsidRDefault="00DD2B12" w:rsidP="00DD2B12">
      <w:pPr>
        <w:tabs>
          <w:tab w:val="clear" w:pos="4320"/>
          <w:tab w:val="clear" w:pos="9072"/>
        </w:tabs>
        <w:snapToGrid/>
        <w:spacing w:line="360" w:lineRule="auto"/>
        <w:jc w:val="both"/>
      </w:pPr>
    </w:p>
    <w:p w:rsidR="00366B21" w:rsidRDefault="006458E3" w:rsidP="004453DC">
      <w:pPr>
        <w:numPr>
          <w:ilvl w:val="0"/>
          <w:numId w:val="31"/>
        </w:numPr>
        <w:tabs>
          <w:tab w:val="clear" w:pos="4320"/>
          <w:tab w:val="clear" w:pos="9072"/>
        </w:tabs>
        <w:snapToGrid/>
        <w:spacing w:line="360" w:lineRule="auto"/>
        <w:ind w:left="0" w:firstLine="0"/>
        <w:jc w:val="both"/>
      </w:pPr>
      <w:r>
        <w:lastRenderedPageBreak/>
        <w:t xml:space="preserve">In this case, </w:t>
      </w:r>
      <w:r w:rsidR="00366B21">
        <w:t xml:space="preserve">I note that this </w:t>
      </w:r>
      <w:r>
        <w:t>was not the first time that the plaintiff</w:t>
      </w:r>
      <w:r w:rsidR="007B3C03">
        <w:t xml:space="preserve">’s solicitors </w:t>
      </w:r>
      <w:r>
        <w:t>ha</w:t>
      </w:r>
      <w:r w:rsidR="007B3C03">
        <w:t>ve</w:t>
      </w:r>
      <w:r>
        <w:t xml:space="preserve"> failed to observe the </w:t>
      </w:r>
      <w:r w:rsidR="0065647C">
        <w:t>“</w:t>
      </w:r>
      <w:r>
        <w:t>mi</w:t>
      </w:r>
      <w:r w:rsidR="00366B21">
        <w:t>lestone dates</w:t>
      </w:r>
      <w:r w:rsidR="0065647C">
        <w:t>”</w:t>
      </w:r>
      <w:r w:rsidR="00366B21">
        <w:t xml:space="preserve">.  </w:t>
      </w:r>
    </w:p>
    <w:p w:rsidR="00366B21" w:rsidRDefault="00366B21" w:rsidP="00366B21">
      <w:pPr>
        <w:pStyle w:val="ListParagraph"/>
      </w:pPr>
    </w:p>
    <w:p w:rsidR="008036AF" w:rsidRDefault="00366B21" w:rsidP="004453DC">
      <w:pPr>
        <w:numPr>
          <w:ilvl w:val="0"/>
          <w:numId w:val="31"/>
        </w:numPr>
        <w:tabs>
          <w:tab w:val="clear" w:pos="4320"/>
          <w:tab w:val="clear" w:pos="9072"/>
        </w:tabs>
        <w:snapToGrid/>
        <w:spacing w:line="360" w:lineRule="auto"/>
        <w:ind w:left="0" w:firstLine="0"/>
        <w:jc w:val="both"/>
      </w:pPr>
      <w:r>
        <w:t xml:space="preserve">On 5 November 2014, the plaintiff’s solicitors had failed to attend the CLR hearing scheduled before Master M Lam.  In a letter dated 11 November 2014 to the court, the plaintiff’s solicitors explained that </w:t>
      </w:r>
      <w:r w:rsidR="008036AF">
        <w:t>the non-attendance was due to the fact that the solicitor who had attended the previous CLR hearing on 14 August 2014 had failed to inform them about the adjourned CLR hearing.  The solicitor had since resigned from the firm without informing them of the new hearing date.  They apologized for the “oversight” on their part on that occasion.</w:t>
      </w:r>
    </w:p>
    <w:p w:rsidR="008036AF" w:rsidRDefault="008036AF" w:rsidP="008036AF"/>
    <w:p w:rsidR="00366B21" w:rsidRDefault="00366B21" w:rsidP="008036AF">
      <w:pPr>
        <w:numPr>
          <w:ilvl w:val="0"/>
          <w:numId w:val="31"/>
        </w:numPr>
        <w:tabs>
          <w:tab w:val="clear" w:pos="4320"/>
          <w:tab w:val="clear" w:pos="9072"/>
        </w:tabs>
        <w:snapToGrid/>
        <w:spacing w:line="360" w:lineRule="auto"/>
        <w:ind w:left="0" w:firstLine="0"/>
        <w:jc w:val="both"/>
      </w:pPr>
      <w:r>
        <w:t>On 27 April 2015</w:t>
      </w:r>
      <w:r w:rsidR="006458E3">
        <w:t>, the plaintiff’s solicitors had fai</w:t>
      </w:r>
      <w:r>
        <w:t>led to turn up at the CLR</w:t>
      </w:r>
      <w:r w:rsidR="001C301D">
        <w:t xml:space="preserve"> </w:t>
      </w:r>
      <w:r w:rsidR="006458E3">
        <w:t xml:space="preserve">hearing before Master J Chow.  On that occasion, </w:t>
      </w:r>
      <w:r>
        <w:t>the master</w:t>
      </w:r>
      <w:r w:rsidR="006458E3">
        <w:t xml:space="preserve"> </w:t>
      </w:r>
      <w:r>
        <w:t xml:space="preserve">adjourned the CMC for 3 months and </w:t>
      </w:r>
      <w:r w:rsidR="006458E3">
        <w:t>gave an order that the plaintiff’s solicitors were to explain their absence within 3 days</w:t>
      </w:r>
      <w:r w:rsidR="0065647C">
        <w:t>.  S</w:t>
      </w:r>
      <w:r>
        <w:t>he also issued a written warning</w:t>
      </w:r>
      <w:r w:rsidR="007A76D4">
        <w:t xml:space="preserve"> </w:t>
      </w:r>
      <w:r w:rsidR="006458E3">
        <w:t xml:space="preserve">that </w:t>
      </w:r>
      <w:r>
        <w:t xml:space="preserve">if </w:t>
      </w:r>
      <w:r w:rsidR="006458E3">
        <w:t xml:space="preserve">they fail to appear </w:t>
      </w:r>
      <w:r w:rsidR="00A909D6">
        <w:t xml:space="preserve">at the </w:t>
      </w:r>
      <w:r>
        <w:t>CMC</w:t>
      </w:r>
      <w:r w:rsidR="00A909D6">
        <w:t xml:space="preserve"> hearing, the claim will be provision</w:t>
      </w:r>
      <w:r>
        <w:t>ally</w:t>
      </w:r>
      <w:r w:rsidR="00A909D6">
        <w:t xml:space="preserve"> struck out without further notice pursuant to </w:t>
      </w:r>
      <w:r w:rsidR="007A76D4">
        <w:t>Order 25, rule 4</w:t>
      </w:r>
      <w:r w:rsidR="00A909D6">
        <w:t xml:space="preserve"> of the RDC.  The </w:t>
      </w:r>
      <w:r>
        <w:t xml:space="preserve">plaintiff’s </w:t>
      </w:r>
      <w:r w:rsidR="00A909D6">
        <w:t>solicitor</w:t>
      </w:r>
      <w:r>
        <w:t>s</w:t>
      </w:r>
      <w:r w:rsidR="00A909D6">
        <w:t xml:space="preserve"> w</w:t>
      </w:r>
      <w:r>
        <w:t>ere</w:t>
      </w:r>
      <w:r w:rsidR="00A909D6">
        <w:t xml:space="preserve"> reminded that the court shall not grant an ap</w:t>
      </w:r>
      <w:r w:rsidR="001C301D">
        <w:t>plication to vary</w:t>
      </w:r>
      <w:r w:rsidR="00A909D6">
        <w:t xml:space="preserve"> such milestone dates unless the</w:t>
      </w:r>
      <w:r>
        <w:t>re</w:t>
      </w:r>
      <w:r w:rsidR="00A909D6">
        <w:t xml:space="preserve"> are exceptional circumstances pursuant to </w:t>
      </w:r>
      <w:r w:rsidR="007A76D4">
        <w:t>Order 25, rule 3</w:t>
      </w:r>
      <w:r w:rsidR="00A909D6">
        <w:t xml:space="preserve">.  </w:t>
      </w:r>
    </w:p>
    <w:p w:rsidR="008036AF" w:rsidRDefault="008036AF" w:rsidP="008036AF">
      <w:pPr>
        <w:pStyle w:val="ListParagraph"/>
      </w:pPr>
    </w:p>
    <w:p w:rsidR="008036AF" w:rsidRDefault="008036AF" w:rsidP="008036AF">
      <w:pPr>
        <w:numPr>
          <w:ilvl w:val="0"/>
          <w:numId w:val="31"/>
        </w:numPr>
        <w:tabs>
          <w:tab w:val="clear" w:pos="4320"/>
          <w:tab w:val="clear" w:pos="9072"/>
        </w:tabs>
        <w:snapToGrid/>
        <w:spacing w:line="360" w:lineRule="auto"/>
        <w:ind w:left="0" w:firstLine="0"/>
        <w:jc w:val="both"/>
      </w:pPr>
      <w:r>
        <w:t xml:space="preserve">On that occasion, the plaintiff’s solicitors wrote to the court on 27 April 2015 explaining that their non-attendance was due to an omission by the plaintiff’s trainee solicitor who </w:t>
      </w:r>
      <w:r w:rsidR="007A76D4">
        <w:t xml:space="preserve">had </w:t>
      </w:r>
      <w:r>
        <w:t>attended the hearing to make the necessary entry to the principal’s diary for attending the hearing.</w:t>
      </w:r>
    </w:p>
    <w:p w:rsidR="00366B21" w:rsidRDefault="00366B21" w:rsidP="00366B21">
      <w:pPr>
        <w:pStyle w:val="ListParagraph"/>
      </w:pPr>
    </w:p>
    <w:p w:rsidR="00DD2B12" w:rsidRDefault="008036AF" w:rsidP="00DD2B12">
      <w:pPr>
        <w:tabs>
          <w:tab w:val="clear" w:pos="4320"/>
          <w:tab w:val="clear" w:pos="9072"/>
        </w:tabs>
        <w:snapToGrid/>
        <w:spacing w:line="360" w:lineRule="auto"/>
        <w:jc w:val="both"/>
        <w:rPr>
          <w:i/>
        </w:rPr>
      </w:pPr>
      <w:r w:rsidRPr="0042107D">
        <w:rPr>
          <w:i/>
        </w:rPr>
        <w:t xml:space="preserve">The plaintiff’s </w:t>
      </w:r>
      <w:r w:rsidR="0042107D" w:rsidRPr="0042107D">
        <w:rPr>
          <w:i/>
        </w:rPr>
        <w:t xml:space="preserve">failure to prepare for the </w:t>
      </w:r>
      <w:r w:rsidR="007B3C03" w:rsidRPr="0042107D">
        <w:rPr>
          <w:i/>
        </w:rPr>
        <w:t>asses</w:t>
      </w:r>
      <w:r w:rsidR="007B3C03">
        <w:rPr>
          <w:i/>
        </w:rPr>
        <w:t>s</w:t>
      </w:r>
      <w:r w:rsidR="007B3C03" w:rsidRPr="0042107D">
        <w:rPr>
          <w:i/>
        </w:rPr>
        <w:t>ment</w:t>
      </w:r>
    </w:p>
    <w:p w:rsidR="007B3C03" w:rsidRPr="0042107D" w:rsidRDefault="007B3C03" w:rsidP="00DD2B12">
      <w:pPr>
        <w:tabs>
          <w:tab w:val="clear" w:pos="4320"/>
          <w:tab w:val="clear" w:pos="9072"/>
        </w:tabs>
        <w:snapToGrid/>
        <w:spacing w:line="360" w:lineRule="auto"/>
        <w:jc w:val="both"/>
        <w:rPr>
          <w:i/>
        </w:rPr>
      </w:pPr>
    </w:p>
    <w:p w:rsidR="00865A31" w:rsidRDefault="006476DA" w:rsidP="004453DC">
      <w:pPr>
        <w:numPr>
          <w:ilvl w:val="0"/>
          <w:numId w:val="31"/>
        </w:numPr>
        <w:tabs>
          <w:tab w:val="clear" w:pos="4320"/>
          <w:tab w:val="clear" w:pos="9072"/>
        </w:tabs>
        <w:snapToGrid/>
        <w:spacing w:line="360" w:lineRule="auto"/>
        <w:ind w:left="0" w:firstLine="0"/>
        <w:jc w:val="both"/>
      </w:pPr>
      <w:r>
        <w:t>As appear</w:t>
      </w:r>
      <w:r w:rsidR="008036AF">
        <w:t>s</w:t>
      </w:r>
      <w:r>
        <w:t xml:space="preserve"> from the history of this case, </w:t>
      </w:r>
      <w:r w:rsidR="008036AF">
        <w:t xml:space="preserve">since the hearing date was fixed at the CLR hearing before Master Rita So on 5 December 2016, </w:t>
      </w:r>
      <w:r>
        <w:t xml:space="preserve">the plaintiff’s solicitors were well aware </w:t>
      </w:r>
      <w:r w:rsidR="008036AF">
        <w:t xml:space="preserve">of </w:t>
      </w:r>
      <w:r>
        <w:t xml:space="preserve">the </w:t>
      </w:r>
      <w:r w:rsidR="007B3C03">
        <w:t xml:space="preserve">fact that the </w:t>
      </w:r>
      <w:r w:rsidR="008036AF">
        <w:t>a</w:t>
      </w:r>
      <w:r>
        <w:t xml:space="preserve">ssessment of </w:t>
      </w:r>
      <w:r w:rsidR="008036AF">
        <w:t>d</w:t>
      </w:r>
      <w:r>
        <w:t xml:space="preserve">amages </w:t>
      </w:r>
      <w:r w:rsidR="008036AF">
        <w:t>would</w:t>
      </w:r>
      <w:r>
        <w:t xml:space="preserve"> take place on 6 June 2017</w:t>
      </w:r>
      <w:r w:rsidR="008036AF">
        <w:t xml:space="preserve">.  In other words, they had </w:t>
      </w:r>
      <w:r w:rsidR="007B3C03">
        <w:t xml:space="preserve">had </w:t>
      </w:r>
      <w:r w:rsidR="008036AF">
        <w:t>more than 6 months to prepare the documents for the hearing.</w:t>
      </w:r>
      <w:r>
        <w:t xml:space="preserve"> </w:t>
      </w:r>
      <w:r w:rsidR="008036AF">
        <w:t xml:space="preserve"> </w:t>
      </w:r>
    </w:p>
    <w:p w:rsidR="00865A31" w:rsidRDefault="00865A31" w:rsidP="00865A31">
      <w:pPr>
        <w:tabs>
          <w:tab w:val="clear" w:pos="4320"/>
          <w:tab w:val="clear" w:pos="9072"/>
        </w:tabs>
        <w:snapToGrid/>
        <w:spacing w:line="360" w:lineRule="auto"/>
        <w:jc w:val="both"/>
      </w:pPr>
    </w:p>
    <w:p w:rsidR="00865A31" w:rsidRDefault="00865A31" w:rsidP="004453DC">
      <w:pPr>
        <w:numPr>
          <w:ilvl w:val="0"/>
          <w:numId w:val="31"/>
        </w:numPr>
        <w:tabs>
          <w:tab w:val="clear" w:pos="4320"/>
          <w:tab w:val="clear" w:pos="9072"/>
        </w:tabs>
        <w:snapToGrid/>
        <w:spacing w:line="360" w:lineRule="auto"/>
        <w:ind w:left="0" w:firstLine="0"/>
        <w:jc w:val="both"/>
      </w:pPr>
      <w:r>
        <w:t xml:space="preserve">Under Master </w:t>
      </w:r>
      <w:proofErr w:type="spellStart"/>
      <w:r>
        <w:t>So’s</w:t>
      </w:r>
      <w:proofErr w:type="spellEnd"/>
      <w:r>
        <w:t xml:space="preserve"> Order, t</w:t>
      </w:r>
      <w:r w:rsidR="006476DA">
        <w:t>he plaintiff’s solicitors w</w:t>
      </w:r>
      <w:r w:rsidR="008036AF">
        <w:t>ere</w:t>
      </w:r>
      <w:r w:rsidR="006476DA">
        <w:t xml:space="preserve"> </w:t>
      </w:r>
      <w:r>
        <w:t>supposed to prepare</w:t>
      </w:r>
      <w:r w:rsidR="006476DA">
        <w:t xml:space="preserve"> the draft assessment hearing bundle index </w:t>
      </w:r>
      <w:r>
        <w:t>and have it</w:t>
      </w:r>
      <w:r w:rsidR="006476DA">
        <w:t xml:space="preserve"> served on the 1</w:t>
      </w:r>
      <w:r w:rsidR="006476DA" w:rsidRPr="006476DA">
        <w:rPr>
          <w:vertAlign w:val="superscript"/>
        </w:rPr>
        <w:t>st</w:t>
      </w:r>
      <w:r w:rsidR="006476DA">
        <w:t xml:space="preserve"> defendant on or before 28 November 2016.  However, the </w:t>
      </w:r>
      <w:r>
        <w:t>a</w:t>
      </w:r>
      <w:r w:rsidR="006476DA">
        <w:t xml:space="preserve">ssessment bundle index was not prepared </w:t>
      </w:r>
      <w:r>
        <w:t xml:space="preserve">and a </w:t>
      </w:r>
      <w:r w:rsidR="006476DA">
        <w:t xml:space="preserve">revised </w:t>
      </w:r>
      <w:r>
        <w:t xml:space="preserve">copied was only handed </w:t>
      </w:r>
      <w:r w:rsidR="006476DA">
        <w:t xml:space="preserve">up to the court </w:t>
      </w:r>
      <w:r>
        <w:t>at</w:t>
      </w:r>
      <w:r w:rsidR="006476DA">
        <w:t xml:space="preserve"> the PTR hearing before Deputy Judge Yip on 6 April 2017.  Further, the plaintiff’s solicitors had </w:t>
      </w:r>
      <w:r>
        <w:t>completely ignored</w:t>
      </w:r>
      <w:r w:rsidR="006476DA">
        <w:t xml:space="preserve"> Master </w:t>
      </w:r>
      <w:proofErr w:type="spellStart"/>
      <w:r w:rsidR="006476DA">
        <w:t>So’s</w:t>
      </w:r>
      <w:proofErr w:type="spellEnd"/>
      <w:r w:rsidR="006476DA">
        <w:t xml:space="preserve"> </w:t>
      </w:r>
      <w:r w:rsidR="00525BC2">
        <w:t>O</w:t>
      </w:r>
      <w:r w:rsidR="006476DA">
        <w:t xml:space="preserve">rder to prepare the Chinese translation of the English documents contained in the </w:t>
      </w:r>
      <w:r>
        <w:t>a</w:t>
      </w:r>
      <w:r w:rsidR="006476DA">
        <w:t>ssessment bundle.  They ha</w:t>
      </w:r>
      <w:r>
        <w:t>d</w:t>
      </w:r>
      <w:r w:rsidR="006476DA">
        <w:t xml:space="preserve"> more than 3 months to prepare the translation as the original </w:t>
      </w:r>
      <w:r>
        <w:t>deadline</w:t>
      </w:r>
      <w:r w:rsidR="006476DA">
        <w:t xml:space="preserve"> was on </w:t>
      </w:r>
      <w:r w:rsidR="00B54354">
        <w:t xml:space="preserve">13 March 2017.  </w:t>
      </w:r>
      <w:r>
        <w:t>A</w:t>
      </w:r>
      <w:r w:rsidR="00B54354">
        <w:t xml:space="preserve">t the PTR before Deputy Judge Yip, the deadline to prepare the </w:t>
      </w:r>
      <w:r>
        <w:t xml:space="preserve">Chinese </w:t>
      </w:r>
      <w:r w:rsidR="00B54354">
        <w:t xml:space="preserve">translation </w:t>
      </w:r>
      <w:r>
        <w:t xml:space="preserve">of the English documents </w:t>
      </w:r>
      <w:r w:rsidR="00B54354">
        <w:t xml:space="preserve">was extended to 20 April 2017.  </w:t>
      </w:r>
      <w:r>
        <w:t>T</w:t>
      </w:r>
      <w:r w:rsidR="00B54354">
        <w:t xml:space="preserve">he plaintiff’s solicitors </w:t>
      </w:r>
      <w:r w:rsidR="007B3C03">
        <w:t>had not</w:t>
      </w:r>
      <w:r>
        <w:t xml:space="preserve"> </w:t>
      </w:r>
      <w:r w:rsidR="0051406A">
        <w:t>mentioned that</w:t>
      </w:r>
      <w:r>
        <w:t xml:space="preserve"> t</w:t>
      </w:r>
      <w:r w:rsidR="00B54354">
        <w:t>hey would have any difficulties in preparing the translation</w:t>
      </w:r>
      <w:r w:rsidR="00096687">
        <w:t>,</w:t>
      </w:r>
      <w:r w:rsidR="00B54354">
        <w:t xml:space="preserve"> whether </w:t>
      </w:r>
      <w:r>
        <w:t xml:space="preserve">at </w:t>
      </w:r>
      <w:r w:rsidR="00B54354">
        <w:t xml:space="preserve">the </w:t>
      </w:r>
      <w:r>
        <w:t>CLR</w:t>
      </w:r>
      <w:r w:rsidR="00B54354">
        <w:t xml:space="preserve"> hearing before Master So or </w:t>
      </w:r>
      <w:r>
        <w:t xml:space="preserve">at </w:t>
      </w:r>
      <w:r w:rsidR="00B54354">
        <w:t xml:space="preserve">the PTR </w:t>
      </w:r>
      <w:r>
        <w:t xml:space="preserve">hearing </w:t>
      </w:r>
      <w:r w:rsidR="00B54354">
        <w:t xml:space="preserve">before Deputy Judge Yip.  Indeed, I fail to see why it would take more than 4 months for the plaintiff to prepare </w:t>
      </w:r>
      <w:r w:rsidR="0051406A">
        <w:t>then</w:t>
      </w:r>
      <w:r w:rsidR="007B3C03">
        <w:t xml:space="preserve"> as there were not many documents which required translation.</w:t>
      </w:r>
      <w:r w:rsidR="00B54354">
        <w:t xml:space="preserve"> </w:t>
      </w:r>
    </w:p>
    <w:p w:rsidR="00865A31" w:rsidRDefault="00865A31" w:rsidP="00865A31">
      <w:pPr>
        <w:tabs>
          <w:tab w:val="clear" w:pos="4320"/>
          <w:tab w:val="clear" w:pos="9072"/>
        </w:tabs>
        <w:snapToGrid/>
        <w:spacing w:line="360" w:lineRule="auto"/>
        <w:jc w:val="both"/>
      </w:pPr>
    </w:p>
    <w:p w:rsidR="00A909D6" w:rsidRDefault="00B54354" w:rsidP="004453DC">
      <w:pPr>
        <w:numPr>
          <w:ilvl w:val="0"/>
          <w:numId w:val="31"/>
        </w:numPr>
        <w:tabs>
          <w:tab w:val="clear" w:pos="4320"/>
          <w:tab w:val="clear" w:pos="9072"/>
        </w:tabs>
        <w:snapToGrid/>
        <w:spacing w:line="360" w:lineRule="auto"/>
        <w:ind w:left="0" w:firstLine="0"/>
        <w:jc w:val="both"/>
      </w:pPr>
      <w:r>
        <w:t xml:space="preserve">In considering whether to grant an adjournment for the hearing </w:t>
      </w:r>
      <w:r w:rsidR="001323C4">
        <w:t>i</w:t>
      </w:r>
      <w:r>
        <w:t>t this case, I t</w:t>
      </w:r>
      <w:r w:rsidR="00865A31">
        <w:t>ook</w:t>
      </w:r>
      <w:r w:rsidR="004B5361">
        <w:t xml:space="preserve"> into account</w:t>
      </w:r>
      <w:r>
        <w:t xml:space="preserve"> of the te</w:t>
      </w:r>
      <w:r w:rsidR="00865A31">
        <w:t>s</w:t>
      </w:r>
      <w:r>
        <w:t>t laid down by Registrar Madam Au Yeung (</w:t>
      </w:r>
      <w:r w:rsidR="001323C4">
        <w:t xml:space="preserve">as </w:t>
      </w:r>
      <w:r w:rsidR="00865A31">
        <w:t>T</w:t>
      </w:r>
      <w:r>
        <w:t>he Hon Madam Justice Au Yeung then was) in the case</w:t>
      </w:r>
      <w:r w:rsidR="00525BC2">
        <w:t xml:space="preserve"> of</w:t>
      </w:r>
      <w:r>
        <w:t xml:space="preserve"> </w:t>
      </w:r>
      <w:r w:rsidRPr="00265355">
        <w:rPr>
          <w:i/>
        </w:rPr>
        <w:t xml:space="preserve">Fortune Asset Development Limited </w:t>
      </w:r>
      <w:r w:rsidR="00265355" w:rsidRPr="00265355">
        <w:rPr>
          <w:i/>
        </w:rPr>
        <w:t xml:space="preserve">v De </w:t>
      </w:r>
      <w:proofErr w:type="spellStart"/>
      <w:r w:rsidR="00265355" w:rsidRPr="00265355">
        <w:rPr>
          <w:i/>
        </w:rPr>
        <w:t>Mo</w:t>
      </w:r>
      <w:r w:rsidR="001323C4">
        <w:rPr>
          <w:i/>
        </w:rPr>
        <w:t>n</w:t>
      </w:r>
      <w:r w:rsidR="00265355" w:rsidRPr="00265355">
        <w:rPr>
          <w:i/>
        </w:rPr>
        <w:t>sa</w:t>
      </w:r>
      <w:proofErr w:type="spellEnd"/>
      <w:r w:rsidR="00265355" w:rsidRPr="00265355">
        <w:rPr>
          <w:i/>
        </w:rPr>
        <w:t xml:space="preserve"> Investment</w:t>
      </w:r>
      <w:r w:rsidR="00865A31">
        <w:rPr>
          <w:i/>
        </w:rPr>
        <w:t>s</w:t>
      </w:r>
      <w:r w:rsidR="00265355" w:rsidRPr="00265355">
        <w:rPr>
          <w:i/>
        </w:rPr>
        <w:t xml:space="preserve"> </w:t>
      </w:r>
      <w:r w:rsidR="00265355" w:rsidRPr="00265355">
        <w:rPr>
          <w:i/>
        </w:rPr>
        <w:lastRenderedPageBreak/>
        <w:t>Limited</w:t>
      </w:r>
      <w:r w:rsidR="00265355">
        <w:t xml:space="preserve"> </w:t>
      </w:r>
      <w:r w:rsidR="001323C4">
        <w:t>(</w:t>
      </w:r>
      <w:proofErr w:type="spellStart"/>
      <w:r w:rsidR="00265355">
        <w:t>unrep</w:t>
      </w:r>
      <w:proofErr w:type="spellEnd"/>
      <w:r w:rsidR="00865A31">
        <w:t xml:space="preserve">., </w:t>
      </w:r>
      <w:r w:rsidR="00265355">
        <w:t>HCA 167/2009; [2009] HKEC 609)</w:t>
      </w:r>
      <w:r w:rsidR="007B3C03">
        <w:t xml:space="preserve">, </w:t>
      </w:r>
      <w:r w:rsidR="00B62092">
        <w:t xml:space="preserve">a summary of which appears </w:t>
      </w:r>
      <w:r w:rsidR="00265355">
        <w:t xml:space="preserve">at </w:t>
      </w:r>
      <w:r w:rsidR="00B62092">
        <w:t>§</w:t>
      </w:r>
      <w:r w:rsidR="00265355">
        <w:t>1</w:t>
      </w:r>
      <w:r w:rsidR="001323C4">
        <w:t>B</w:t>
      </w:r>
      <w:r w:rsidR="00265355">
        <w:t>/1/1 of Hong Kong Civil Procedure 2017.</w:t>
      </w:r>
    </w:p>
    <w:p w:rsidR="00DD2B12" w:rsidRDefault="00DD2B12" w:rsidP="00DD2B12">
      <w:pPr>
        <w:tabs>
          <w:tab w:val="clear" w:pos="4320"/>
          <w:tab w:val="clear" w:pos="9072"/>
        </w:tabs>
        <w:snapToGrid/>
        <w:spacing w:line="360" w:lineRule="auto"/>
        <w:jc w:val="both"/>
      </w:pPr>
    </w:p>
    <w:p w:rsidR="00DD2B12" w:rsidRDefault="004B5361" w:rsidP="00483EA4">
      <w:pPr>
        <w:numPr>
          <w:ilvl w:val="0"/>
          <w:numId w:val="31"/>
        </w:numPr>
        <w:tabs>
          <w:tab w:val="clear" w:pos="4320"/>
          <w:tab w:val="clear" w:pos="9072"/>
        </w:tabs>
        <w:snapToGrid/>
        <w:spacing w:line="360" w:lineRule="auto"/>
        <w:ind w:left="0" w:firstLine="0"/>
        <w:jc w:val="both"/>
      </w:pPr>
      <w:r>
        <w:t>Further, I consider</w:t>
      </w:r>
      <w:r w:rsidR="00265355">
        <w:t xml:space="preserve"> that this case fall</w:t>
      </w:r>
      <w:r>
        <w:t>s</w:t>
      </w:r>
      <w:r w:rsidR="00265355">
        <w:t xml:space="preserve"> within all f</w:t>
      </w:r>
      <w:r>
        <w:t>ours</w:t>
      </w:r>
      <w:r w:rsidR="00265355">
        <w:t xml:space="preserve"> with what the court has </w:t>
      </w:r>
      <w:r>
        <w:t>s</w:t>
      </w:r>
      <w:r w:rsidR="007B3C03">
        <w:t>tated</w:t>
      </w:r>
      <w:r w:rsidR="00265355">
        <w:t xml:space="preserve"> in the case of </w:t>
      </w:r>
      <w:r w:rsidR="00265355" w:rsidRPr="00265355">
        <w:rPr>
          <w:i/>
        </w:rPr>
        <w:t>Liu Chen v Chan Poon Wing</w:t>
      </w:r>
      <w:r w:rsidR="00265355">
        <w:t xml:space="preserve"> </w:t>
      </w:r>
      <w:r w:rsidR="001323C4">
        <w:t>(</w:t>
      </w:r>
      <w:proofErr w:type="spellStart"/>
      <w:r w:rsidR="00265355">
        <w:t>unrep</w:t>
      </w:r>
      <w:proofErr w:type="spellEnd"/>
      <w:r>
        <w:t>.</w:t>
      </w:r>
      <w:r w:rsidR="001323C4">
        <w:t>,</w:t>
      </w:r>
      <w:r w:rsidR="00265355">
        <w:t xml:space="preserve"> HCPI 779/2006, [2009] HKCE 1650) whe</w:t>
      </w:r>
      <w:r w:rsidR="00525BC2">
        <w:t>re</w:t>
      </w:r>
      <w:r w:rsidR="00265355">
        <w:t xml:space="preserve"> </w:t>
      </w:r>
      <w:r w:rsidR="001323C4">
        <w:t xml:space="preserve">the </w:t>
      </w:r>
      <w:r w:rsidR="00265355">
        <w:t xml:space="preserve">court stated </w:t>
      </w:r>
      <w:proofErr w:type="gramStart"/>
      <w:r w:rsidR="00265355">
        <w:t>that:-</w:t>
      </w:r>
      <w:proofErr w:type="gramEnd"/>
    </w:p>
    <w:p w:rsidR="00DD2B12" w:rsidRDefault="00DD2B12" w:rsidP="00DD2B12">
      <w:pPr>
        <w:tabs>
          <w:tab w:val="clear" w:pos="4320"/>
          <w:tab w:val="clear" w:pos="9072"/>
        </w:tabs>
        <w:snapToGrid/>
        <w:spacing w:line="360" w:lineRule="auto"/>
        <w:jc w:val="both"/>
      </w:pPr>
    </w:p>
    <w:p w:rsidR="00265355" w:rsidRPr="00261EAE" w:rsidRDefault="00261EAE" w:rsidP="00261EAE">
      <w:pPr>
        <w:tabs>
          <w:tab w:val="clear" w:pos="4320"/>
          <w:tab w:val="clear" w:pos="9072"/>
        </w:tabs>
        <w:snapToGrid/>
        <w:ind w:left="1440" w:right="746"/>
        <w:jc w:val="both"/>
        <w:rPr>
          <w:sz w:val="24"/>
          <w:szCs w:val="24"/>
        </w:rPr>
      </w:pPr>
      <w:r>
        <w:rPr>
          <w:sz w:val="24"/>
          <w:szCs w:val="24"/>
        </w:rPr>
        <w:t xml:space="preserve">“Practitioners should bear in mind that it is the duty of the handling solicitor to ensure that his client’s case is properly prepared for assessment of damages.  The court expects that careful and conscientious consideration and attention be given to the completion of the Checklists (or timetabling and/or </w:t>
      </w:r>
      <w:r w:rsidR="00EE1F05">
        <w:rPr>
          <w:sz w:val="24"/>
          <w:szCs w:val="24"/>
        </w:rPr>
        <w:t xml:space="preserve">listing questionnaires) before the case is </w:t>
      </w:r>
      <w:r w:rsidR="00892BAC">
        <w:rPr>
          <w:sz w:val="24"/>
          <w:szCs w:val="24"/>
        </w:rPr>
        <w:t xml:space="preserve">set down for assessment hearing.  As Lam J said in paragraph 19 of </w:t>
      </w:r>
      <w:r w:rsidR="00892BAC" w:rsidRPr="00892BAC">
        <w:rPr>
          <w:i/>
          <w:sz w:val="24"/>
          <w:szCs w:val="24"/>
        </w:rPr>
        <w:t xml:space="preserve">Wong Siu Yeung v Chu </w:t>
      </w:r>
      <w:proofErr w:type="spellStart"/>
      <w:r w:rsidR="00892BAC" w:rsidRPr="00892BAC">
        <w:rPr>
          <w:i/>
          <w:sz w:val="24"/>
          <w:szCs w:val="24"/>
        </w:rPr>
        <w:t>Kwong</w:t>
      </w:r>
      <w:proofErr w:type="spellEnd"/>
      <w:r w:rsidR="00892BAC" w:rsidRPr="00892BAC">
        <w:rPr>
          <w:i/>
          <w:sz w:val="24"/>
          <w:szCs w:val="24"/>
        </w:rPr>
        <w:t xml:space="preserve"> Wing &amp; </w:t>
      </w:r>
      <w:proofErr w:type="spellStart"/>
      <w:r w:rsidR="00892BAC" w:rsidRPr="00892BAC">
        <w:rPr>
          <w:i/>
          <w:sz w:val="24"/>
          <w:szCs w:val="24"/>
        </w:rPr>
        <w:t>Ors</w:t>
      </w:r>
      <w:proofErr w:type="spellEnd"/>
      <w:r w:rsidR="00892BAC">
        <w:rPr>
          <w:sz w:val="24"/>
          <w:szCs w:val="24"/>
        </w:rPr>
        <w:t xml:space="preserve"> (HCA 5249/1999, unreported, 20 May 2005), ‘[the] court should be able to rely on the diligent conduct of solicitors in the preparation of his client’s case for trial otherwise it will make </w:t>
      </w:r>
      <w:r w:rsidR="00892BAC" w:rsidRPr="00892BAC">
        <w:rPr>
          <w:i/>
          <w:sz w:val="24"/>
          <w:szCs w:val="24"/>
        </w:rPr>
        <w:t>a mockery of our case management system</w:t>
      </w:r>
      <w:r w:rsidR="004B5361">
        <w:rPr>
          <w:i/>
          <w:sz w:val="24"/>
          <w:szCs w:val="24"/>
        </w:rPr>
        <w:t>.</w:t>
      </w:r>
      <w:r w:rsidR="00892BAC">
        <w:rPr>
          <w:sz w:val="24"/>
          <w:szCs w:val="24"/>
        </w:rPr>
        <w:t>” (emphasis added)</w:t>
      </w:r>
      <w:r w:rsidR="004B5361">
        <w:rPr>
          <w:sz w:val="24"/>
          <w:szCs w:val="24"/>
        </w:rPr>
        <w:t>. See</w:t>
      </w:r>
      <w:r w:rsidR="00892BAC">
        <w:rPr>
          <w:sz w:val="24"/>
          <w:szCs w:val="24"/>
        </w:rPr>
        <w:t xml:space="preserve"> </w:t>
      </w:r>
      <w:r w:rsidR="004B5361">
        <w:rPr>
          <w:sz w:val="24"/>
          <w:szCs w:val="24"/>
        </w:rPr>
        <w:t>§</w:t>
      </w:r>
      <w:r w:rsidR="00892BAC">
        <w:rPr>
          <w:sz w:val="24"/>
          <w:szCs w:val="24"/>
        </w:rPr>
        <w:t>1</w:t>
      </w:r>
      <w:r w:rsidR="001323C4">
        <w:rPr>
          <w:sz w:val="24"/>
          <w:szCs w:val="24"/>
        </w:rPr>
        <w:t>A</w:t>
      </w:r>
      <w:r w:rsidR="00892BAC">
        <w:rPr>
          <w:sz w:val="24"/>
          <w:szCs w:val="24"/>
        </w:rPr>
        <w:t>/0/</w:t>
      </w:r>
      <w:r w:rsidR="001323C4">
        <w:rPr>
          <w:sz w:val="24"/>
          <w:szCs w:val="24"/>
        </w:rPr>
        <w:t>1</w:t>
      </w:r>
      <w:r w:rsidR="00892BAC">
        <w:rPr>
          <w:sz w:val="24"/>
          <w:szCs w:val="24"/>
        </w:rPr>
        <w:t>1</w:t>
      </w:r>
      <w:r w:rsidR="004B5361">
        <w:rPr>
          <w:sz w:val="24"/>
          <w:szCs w:val="24"/>
        </w:rPr>
        <w:t xml:space="preserve"> Hong Kong Civil Procedure 2017</w:t>
      </w:r>
    </w:p>
    <w:p w:rsidR="00265355" w:rsidRDefault="00265355" w:rsidP="00DD2B12">
      <w:pPr>
        <w:tabs>
          <w:tab w:val="clear" w:pos="4320"/>
          <w:tab w:val="clear" w:pos="9072"/>
        </w:tabs>
        <w:snapToGrid/>
        <w:spacing w:line="360" w:lineRule="auto"/>
        <w:jc w:val="both"/>
      </w:pPr>
    </w:p>
    <w:p w:rsidR="00096687" w:rsidRDefault="00892BAC" w:rsidP="004453DC">
      <w:pPr>
        <w:numPr>
          <w:ilvl w:val="0"/>
          <w:numId w:val="31"/>
        </w:numPr>
        <w:tabs>
          <w:tab w:val="clear" w:pos="4320"/>
          <w:tab w:val="clear" w:pos="9072"/>
        </w:tabs>
        <w:snapToGrid/>
        <w:spacing w:line="360" w:lineRule="auto"/>
        <w:ind w:left="0" w:firstLine="0"/>
        <w:jc w:val="both"/>
      </w:pPr>
      <w:r>
        <w:t>In my judgment, th</w:t>
      </w:r>
      <w:r w:rsidR="007B3C03">
        <w:t>ere had</w:t>
      </w:r>
      <w:r>
        <w:t xml:space="preserve"> been repeated failure</w:t>
      </w:r>
      <w:r w:rsidR="004B5361">
        <w:t>s</w:t>
      </w:r>
      <w:r>
        <w:t xml:space="preserve"> on the part of the plaintiff’s solicitor</w:t>
      </w:r>
      <w:r w:rsidR="00525BC2">
        <w:t>s</w:t>
      </w:r>
      <w:r>
        <w:t xml:space="preserve"> to observe the </w:t>
      </w:r>
      <w:r w:rsidR="00525BC2">
        <w:t>“</w:t>
      </w:r>
      <w:r>
        <w:t>milestone dates</w:t>
      </w:r>
      <w:r w:rsidR="00525BC2">
        <w:t>”</w:t>
      </w:r>
      <w:r>
        <w:t xml:space="preserve"> in this case.  On </w:t>
      </w:r>
      <w:r w:rsidR="004B5361">
        <w:t>at least 2</w:t>
      </w:r>
      <w:r>
        <w:t xml:space="preserve"> previ</w:t>
      </w:r>
      <w:r w:rsidR="004B5361">
        <w:t>ous occasions, they had failed</w:t>
      </w:r>
      <w:r>
        <w:t xml:space="preserve"> to turn up </w:t>
      </w:r>
      <w:r w:rsidR="004B5361">
        <w:t xml:space="preserve">at </w:t>
      </w:r>
      <w:r>
        <w:t xml:space="preserve">the </w:t>
      </w:r>
      <w:r w:rsidR="004B5361">
        <w:t>CLR</w:t>
      </w:r>
      <w:r>
        <w:t xml:space="preserve"> hearing</w:t>
      </w:r>
      <w:r w:rsidR="004B5361">
        <w:t>s</w:t>
      </w:r>
      <w:r>
        <w:t xml:space="preserve"> with different</w:t>
      </w:r>
      <w:r w:rsidR="001F6F2C">
        <w:t>, but rather lame,</w:t>
      </w:r>
      <w:r>
        <w:t xml:space="preserve"> excuses.  On this occasion, they ha</w:t>
      </w:r>
      <w:r w:rsidR="007B3C03">
        <w:t>ve</w:t>
      </w:r>
      <w:r>
        <w:t xml:space="preserve"> not been able to explain what was the “oversight” which had let them to fail to prepare </w:t>
      </w:r>
      <w:r w:rsidR="001323C4">
        <w:t>for</w:t>
      </w:r>
      <w:r>
        <w:t xml:space="preserve"> the </w:t>
      </w:r>
      <w:r w:rsidR="00096687">
        <w:t>a</w:t>
      </w:r>
      <w:r>
        <w:t xml:space="preserve">ssessment of </w:t>
      </w:r>
      <w:r w:rsidR="001323C4">
        <w:t>d</w:t>
      </w:r>
      <w:r>
        <w:t>amages</w:t>
      </w:r>
      <w:r w:rsidR="00096687">
        <w:t xml:space="preserve"> hearing</w:t>
      </w:r>
      <w:r>
        <w:t>.</w:t>
      </w:r>
      <w:r w:rsidR="007B3C03">
        <w:t xml:space="preserve">  </w:t>
      </w:r>
      <w:proofErr w:type="spellStart"/>
      <w:r w:rsidR="007B3C03">
        <w:t>Mr</w:t>
      </w:r>
      <w:proofErr w:type="spellEnd"/>
      <w:r w:rsidR="007B3C03">
        <w:t xml:space="preserve"> Daniel Wong, a newly qualified solicitor who was given the task to handle this file on his own, said repeatedly in court today that they have no excuse</w:t>
      </w:r>
      <w:r w:rsidR="001F6F2C">
        <w:t>s</w:t>
      </w:r>
      <w:r w:rsidR="007B3C03">
        <w:t xml:space="preserve"> and </w:t>
      </w:r>
      <w:r w:rsidR="00DC2B88">
        <w:t>no good reasons not to comply with the court order other than due to their own negligence an</w:t>
      </w:r>
      <w:r w:rsidR="0051406A">
        <w:t>d failure to adhere to the time</w:t>
      </w:r>
      <w:r w:rsidR="00DC2B88">
        <w:t>tables laid down by the court.</w:t>
      </w:r>
      <w:r w:rsidR="001F6F2C">
        <w:t xml:space="preserve">  </w:t>
      </w:r>
      <w:r w:rsidR="0051406A">
        <w:t xml:space="preserve">On my part, </w:t>
      </w:r>
      <w:r w:rsidR="001F6F2C">
        <w:t xml:space="preserve">I at least </w:t>
      </w:r>
      <w:r w:rsidR="0051406A">
        <w:t xml:space="preserve">would </w:t>
      </w:r>
      <w:r w:rsidR="00232FE1">
        <w:t>admire his honest</w:t>
      </w:r>
      <w:bookmarkStart w:id="0" w:name="_GoBack"/>
      <w:bookmarkEnd w:id="0"/>
      <w:r w:rsidR="001F6F2C">
        <w:t xml:space="preserve"> and readiness to take on the responsibility. However, I believe the repeated failures show a lack of proper supervision and monitoring system by the principal at </w:t>
      </w:r>
      <w:r w:rsidR="0051406A">
        <w:t xml:space="preserve">the </w:t>
      </w:r>
      <w:r w:rsidR="001F6F2C">
        <w:t xml:space="preserve">firm.   </w:t>
      </w:r>
      <w:r w:rsidR="00DC2B88">
        <w:t xml:space="preserve"> </w:t>
      </w:r>
      <w:r w:rsidR="007B3C03">
        <w:t xml:space="preserve">  </w:t>
      </w:r>
      <w:r>
        <w:t xml:space="preserve">  </w:t>
      </w:r>
    </w:p>
    <w:p w:rsidR="00096687" w:rsidRDefault="00096687" w:rsidP="00096687">
      <w:pPr>
        <w:tabs>
          <w:tab w:val="clear" w:pos="4320"/>
          <w:tab w:val="clear" w:pos="9072"/>
        </w:tabs>
        <w:snapToGrid/>
        <w:spacing w:line="360" w:lineRule="auto"/>
        <w:jc w:val="both"/>
      </w:pPr>
    </w:p>
    <w:p w:rsidR="00CE2E4C" w:rsidRDefault="00892BAC" w:rsidP="004453DC">
      <w:pPr>
        <w:numPr>
          <w:ilvl w:val="0"/>
          <w:numId w:val="31"/>
        </w:numPr>
        <w:tabs>
          <w:tab w:val="clear" w:pos="4320"/>
          <w:tab w:val="clear" w:pos="9072"/>
        </w:tabs>
        <w:snapToGrid/>
        <w:spacing w:line="360" w:lineRule="auto"/>
        <w:ind w:left="0" w:firstLine="0"/>
        <w:jc w:val="both"/>
      </w:pPr>
      <w:r>
        <w:t xml:space="preserve">As the notice of hearing </w:t>
      </w:r>
      <w:r w:rsidR="00096687">
        <w:t>had been served</w:t>
      </w:r>
      <w:r>
        <w:t xml:space="preserve"> </w:t>
      </w:r>
      <w:r w:rsidR="00096687">
        <w:t>on</w:t>
      </w:r>
      <w:r>
        <w:t xml:space="preserve"> the parties by the </w:t>
      </w:r>
      <w:r w:rsidR="00096687">
        <w:t>r</w:t>
      </w:r>
      <w:r>
        <w:t xml:space="preserve">egistrar of the court </w:t>
      </w:r>
      <w:r w:rsidR="00096687">
        <w:t>in</w:t>
      </w:r>
      <w:r>
        <w:t xml:space="preserve"> February 2017 and </w:t>
      </w:r>
      <w:r w:rsidR="00096687">
        <w:t>a</w:t>
      </w:r>
      <w:r>
        <w:t xml:space="preserve"> solicitor </w:t>
      </w:r>
      <w:r w:rsidR="00096687">
        <w:t xml:space="preserve">from the plaintiff’s solicitors firm </w:t>
      </w:r>
      <w:r w:rsidR="00525BC2">
        <w:t>(</w:t>
      </w:r>
      <w:r w:rsidR="00DC2B88">
        <w:t xml:space="preserve">not </w:t>
      </w:r>
      <w:proofErr w:type="spellStart"/>
      <w:r w:rsidR="00DC2B88">
        <w:t>Mr</w:t>
      </w:r>
      <w:proofErr w:type="spellEnd"/>
      <w:r w:rsidR="00DC2B88">
        <w:t xml:space="preserve"> Wong himself) </w:t>
      </w:r>
      <w:r>
        <w:t>had attended the PTR before Deputy Judge Yip on 6 April 2017</w:t>
      </w:r>
      <w:r w:rsidR="00DC2B88">
        <w:t>,</w:t>
      </w:r>
      <w:r w:rsidR="00ED5952">
        <w:t xml:space="preserve"> I fail to see there are any </w:t>
      </w:r>
      <w:r w:rsidR="00DC2B88">
        <w:t>“</w:t>
      </w:r>
      <w:r w:rsidR="00ED5952">
        <w:t>exceptional circumstances</w:t>
      </w:r>
      <w:r w:rsidR="00DC2B88">
        <w:t>”</w:t>
      </w:r>
      <w:r w:rsidR="00ED5952">
        <w:t xml:space="preserve"> in this case which would </w:t>
      </w:r>
      <w:r w:rsidR="00DC2B88">
        <w:t>warrant an</w:t>
      </w:r>
      <w:r w:rsidR="00ED5952">
        <w:t xml:space="preserve"> adjournment of the assessment </w:t>
      </w:r>
      <w:r w:rsidR="00DC2B88">
        <w:t>hearing.  In this regard, I</w:t>
      </w:r>
      <w:r w:rsidR="00ED5952">
        <w:t xml:space="preserve"> notice that the 1</w:t>
      </w:r>
      <w:r w:rsidR="00ED5952" w:rsidRPr="00ED5952">
        <w:rPr>
          <w:vertAlign w:val="superscript"/>
        </w:rPr>
        <w:t>st</w:t>
      </w:r>
      <w:r w:rsidR="00ED5952">
        <w:t xml:space="preserve"> defendant</w:t>
      </w:r>
      <w:r w:rsidR="00DC2B88">
        <w:t>,</w:t>
      </w:r>
      <w:r w:rsidR="00ED5952">
        <w:t xml:space="preserve"> who was acting in person, had on </w:t>
      </w:r>
      <w:r w:rsidR="00DC2B88">
        <w:t xml:space="preserve">a </w:t>
      </w:r>
      <w:r w:rsidR="00ED5952">
        <w:t xml:space="preserve">previous occasion wrote to the court and complained </w:t>
      </w:r>
      <w:r w:rsidR="00DC2B88">
        <w:t xml:space="preserve">that </w:t>
      </w:r>
      <w:r w:rsidR="00ED5952">
        <w:t xml:space="preserve">he had not received any court documents from the plaintiff’s </w:t>
      </w:r>
      <w:r w:rsidR="00DC2B88">
        <w:t>solicitors regarding some of the hearings</w:t>
      </w:r>
      <w:r w:rsidR="00ED5952">
        <w:t xml:space="preserve">.  He </w:t>
      </w:r>
      <w:r w:rsidR="00DC2B88">
        <w:t xml:space="preserve">also </w:t>
      </w:r>
      <w:r w:rsidR="00ED5952">
        <w:t xml:space="preserve">requested the plaintiff’s solicitors to </w:t>
      </w:r>
      <w:r w:rsidR="00DC2B88">
        <w:t xml:space="preserve">cause all </w:t>
      </w:r>
      <w:r w:rsidR="00ED5952">
        <w:t>the documents to be written in Chinese (as he does not read English) so that he could prepare the case in good time.</w:t>
      </w:r>
    </w:p>
    <w:p w:rsidR="00DC2B88" w:rsidRDefault="00DC2B88" w:rsidP="00DC2B88">
      <w:pPr>
        <w:pStyle w:val="ListParagraph"/>
      </w:pPr>
    </w:p>
    <w:p w:rsidR="00DC2B88" w:rsidRDefault="00C84A91" w:rsidP="004453DC">
      <w:pPr>
        <w:numPr>
          <w:ilvl w:val="0"/>
          <w:numId w:val="31"/>
        </w:numPr>
        <w:tabs>
          <w:tab w:val="clear" w:pos="4320"/>
          <w:tab w:val="clear" w:pos="9072"/>
        </w:tabs>
        <w:snapToGrid/>
        <w:spacing w:line="360" w:lineRule="auto"/>
        <w:ind w:left="0" w:firstLine="0"/>
        <w:jc w:val="both"/>
      </w:pPr>
      <w:r>
        <w:t>In the aforesaid circumstance</w:t>
      </w:r>
      <w:r w:rsidR="00DC2B88">
        <w:t>s</w:t>
      </w:r>
      <w:r>
        <w:t xml:space="preserve">, I have regrettably come to the conclusion that the failure to prepare this </w:t>
      </w:r>
      <w:r w:rsidR="00DC2B88">
        <w:t>a</w:t>
      </w:r>
      <w:r>
        <w:t xml:space="preserve">ssessment of </w:t>
      </w:r>
      <w:r w:rsidR="00DC2B88">
        <w:t>d</w:t>
      </w:r>
      <w:r>
        <w:t xml:space="preserve">amages </w:t>
      </w:r>
      <w:r w:rsidR="00DC2B88">
        <w:t xml:space="preserve">hearing </w:t>
      </w:r>
      <w:r>
        <w:t xml:space="preserve">was completely due to the dereliction of duty </w:t>
      </w:r>
      <w:r w:rsidR="0051406A">
        <w:t>on the part</w:t>
      </w:r>
      <w:r>
        <w:t xml:space="preserve"> </w:t>
      </w:r>
      <w:r w:rsidR="000876BB">
        <w:t xml:space="preserve">of </w:t>
      </w:r>
      <w:r>
        <w:t>the plaintiff’s solicitors.  The failure</w:t>
      </w:r>
      <w:r w:rsidR="00DC2B88">
        <w:t>s</w:t>
      </w:r>
      <w:r>
        <w:t xml:space="preserve"> are not in my view only confine</w:t>
      </w:r>
      <w:r w:rsidR="004A01F8">
        <w:t>d</w:t>
      </w:r>
      <w:r>
        <w:t xml:space="preserve"> to </w:t>
      </w:r>
      <w:r w:rsidR="00DC2B88">
        <w:t xml:space="preserve">the </w:t>
      </w:r>
      <w:r>
        <w:t xml:space="preserve">preparation of the Chinese translation of the English documents in the </w:t>
      </w:r>
      <w:r w:rsidR="00DC2B88">
        <w:t>assessment bundle, they went</w:t>
      </w:r>
      <w:r>
        <w:t xml:space="preserve"> much further than that.  </w:t>
      </w:r>
      <w:r w:rsidR="00DC2B88">
        <w:t xml:space="preserve">The plaintiff </w:t>
      </w:r>
      <w:r>
        <w:t xml:space="preserve">had failed to prepare the </w:t>
      </w:r>
      <w:r w:rsidR="00DC2B88">
        <w:t>a</w:t>
      </w:r>
      <w:r>
        <w:t>ssessment bundle, the openi</w:t>
      </w:r>
      <w:r w:rsidR="00DC2B88">
        <w:t>ng submission, list of authorities</w:t>
      </w:r>
      <w:r>
        <w:t xml:space="preserve"> and Chinese translation of the exce</w:t>
      </w:r>
      <w:r w:rsidR="00DC2B88">
        <w:t>rp</w:t>
      </w:r>
      <w:r>
        <w:t>t</w:t>
      </w:r>
      <w:r w:rsidR="00DC2B88">
        <w:t>s</w:t>
      </w:r>
      <w:r>
        <w:t xml:space="preserve"> of passage</w:t>
      </w:r>
      <w:r w:rsidR="00DC2B88">
        <w:t>s</w:t>
      </w:r>
      <w:r>
        <w:t xml:space="preserve"> </w:t>
      </w:r>
      <w:r w:rsidR="00DC2B88">
        <w:t>in the authorities they are going to</w:t>
      </w:r>
      <w:r>
        <w:t xml:space="preserve"> rely on</w:t>
      </w:r>
      <w:r w:rsidR="00D545BA">
        <w:t>.  In short, they ha</w:t>
      </w:r>
      <w:r w:rsidR="00DC2B88">
        <w:t>ve</w:t>
      </w:r>
      <w:r w:rsidR="00D545BA">
        <w:t xml:space="preserve"> made a mockery of </w:t>
      </w:r>
      <w:r w:rsidR="00DC2B88">
        <w:t xml:space="preserve">the </w:t>
      </w:r>
      <w:r w:rsidR="004A01F8">
        <w:t xml:space="preserve">case management </w:t>
      </w:r>
      <w:r w:rsidR="00D545BA">
        <w:t xml:space="preserve">orders made by Master So </w:t>
      </w:r>
      <w:r w:rsidR="00DC2B88">
        <w:t>at</w:t>
      </w:r>
      <w:r w:rsidR="00D545BA">
        <w:t xml:space="preserve"> the </w:t>
      </w:r>
      <w:r w:rsidR="00DC2B88">
        <w:t xml:space="preserve">CLR hearing </w:t>
      </w:r>
      <w:r w:rsidR="00D545BA">
        <w:t>and by Deputy Judge Yip at the PTR</w:t>
      </w:r>
      <w:r w:rsidR="00DC2B88">
        <w:t xml:space="preserve"> hearing</w:t>
      </w:r>
      <w:r w:rsidR="00236732">
        <w:t xml:space="preserve">.  They </w:t>
      </w:r>
      <w:r w:rsidR="00525BC2">
        <w:t xml:space="preserve">have </w:t>
      </w:r>
      <w:r w:rsidR="00236732">
        <w:t>also caused</w:t>
      </w:r>
      <w:r w:rsidR="00D545BA">
        <w:t xml:space="preserve"> </w:t>
      </w:r>
      <w:r w:rsidR="00DC2B88">
        <w:t xml:space="preserve">a </w:t>
      </w:r>
      <w:r w:rsidR="00D545BA">
        <w:t>wa</w:t>
      </w:r>
      <w:r w:rsidR="00DC2B88">
        <w:t>ste</w:t>
      </w:r>
      <w:r w:rsidR="00D545BA">
        <w:t xml:space="preserve"> of </w:t>
      </w:r>
      <w:r w:rsidR="00DC2B88">
        <w:t xml:space="preserve">judiciary </w:t>
      </w:r>
      <w:r w:rsidR="00D545BA">
        <w:t>resources as the trial date</w:t>
      </w:r>
      <w:r w:rsidR="00DC2B88">
        <w:t>s</w:t>
      </w:r>
      <w:r w:rsidR="00D545BA">
        <w:t xml:space="preserve"> reserved for the </w:t>
      </w:r>
      <w:r w:rsidR="00DC2B88">
        <w:t>a</w:t>
      </w:r>
      <w:r w:rsidR="00D545BA">
        <w:t xml:space="preserve">ssessment </w:t>
      </w:r>
      <w:r w:rsidR="00DC2B88">
        <w:t>hearing</w:t>
      </w:r>
      <w:r w:rsidR="00D545BA">
        <w:t xml:space="preserve"> coul</w:t>
      </w:r>
      <w:r w:rsidR="00525BC2">
        <w:t xml:space="preserve">d have been used for hearing </w:t>
      </w:r>
      <w:r w:rsidR="00D545BA">
        <w:t xml:space="preserve">other cases.  </w:t>
      </w:r>
    </w:p>
    <w:p w:rsidR="00DC2B88" w:rsidRDefault="00DC2B88" w:rsidP="00DC2B88">
      <w:pPr>
        <w:pStyle w:val="ListParagraph"/>
      </w:pPr>
    </w:p>
    <w:p w:rsidR="003F641B" w:rsidRDefault="00D036B5" w:rsidP="00C707AE">
      <w:pPr>
        <w:numPr>
          <w:ilvl w:val="0"/>
          <w:numId w:val="31"/>
        </w:numPr>
        <w:tabs>
          <w:tab w:val="clear" w:pos="4320"/>
          <w:tab w:val="clear" w:pos="9072"/>
        </w:tabs>
        <w:snapToGrid/>
        <w:spacing w:line="360" w:lineRule="auto"/>
        <w:ind w:left="0" w:firstLine="0"/>
        <w:jc w:val="both"/>
      </w:pPr>
      <w:r>
        <w:t>In considering whether to str</w:t>
      </w:r>
      <w:r w:rsidR="0016246B">
        <w:t>i</w:t>
      </w:r>
      <w:r w:rsidR="00D545BA">
        <w:t>k</w:t>
      </w:r>
      <w:r w:rsidR="0016246B">
        <w:t>e</w:t>
      </w:r>
      <w:r w:rsidR="00D545BA">
        <w:t xml:space="preserve"> out or to dismiss the plaintiff’s claim, I have also taken into account of the interest of the </w:t>
      </w:r>
      <w:r w:rsidR="00D545BA">
        <w:lastRenderedPageBreak/>
        <w:t>plaintiff in this case.  Generally spea</w:t>
      </w:r>
      <w:r w:rsidR="0016246B">
        <w:t xml:space="preserve">king, </w:t>
      </w:r>
      <w:r w:rsidR="004A01F8">
        <w:t xml:space="preserve">I would agree that </w:t>
      </w:r>
      <w:r w:rsidR="0016246B">
        <w:t>a litigant</w:t>
      </w:r>
      <w:r w:rsidR="00D545BA">
        <w:t xml:space="preserve"> should not suffer due to the failure</w:t>
      </w:r>
      <w:r w:rsidR="004A01F8">
        <w:t>s</w:t>
      </w:r>
      <w:r w:rsidR="00D545BA">
        <w:t xml:space="preserve"> </w:t>
      </w:r>
      <w:r w:rsidR="0016246B">
        <w:t>on the part of his</w:t>
      </w:r>
      <w:r w:rsidR="00D545BA">
        <w:t xml:space="preserve"> legal representative</w:t>
      </w:r>
      <w:r w:rsidR="004A01F8">
        <w:t>s</w:t>
      </w:r>
      <w:r w:rsidR="00D545BA">
        <w:t xml:space="preserve"> in observing the timetable</w:t>
      </w:r>
      <w:r w:rsidR="004A01F8">
        <w:t>s</w:t>
      </w:r>
      <w:r w:rsidR="00D545BA">
        <w:t xml:space="preserve"> laid down by the court.  However, in this case, I notice</w:t>
      </w:r>
      <w:r w:rsidR="0016246B">
        <w:t>d</w:t>
      </w:r>
      <w:r w:rsidR="00D545BA">
        <w:t xml:space="preserve"> that the plaintiff had already ob</w:t>
      </w:r>
      <w:r w:rsidR="002C154D">
        <w:t>tained a judgment in a related e</w:t>
      </w:r>
      <w:r w:rsidR="00D545BA">
        <w:t>mployees</w:t>
      </w:r>
      <w:r w:rsidR="0016246B">
        <w:t>’</w:t>
      </w:r>
      <w:r w:rsidR="00D545BA">
        <w:t xml:space="preserve"> </w:t>
      </w:r>
      <w:r w:rsidR="002C154D">
        <w:t>c</w:t>
      </w:r>
      <w:r w:rsidR="00D545BA">
        <w:t>ompensation proceeding against the 1</w:t>
      </w:r>
      <w:r w:rsidR="00D545BA" w:rsidRPr="0016246B">
        <w:rPr>
          <w:vertAlign w:val="superscript"/>
        </w:rPr>
        <w:t>st</w:t>
      </w:r>
      <w:r w:rsidR="00D545BA">
        <w:t xml:space="preserve"> defendant.  Further, it is of course </w:t>
      </w:r>
      <w:r w:rsidR="0016246B">
        <w:t xml:space="preserve">also </w:t>
      </w:r>
      <w:r w:rsidR="00D545BA">
        <w:t>open for the plaintiff to seek any re</w:t>
      </w:r>
      <w:r w:rsidR="0016246B">
        <w:t>dress</w:t>
      </w:r>
      <w:r w:rsidR="00D545BA">
        <w:t xml:space="preserve"> against </w:t>
      </w:r>
      <w:r w:rsidR="0016246B">
        <w:t xml:space="preserve">his </w:t>
      </w:r>
      <w:r w:rsidR="00FA3D03">
        <w:t xml:space="preserve">own legal </w:t>
      </w:r>
      <w:r w:rsidR="0016246B">
        <w:t>representatives</w:t>
      </w:r>
      <w:r w:rsidR="00FA3D03">
        <w:t xml:space="preserve"> for any act of </w:t>
      </w:r>
      <w:r w:rsidR="0016246B">
        <w:t>o</w:t>
      </w:r>
      <w:r w:rsidR="00FA3D03">
        <w:t xml:space="preserve">mission </w:t>
      </w:r>
      <w:r w:rsidR="002C154D">
        <w:t xml:space="preserve">or negligence </w:t>
      </w:r>
      <w:r w:rsidR="00FA3D03">
        <w:t>cause</w:t>
      </w:r>
      <w:r w:rsidR="0016246B">
        <w:t>d</w:t>
      </w:r>
      <w:r w:rsidR="00FA3D03">
        <w:t xml:space="preserve"> by them.</w:t>
      </w:r>
    </w:p>
    <w:p w:rsidR="003F641B" w:rsidRDefault="003F641B" w:rsidP="003F641B">
      <w:pPr>
        <w:pStyle w:val="ListParagraph"/>
      </w:pPr>
    </w:p>
    <w:p w:rsidR="003F641B" w:rsidRDefault="003F641B" w:rsidP="003F641B">
      <w:pPr>
        <w:numPr>
          <w:ilvl w:val="0"/>
          <w:numId w:val="31"/>
        </w:numPr>
        <w:tabs>
          <w:tab w:val="clear" w:pos="4320"/>
          <w:tab w:val="clear" w:pos="9072"/>
        </w:tabs>
        <w:snapToGrid/>
        <w:spacing w:line="360" w:lineRule="auto"/>
        <w:ind w:left="0" w:firstLine="0"/>
        <w:jc w:val="both"/>
      </w:pPr>
      <w:r>
        <w:t xml:space="preserve">Hence, in my judgment, had it not been for the last minute attempt </w:t>
      </w:r>
      <w:r w:rsidR="00525BC2">
        <w:t>made by</w:t>
      </w:r>
      <w:r>
        <w:t xml:space="preserve"> the plaintiff</w:t>
      </w:r>
      <w:r w:rsidR="00525BC2">
        <w:t>’s solicitors</w:t>
      </w:r>
      <w:r>
        <w:t xml:space="preserve"> to salvage the case (which I would explain below), I would have no hesitation to have the plaintiff’s claim to be struck out and order the plaintiff’s solicitors to bear all the costs thrown away </w:t>
      </w:r>
      <w:r w:rsidR="0051406A">
        <w:t xml:space="preserve">on both sides </w:t>
      </w:r>
      <w:r>
        <w:t xml:space="preserve">as a result personally.   </w:t>
      </w:r>
    </w:p>
    <w:p w:rsidR="0016246B" w:rsidRDefault="00FA3D03" w:rsidP="003F641B">
      <w:pPr>
        <w:tabs>
          <w:tab w:val="clear" w:pos="4320"/>
          <w:tab w:val="clear" w:pos="9072"/>
        </w:tabs>
        <w:snapToGrid/>
        <w:spacing w:line="360" w:lineRule="auto"/>
        <w:jc w:val="both"/>
      </w:pPr>
      <w:r>
        <w:t xml:space="preserve"> </w:t>
      </w:r>
    </w:p>
    <w:p w:rsidR="0016246B" w:rsidRDefault="0016246B" w:rsidP="0016246B">
      <w:pPr>
        <w:pStyle w:val="ListParagraph"/>
      </w:pPr>
    </w:p>
    <w:p w:rsidR="004B5361" w:rsidRPr="004B5361" w:rsidRDefault="004B5361" w:rsidP="004B5361">
      <w:pPr>
        <w:tabs>
          <w:tab w:val="clear" w:pos="4320"/>
          <w:tab w:val="clear" w:pos="9072"/>
        </w:tabs>
        <w:snapToGrid/>
        <w:spacing w:line="360" w:lineRule="auto"/>
        <w:jc w:val="both"/>
        <w:rPr>
          <w:i/>
        </w:rPr>
      </w:pPr>
      <w:r>
        <w:rPr>
          <w:i/>
        </w:rPr>
        <w:t>Last minute attempt to sa</w:t>
      </w:r>
      <w:r w:rsidR="003F641B">
        <w:rPr>
          <w:i/>
        </w:rPr>
        <w:t>l</w:t>
      </w:r>
      <w:r w:rsidR="00525BC2">
        <w:rPr>
          <w:i/>
        </w:rPr>
        <w:t>vage the milestone date</w:t>
      </w:r>
    </w:p>
    <w:p w:rsidR="004B5361" w:rsidRDefault="004B5361" w:rsidP="004B5361">
      <w:pPr>
        <w:pStyle w:val="ListParagraph"/>
      </w:pPr>
    </w:p>
    <w:p w:rsidR="003F641B" w:rsidRDefault="0016246B" w:rsidP="00FA3D03">
      <w:pPr>
        <w:numPr>
          <w:ilvl w:val="0"/>
          <w:numId w:val="31"/>
        </w:numPr>
        <w:tabs>
          <w:tab w:val="clear" w:pos="4320"/>
          <w:tab w:val="clear" w:pos="9072"/>
        </w:tabs>
        <w:snapToGrid/>
        <w:spacing w:line="360" w:lineRule="auto"/>
        <w:ind w:left="0" w:firstLine="0"/>
        <w:jc w:val="both"/>
      </w:pPr>
      <w:r>
        <w:t>At</w:t>
      </w:r>
      <w:r w:rsidR="004A01F8">
        <w:t xml:space="preserve"> 5:18 pm on 5 June 2017, </w:t>
      </w:r>
      <w:proofErr w:type="spellStart"/>
      <w:r w:rsidR="004A01F8">
        <w:t>ie</w:t>
      </w:r>
      <w:proofErr w:type="spellEnd"/>
      <w:r w:rsidR="004A01F8">
        <w:t xml:space="preserve"> the evening before the hearing, the plaintiff solicitors lodged the hearing bundle with the court.  Further, at 5:44 pm</w:t>
      </w:r>
      <w:r w:rsidR="003F641B">
        <w:t xml:space="preserve"> the same evening</w:t>
      </w:r>
      <w:r w:rsidR="004A01F8">
        <w:t xml:space="preserve">, </w:t>
      </w:r>
      <w:r w:rsidR="003F641B">
        <w:t>they sent the plaintiff’s opening submission and list of authorities to the court by fax.</w:t>
      </w:r>
    </w:p>
    <w:p w:rsidR="003F641B" w:rsidRDefault="003F641B" w:rsidP="003F641B">
      <w:pPr>
        <w:tabs>
          <w:tab w:val="clear" w:pos="4320"/>
          <w:tab w:val="clear" w:pos="9072"/>
        </w:tabs>
        <w:snapToGrid/>
        <w:spacing w:line="360" w:lineRule="auto"/>
        <w:jc w:val="both"/>
      </w:pPr>
    </w:p>
    <w:p w:rsidR="003F641B" w:rsidRDefault="003F641B" w:rsidP="00FA3D03">
      <w:pPr>
        <w:numPr>
          <w:ilvl w:val="0"/>
          <w:numId w:val="31"/>
        </w:numPr>
        <w:tabs>
          <w:tab w:val="clear" w:pos="4320"/>
          <w:tab w:val="clear" w:pos="9072"/>
        </w:tabs>
        <w:snapToGrid/>
        <w:spacing w:line="360" w:lineRule="auto"/>
        <w:ind w:left="0" w:firstLine="0"/>
        <w:jc w:val="both"/>
      </w:pPr>
      <w:r>
        <w:t xml:space="preserve">The above </w:t>
      </w:r>
      <w:r w:rsidR="00D439C2">
        <w:t xml:space="preserve">acts </w:t>
      </w:r>
      <w:r>
        <w:t xml:space="preserve">are clearly a desperate </w:t>
      </w:r>
      <w:r w:rsidR="00D439C2">
        <w:t xml:space="preserve">and last ditch </w:t>
      </w:r>
      <w:r>
        <w:t xml:space="preserve">attempt to salvage the milestones date which the court had already indicated earlier that </w:t>
      </w:r>
      <w:r w:rsidR="0051406A">
        <w:t>it would not move</w:t>
      </w:r>
      <w:r>
        <w:t>.</w:t>
      </w:r>
    </w:p>
    <w:p w:rsidR="003F641B" w:rsidRDefault="003F641B" w:rsidP="003F641B">
      <w:pPr>
        <w:pStyle w:val="ListParagraph"/>
      </w:pPr>
    </w:p>
    <w:p w:rsidR="00D439C2" w:rsidRDefault="003F641B" w:rsidP="00FA3D03">
      <w:pPr>
        <w:numPr>
          <w:ilvl w:val="0"/>
          <w:numId w:val="31"/>
        </w:numPr>
        <w:tabs>
          <w:tab w:val="clear" w:pos="4320"/>
          <w:tab w:val="clear" w:pos="9072"/>
        </w:tabs>
        <w:snapToGrid/>
        <w:spacing w:line="360" w:lineRule="auto"/>
        <w:ind w:left="0" w:firstLine="0"/>
        <w:jc w:val="both"/>
      </w:pPr>
      <w:r>
        <w:t xml:space="preserve">In my </w:t>
      </w:r>
      <w:r w:rsidR="00D439C2">
        <w:t>judgment</w:t>
      </w:r>
      <w:r>
        <w:t xml:space="preserve">, such last minute lodging of the hearing bundle and opening submissions not only </w:t>
      </w:r>
      <w:r w:rsidR="0051406A">
        <w:t xml:space="preserve">amount to </w:t>
      </w:r>
      <w:r>
        <w:t xml:space="preserve">a flagrant breach of the orders made by the masters and the deputy judge, they made a total </w:t>
      </w:r>
      <w:r>
        <w:lastRenderedPageBreak/>
        <w:t xml:space="preserve">mockery of the reasons of why having the case management directions at all, </w:t>
      </w:r>
      <w:proofErr w:type="spellStart"/>
      <w:r>
        <w:t>ie</w:t>
      </w:r>
      <w:proofErr w:type="spellEnd"/>
      <w:r>
        <w:t xml:space="preserve"> to assist the parties and the court to achieve the underlying objectives of the CJR.  </w:t>
      </w:r>
      <w:r w:rsidR="00D439C2">
        <w:t xml:space="preserve">Further, it demonstrates a </w:t>
      </w:r>
      <w:r w:rsidR="00710669">
        <w:t xml:space="preserve">strong </w:t>
      </w:r>
      <w:r w:rsidR="00D439C2">
        <w:t>sense of arrogance on the part of the plaintiff’s legal representatives who effectively tried to dictate to the court (and the other side) of the time they would allow the</w:t>
      </w:r>
      <w:r w:rsidR="002C154D">
        <w:t>m</w:t>
      </w:r>
      <w:r w:rsidR="00D439C2">
        <w:t xml:space="preserve"> to read into those documents. </w:t>
      </w:r>
    </w:p>
    <w:p w:rsidR="00D439C2" w:rsidRDefault="00D439C2" w:rsidP="00D439C2">
      <w:pPr>
        <w:pStyle w:val="ListParagraph"/>
      </w:pPr>
    </w:p>
    <w:p w:rsidR="00B46AC9" w:rsidRDefault="00D439C2" w:rsidP="00FA3D03">
      <w:pPr>
        <w:numPr>
          <w:ilvl w:val="0"/>
          <w:numId w:val="31"/>
        </w:numPr>
        <w:tabs>
          <w:tab w:val="clear" w:pos="4320"/>
          <w:tab w:val="clear" w:pos="9072"/>
        </w:tabs>
        <w:snapToGrid/>
        <w:spacing w:line="360" w:lineRule="auto"/>
        <w:ind w:left="0" w:firstLine="0"/>
        <w:jc w:val="both"/>
      </w:pPr>
      <w:r>
        <w:t xml:space="preserve">That is not right.  In my view, the court (or indeed the other party) should not be taken hostage by </w:t>
      </w:r>
      <w:r w:rsidR="002C154D">
        <w:t>the legal representatives of a party</w:t>
      </w:r>
      <w:r>
        <w:t xml:space="preserve"> due to their </w:t>
      </w:r>
      <w:r w:rsidR="0051406A">
        <w:t xml:space="preserve">own </w:t>
      </w:r>
      <w:r>
        <w:t xml:space="preserve">negligence, omission, </w:t>
      </w:r>
      <w:r w:rsidR="00B46AC9">
        <w:t>inefficiency</w:t>
      </w:r>
      <w:r>
        <w:t xml:space="preserve"> and/or </w:t>
      </w:r>
      <w:r w:rsidR="00B46AC9">
        <w:t xml:space="preserve">sheer incompetence, whatever the case may be which </w:t>
      </w:r>
      <w:r w:rsidR="0051406A">
        <w:t xml:space="preserve">have </w:t>
      </w:r>
      <w:r w:rsidR="00B46AC9">
        <w:t>caused their failures in complying with the orders</w:t>
      </w:r>
      <w:r w:rsidR="002C154D">
        <w:t xml:space="preserve"> </w:t>
      </w:r>
      <w:r w:rsidR="00525BC2">
        <w:t xml:space="preserve">of the court </w:t>
      </w:r>
      <w:r w:rsidR="002C154D">
        <w:t>in the first place</w:t>
      </w:r>
      <w:r w:rsidR="00B46AC9">
        <w:t>.</w:t>
      </w:r>
      <w:r>
        <w:t xml:space="preserve">  The</w:t>
      </w:r>
      <w:r w:rsidR="00B46AC9">
        <w:t xml:space="preserve"> court</w:t>
      </w:r>
      <w:r>
        <w:t xml:space="preserve"> should not be given limited time to read those documents.  On that count alone, </w:t>
      </w:r>
      <w:proofErr w:type="spellStart"/>
      <w:r>
        <w:t>eventhough</w:t>
      </w:r>
      <w:proofErr w:type="spellEnd"/>
      <w:r>
        <w:t xml:space="preserve"> the directions given at the PTR have now been complied with, </w:t>
      </w:r>
      <w:r w:rsidR="00B46AC9">
        <w:t xml:space="preserve">albeit </w:t>
      </w:r>
      <w:r w:rsidR="00710669">
        <w:t xml:space="preserve">completely out of time </w:t>
      </w:r>
      <w:r w:rsidR="002C154D">
        <w:t xml:space="preserve">and </w:t>
      </w:r>
      <w:r w:rsidR="00B46AC9">
        <w:t>at the very last</w:t>
      </w:r>
      <w:r w:rsidR="00710669">
        <w:t xml:space="preserve"> minute</w:t>
      </w:r>
      <w:r w:rsidR="00B46AC9">
        <w:t xml:space="preserve">, </w:t>
      </w:r>
      <w:r>
        <w:t>I am of the view that the case cannot and should not proceed today</w:t>
      </w:r>
      <w:r w:rsidR="00B46AC9">
        <w:t>.</w:t>
      </w:r>
      <w:r w:rsidR="007C691A">
        <w:t xml:space="preserve">  </w:t>
      </w:r>
    </w:p>
    <w:p w:rsidR="00B46AC9" w:rsidRDefault="00B46AC9" w:rsidP="00B46AC9">
      <w:pPr>
        <w:pStyle w:val="ListParagraph"/>
      </w:pPr>
    </w:p>
    <w:p w:rsidR="00710669" w:rsidRDefault="00B46AC9" w:rsidP="00FA3D03">
      <w:pPr>
        <w:numPr>
          <w:ilvl w:val="0"/>
          <w:numId w:val="31"/>
        </w:numPr>
        <w:tabs>
          <w:tab w:val="clear" w:pos="4320"/>
          <w:tab w:val="clear" w:pos="9072"/>
        </w:tabs>
        <w:snapToGrid/>
        <w:spacing w:line="360" w:lineRule="auto"/>
        <w:ind w:left="0" w:firstLine="0"/>
        <w:jc w:val="both"/>
      </w:pPr>
      <w:r>
        <w:t xml:space="preserve">On this occasion, </w:t>
      </w:r>
      <w:r w:rsidR="00710669">
        <w:t>having taken into account of the fact that</w:t>
      </w:r>
      <w:r w:rsidR="00A7583F">
        <w:t xml:space="preserve"> if I were to strike out or dismiss the c</w:t>
      </w:r>
      <w:r w:rsidR="002C154D">
        <w:t>ase</w:t>
      </w:r>
      <w:r w:rsidR="00A7583F">
        <w:t>, it would have a dire consequence</w:t>
      </w:r>
      <w:r w:rsidR="0051406A">
        <w:t xml:space="preserve"> and irreparable damage</w:t>
      </w:r>
      <w:r w:rsidR="00A7583F">
        <w:t xml:space="preserve"> to the plaintiff’</w:t>
      </w:r>
      <w:r w:rsidR="002C154D">
        <w:t>s claim</w:t>
      </w:r>
      <w:r w:rsidR="00A7583F">
        <w:t xml:space="preserve"> and would no doubt adversely affect his rights to obtain his damages</w:t>
      </w:r>
      <w:r w:rsidR="00710669">
        <w:t xml:space="preserve"> </w:t>
      </w:r>
      <w:r w:rsidR="00A7583F">
        <w:t xml:space="preserve">in </w:t>
      </w:r>
      <w:r w:rsidR="0051406A">
        <w:t xml:space="preserve">good </w:t>
      </w:r>
      <w:r w:rsidR="00A7583F">
        <w:t xml:space="preserve">time.  </w:t>
      </w:r>
      <w:r w:rsidR="002C154D">
        <w:t xml:space="preserve">Now that all the outstanding orders have been complied with, the assessment hearing in theory at least can now proceed.  </w:t>
      </w:r>
      <w:r w:rsidR="00525BC2">
        <w:t>Hence, with great reluctance</w:t>
      </w:r>
      <w:r w:rsidR="00710669">
        <w:t xml:space="preserve">, </w:t>
      </w:r>
      <w:r>
        <w:t>I am prepared to give the plaintiff’s solicitors one more chance to put their house in order.</w:t>
      </w:r>
      <w:r w:rsidR="00710669">
        <w:t xml:space="preserve">  I am prepared to have this case adjourned </w:t>
      </w:r>
      <w:r w:rsidR="00A7583F">
        <w:t xml:space="preserve">one last time for the plaintiff to </w:t>
      </w:r>
      <w:r w:rsidR="002C154D">
        <w:t xml:space="preserve">apply to </w:t>
      </w:r>
      <w:r w:rsidR="00A7583F">
        <w:t>restore the assessment hearing within 7 days and to re-lodge and re-serve his opening in Chinese (instead of current one which was written in English as the trial has been ordered to be conducted in Chinese) within 14 days</w:t>
      </w:r>
      <w:r w:rsidR="002C154D">
        <w:t xml:space="preserve"> from today</w:t>
      </w:r>
      <w:r w:rsidR="00A7583F">
        <w:t>.</w:t>
      </w:r>
      <w:r w:rsidR="002C154D">
        <w:t xml:space="preserve">  </w:t>
      </w:r>
      <w:r w:rsidR="00A7583F">
        <w:t xml:space="preserve">  </w:t>
      </w:r>
      <w:r w:rsidR="00710669">
        <w:t xml:space="preserve"> </w:t>
      </w:r>
    </w:p>
    <w:p w:rsidR="00710669" w:rsidRDefault="00710669" w:rsidP="00710669">
      <w:pPr>
        <w:pStyle w:val="ListParagraph"/>
      </w:pPr>
    </w:p>
    <w:p w:rsidR="00A7583F" w:rsidRDefault="00710669" w:rsidP="00375C10">
      <w:pPr>
        <w:numPr>
          <w:ilvl w:val="0"/>
          <w:numId w:val="31"/>
        </w:numPr>
        <w:tabs>
          <w:tab w:val="clear" w:pos="4320"/>
          <w:tab w:val="clear" w:pos="9072"/>
        </w:tabs>
        <w:snapToGrid/>
        <w:spacing w:line="360" w:lineRule="auto"/>
        <w:ind w:left="0" w:firstLine="0"/>
        <w:jc w:val="both"/>
      </w:pPr>
      <w:r>
        <w:t>I would also propose the costs caused by the adjournment to be borne by the plaintiff’s solicitors personally on an indemnity basis.  If the plaintiff’s solicitors take issue with this proposed costs order, I would invite them to make written representations within 14 days</w:t>
      </w:r>
      <w:r w:rsidR="00CC5781">
        <w:t xml:space="preserve"> to vary the same</w:t>
      </w:r>
      <w:r w:rsidR="00A7583F">
        <w:t xml:space="preserve">.  Otherwise, the proposed costs order will become absolute after the </w:t>
      </w:r>
      <w:r w:rsidR="00525BC2">
        <w:t xml:space="preserve">specified </w:t>
      </w:r>
      <w:r w:rsidR="00A7583F">
        <w:t>time.</w:t>
      </w:r>
    </w:p>
    <w:p w:rsidR="00A7583F" w:rsidRDefault="00A7583F" w:rsidP="00A7583F">
      <w:pPr>
        <w:pStyle w:val="ListParagraph"/>
      </w:pPr>
    </w:p>
    <w:p w:rsidR="00710669" w:rsidRDefault="00A7583F" w:rsidP="00375C10">
      <w:pPr>
        <w:numPr>
          <w:ilvl w:val="0"/>
          <w:numId w:val="31"/>
        </w:numPr>
        <w:tabs>
          <w:tab w:val="clear" w:pos="4320"/>
          <w:tab w:val="clear" w:pos="9072"/>
        </w:tabs>
        <w:snapToGrid/>
        <w:spacing w:line="360" w:lineRule="auto"/>
        <w:ind w:left="0" w:firstLine="0"/>
        <w:jc w:val="both"/>
      </w:pPr>
      <w:r>
        <w:t>Lastly, I would like to remind the plaintiff’s solicitors</w:t>
      </w:r>
      <w:r w:rsidR="00C14151">
        <w:t xml:space="preserve"> that should this pattern of </w:t>
      </w:r>
      <w:r w:rsidR="00CC5781">
        <w:t xml:space="preserve">failures to be repeated in other cases they are handling, I would have no hesitation to </w:t>
      </w:r>
      <w:r w:rsidR="00CB25E1">
        <w:t>strike out their claims in future.</w:t>
      </w:r>
      <w:r>
        <w:t xml:space="preserve"> </w:t>
      </w:r>
      <w:r w:rsidR="00710669">
        <w:t xml:space="preserve"> </w:t>
      </w:r>
    </w:p>
    <w:p w:rsidR="003F641B" w:rsidRDefault="00710669" w:rsidP="00710669">
      <w:pPr>
        <w:tabs>
          <w:tab w:val="clear" w:pos="4320"/>
          <w:tab w:val="clear" w:pos="9072"/>
        </w:tabs>
        <w:snapToGrid/>
        <w:spacing w:line="360" w:lineRule="auto"/>
        <w:jc w:val="both"/>
      </w:pPr>
      <w:r>
        <w:t xml:space="preserve"> </w:t>
      </w:r>
      <w:r w:rsidR="00B46AC9">
        <w:t xml:space="preserve">   </w:t>
      </w:r>
      <w:r w:rsidR="00D439C2">
        <w:t xml:space="preserve">     </w:t>
      </w:r>
      <w:r w:rsidR="003F641B">
        <w:t xml:space="preserve">      </w:t>
      </w:r>
    </w:p>
    <w:p w:rsidR="003F641B" w:rsidRDefault="003F641B" w:rsidP="003F641B">
      <w:pPr>
        <w:tabs>
          <w:tab w:val="clear" w:pos="4320"/>
          <w:tab w:val="clear" w:pos="9072"/>
        </w:tabs>
        <w:snapToGrid/>
        <w:spacing w:line="360" w:lineRule="auto"/>
        <w:jc w:val="both"/>
      </w:pPr>
    </w:p>
    <w:p w:rsidR="005B2D79" w:rsidRPr="0004260A" w:rsidRDefault="005B2D79" w:rsidP="0004260A">
      <w:pPr>
        <w:tabs>
          <w:tab w:val="clear" w:pos="1440"/>
          <w:tab w:val="clear" w:pos="4320"/>
          <w:tab w:val="left" w:pos="1418"/>
          <w:tab w:val="center" w:pos="6480"/>
        </w:tabs>
        <w:kinsoku w:val="0"/>
      </w:pPr>
      <w:r w:rsidRPr="00AA441C">
        <w:rPr>
          <w:sz w:val="32"/>
          <w:szCs w:val="32"/>
        </w:rPr>
        <w:tab/>
      </w:r>
      <w:r w:rsidRPr="00AA441C">
        <w:rPr>
          <w:sz w:val="32"/>
          <w:szCs w:val="32"/>
        </w:rPr>
        <w:tab/>
      </w:r>
      <w:proofErr w:type="gramStart"/>
      <w:r w:rsidRPr="0004260A">
        <w:t xml:space="preserve">( </w:t>
      </w:r>
      <w:r w:rsidR="00FA3D03">
        <w:t>Andrew</w:t>
      </w:r>
      <w:proofErr w:type="gramEnd"/>
      <w:r w:rsidR="00FA3D03">
        <w:t xml:space="preserve"> S Y Li</w:t>
      </w:r>
      <w:r w:rsidRPr="0004260A">
        <w:t xml:space="preserve"> )</w:t>
      </w:r>
    </w:p>
    <w:p w:rsidR="005B2D79" w:rsidRPr="0004260A" w:rsidRDefault="005B2D79" w:rsidP="0004260A">
      <w:pPr>
        <w:tabs>
          <w:tab w:val="clear" w:pos="1440"/>
          <w:tab w:val="clear" w:pos="4320"/>
          <w:tab w:val="left" w:pos="1418"/>
          <w:tab w:val="center" w:pos="6480"/>
        </w:tabs>
        <w:kinsoku w:val="0"/>
      </w:pPr>
      <w:r w:rsidRPr="0004260A">
        <w:tab/>
      </w:r>
      <w:r w:rsidRPr="0004260A">
        <w:tab/>
        <w:t>District Judge</w:t>
      </w:r>
    </w:p>
    <w:p w:rsidR="005B2D79" w:rsidRPr="00785B6E" w:rsidRDefault="005B2D79" w:rsidP="00785B6E">
      <w:pPr>
        <w:pStyle w:val="BodyText"/>
        <w:snapToGrid w:val="0"/>
        <w:spacing w:line="240" w:lineRule="auto"/>
      </w:pPr>
    </w:p>
    <w:p w:rsidR="005B2D79" w:rsidRPr="00785B6E" w:rsidRDefault="005B2D79" w:rsidP="00785B6E">
      <w:pPr>
        <w:pStyle w:val="BodyText"/>
        <w:snapToGrid w:val="0"/>
        <w:spacing w:line="240" w:lineRule="auto"/>
      </w:pPr>
    </w:p>
    <w:p w:rsidR="005B2D79" w:rsidRPr="00785B6E" w:rsidRDefault="005B2D79" w:rsidP="005B2D79">
      <w:pPr>
        <w:tabs>
          <w:tab w:val="clear" w:pos="1440"/>
          <w:tab w:val="clear" w:pos="4320"/>
          <w:tab w:val="left" w:pos="1418"/>
          <w:tab w:val="center" w:pos="5880"/>
        </w:tabs>
        <w:kinsoku w:val="0"/>
      </w:pPr>
      <w:proofErr w:type="spellStart"/>
      <w:r w:rsidRPr="00785B6E">
        <w:t>Mr</w:t>
      </w:r>
      <w:proofErr w:type="spellEnd"/>
      <w:r w:rsidRPr="00785B6E">
        <w:t xml:space="preserve"> </w:t>
      </w:r>
      <w:r w:rsidR="007B3C03">
        <w:t xml:space="preserve">Daniel </w:t>
      </w:r>
      <w:r w:rsidR="00CB25E1">
        <w:t>Tien-</w:t>
      </w:r>
      <w:proofErr w:type="spellStart"/>
      <w:r w:rsidR="00480500">
        <w:t>Yau</w:t>
      </w:r>
      <w:proofErr w:type="spellEnd"/>
      <w:r w:rsidR="00480500">
        <w:t xml:space="preserve"> </w:t>
      </w:r>
      <w:r w:rsidR="007B3C03">
        <w:t xml:space="preserve">Wong </w:t>
      </w:r>
      <w:r w:rsidR="00FA3D03">
        <w:t xml:space="preserve">of B </w:t>
      </w:r>
      <w:proofErr w:type="spellStart"/>
      <w:r w:rsidR="00FA3D03">
        <w:t>Mak</w:t>
      </w:r>
      <w:proofErr w:type="spellEnd"/>
      <w:r w:rsidR="00FA3D03">
        <w:t xml:space="preserve"> &amp; Co</w:t>
      </w:r>
      <w:r w:rsidR="00525BC2">
        <w:t>.</w:t>
      </w:r>
      <w:r w:rsidRPr="00785B6E">
        <w:t>, for the plaintiff</w:t>
      </w:r>
    </w:p>
    <w:p w:rsidR="005B2D79" w:rsidRPr="00785B6E" w:rsidRDefault="005B2D79" w:rsidP="005B2D79">
      <w:pPr>
        <w:tabs>
          <w:tab w:val="clear" w:pos="1440"/>
          <w:tab w:val="clear" w:pos="4320"/>
          <w:tab w:val="left" w:pos="1418"/>
          <w:tab w:val="center" w:pos="5880"/>
        </w:tabs>
        <w:kinsoku w:val="0"/>
      </w:pPr>
    </w:p>
    <w:p w:rsidR="005B2D79" w:rsidRPr="00785B6E" w:rsidRDefault="00FA3D03" w:rsidP="005B2D79">
      <w:pPr>
        <w:tabs>
          <w:tab w:val="clear" w:pos="1440"/>
          <w:tab w:val="clear" w:pos="4320"/>
          <w:tab w:val="left" w:pos="1418"/>
          <w:tab w:val="center" w:pos="5880"/>
        </w:tabs>
        <w:kinsoku w:val="0"/>
      </w:pPr>
      <w:r>
        <w:t>The 1</w:t>
      </w:r>
      <w:r w:rsidRPr="00FA3D03">
        <w:rPr>
          <w:vertAlign w:val="superscript"/>
        </w:rPr>
        <w:t>st</w:t>
      </w:r>
      <w:r>
        <w:t xml:space="preserve"> defendant was not represented and </w:t>
      </w:r>
      <w:r w:rsidR="00480500">
        <w:t xml:space="preserve">being </w:t>
      </w:r>
      <w:r>
        <w:t>a</w:t>
      </w:r>
      <w:r w:rsidR="00D6430E">
        <w:t>bsent</w:t>
      </w:r>
    </w:p>
    <w:sectPr w:rsidR="005B2D79" w:rsidRPr="00785B6E" w:rsidSect="005B2D79">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347E" w:rsidRDefault="0075347E">
      <w:r>
        <w:separator/>
      </w:r>
    </w:p>
  </w:endnote>
  <w:endnote w:type="continuationSeparator" w:id="0">
    <w:p w:rsidR="0075347E" w:rsidRDefault="00753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A31" w:rsidRDefault="00865A31">
    <w:pPr>
      <w:pStyle w:val="Footer"/>
      <w:framePr w:wrap="auto" w:vAnchor="text" w:hAnchor="margin" w:xAlign="right" w:y="1"/>
      <w:rPr>
        <w:rStyle w:val="PageNumber"/>
      </w:rPr>
    </w:pPr>
  </w:p>
  <w:p w:rsidR="00865A31" w:rsidRDefault="00865A3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347E" w:rsidRDefault="0075347E">
      <w:r>
        <w:separator/>
      </w:r>
    </w:p>
  </w:footnote>
  <w:footnote w:type="continuationSeparator" w:id="0">
    <w:p w:rsidR="0075347E" w:rsidRDefault="007534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A31" w:rsidRDefault="00865A31">
    <w:pPr>
      <w:pStyle w:val="Header"/>
    </w:pPr>
    <w:r w:rsidRPr="006C6DEC">
      <w:rPr>
        <w:noProof/>
        <w:sz w:val="20"/>
      </w:rPr>
      <mc:AlternateContent>
        <mc:Choice Requires="wps">
          <w:drawing>
            <wp:anchor distT="0" distB="0" distL="114300" distR="114300" simplePos="0" relativeHeight="251656192" behindDoc="0" locked="0" layoutInCell="0" allowOverlap="1">
              <wp:simplePos x="0" y="0"/>
              <wp:positionH relativeFrom="column">
                <wp:posOffset>5762625</wp:posOffset>
              </wp:positionH>
              <wp:positionV relativeFrom="paragraph">
                <wp:posOffset>153035</wp:posOffset>
              </wp:positionV>
              <wp:extent cx="475615" cy="101765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10176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5A31" w:rsidRDefault="00865A31" w:rsidP="005B2D79">
                          <w:pPr>
                            <w:ind w:right="-165"/>
                            <w:rPr>
                              <w:b/>
                              <w:bCs/>
                              <w:sz w:val="20"/>
                              <w:szCs w:val="20"/>
                            </w:rPr>
                          </w:pPr>
                          <w:r>
                            <w:rPr>
                              <w:b/>
                              <w:bCs/>
                              <w:sz w:val="20"/>
                              <w:szCs w:val="20"/>
                            </w:rPr>
                            <w:t>A</w:t>
                          </w:r>
                        </w:p>
                        <w:p w:rsidR="00865A31" w:rsidRDefault="00865A31" w:rsidP="005B2D79">
                          <w:pPr>
                            <w:ind w:right="-165"/>
                            <w:rPr>
                              <w:b/>
                              <w:bCs/>
                              <w:sz w:val="10"/>
                              <w:szCs w:val="10"/>
                            </w:rPr>
                          </w:pPr>
                        </w:p>
                        <w:p w:rsidR="00865A31" w:rsidRDefault="00865A31" w:rsidP="005B2D79">
                          <w:pPr>
                            <w:ind w:right="-165"/>
                            <w:rPr>
                              <w:b/>
                              <w:bCs/>
                              <w:sz w:val="16"/>
                              <w:szCs w:val="16"/>
                            </w:rPr>
                          </w:pPr>
                        </w:p>
                        <w:p w:rsidR="00865A31" w:rsidRDefault="00865A31" w:rsidP="005B2D79">
                          <w:pPr>
                            <w:ind w:right="-165"/>
                            <w:rPr>
                              <w:b/>
                              <w:bCs/>
                              <w:sz w:val="16"/>
                              <w:szCs w:val="16"/>
                            </w:rPr>
                          </w:pPr>
                        </w:p>
                        <w:p w:rsidR="00865A31" w:rsidRDefault="00865A31" w:rsidP="005B2D79">
                          <w:pPr>
                            <w:ind w:right="-165"/>
                            <w:rPr>
                              <w:b/>
                              <w:bCs/>
                              <w:sz w:val="20"/>
                              <w:szCs w:val="20"/>
                            </w:rPr>
                          </w:pPr>
                          <w:r>
                            <w:rPr>
                              <w:b/>
                              <w:bCs/>
                              <w:sz w:val="20"/>
                              <w:szCs w:val="20"/>
                            </w:rPr>
                            <w:t>B</w:t>
                          </w:r>
                        </w:p>
                        <w:p w:rsidR="00865A31" w:rsidRDefault="00865A31" w:rsidP="005B2D79">
                          <w:pPr>
                            <w:ind w:right="-165"/>
                            <w:rPr>
                              <w:b/>
                              <w:bCs/>
                              <w:sz w:val="10"/>
                              <w:szCs w:val="10"/>
                            </w:rPr>
                          </w:pPr>
                        </w:p>
                        <w:p w:rsidR="00865A31" w:rsidRDefault="00865A31" w:rsidP="005B2D79">
                          <w:pPr>
                            <w:ind w:right="-165"/>
                            <w:rPr>
                              <w:b/>
                              <w:bCs/>
                              <w:sz w:val="16"/>
                              <w:szCs w:val="16"/>
                            </w:rPr>
                          </w:pPr>
                        </w:p>
                        <w:p w:rsidR="00865A31" w:rsidRDefault="00865A31" w:rsidP="005B2D79">
                          <w:pPr>
                            <w:ind w:right="-165"/>
                            <w:rPr>
                              <w:b/>
                              <w:bCs/>
                              <w:sz w:val="16"/>
                              <w:szCs w:val="16"/>
                            </w:rPr>
                          </w:pPr>
                        </w:p>
                        <w:p w:rsidR="00865A31" w:rsidRDefault="00865A31" w:rsidP="005B2D79">
                          <w:pPr>
                            <w:ind w:right="-165"/>
                            <w:rPr>
                              <w:b/>
                              <w:bCs/>
                              <w:sz w:val="16"/>
                              <w:szCs w:val="16"/>
                            </w:rPr>
                          </w:pPr>
                          <w:r>
                            <w:rPr>
                              <w:b/>
                              <w:bCs/>
                              <w:sz w:val="20"/>
                              <w:szCs w:val="20"/>
                            </w:rPr>
                            <w:t>C</w:t>
                          </w:r>
                        </w:p>
                        <w:p w:rsidR="00865A31" w:rsidRDefault="00865A31" w:rsidP="005B2D79">
                          <w:pPr>
                            <w:ind w:right="-165"/>
                            <w:rPr>
                              <w:b/>
                              <w:bCs/>
                              <w:sz w:val="10"/>
                              <w:szCs w:val="10"/>
                            </w:rPr>
                          </w:pPr>
                        </w:p>
                        <w:p w:rsidR="00865A31" w:rsidRDefault="00865A31" w:rsidP="005B2D79">
                          <w:pPr>
                            <w:ind w:right="-165"/>
                            <w:rPr>
                              <w:b/>
                              <w:bCs/>
                              <w:sz w:val="16"/>
                              <w:szCs w:val="16"/>
                            </w:rPr>
                          </w:pPr>
                        </w:p>
                        <w:p w:rsidR="00865A31" w:rsidRDefault="00865A31" w:rsidP="005B2D79">
                          <w:pPr>
                            <w:ind w:right="-165"/>
                            <w:rPr>
                              <w:b/>
                              <w:bCs/>
                              <w:sz w:val="16"/>
                              <w:szCs w:val="16"/>
                            </w:rPr>
                          </w:pPr>
                        </w:p>
                        <w:p w:rsidR="00865A31" w:rsidRDefault="00865A31" w:rsidP="005B2D79">
                          <w:pPr>
                            <w:pStyle w:val="Heading2"/>
                            <w:ind w:right="-165"/>
                            <w:rPr>
                              <w:sz w:val="16"/>
                              <w:szCs w:val="16"/>
                            </w:rPr>
                          </w:pPr>
                          <w:r>
                            <w:t>D</w:t>
                          </w:r>
                        </w:p>
                        <w:p w:rsidR="00865A31" w:rsidRDefault="00865A31" w:rsidP="005B2D79">
                          <w:pPr>
                            <w:ind w:right="-165"/>
                            <w:rPr>
                              <w:b/>
                              <w:bCs/>
                              <w:sz w:val="10"/>
                              <w:szCs w:val="10"/>
                            </w:rPr>
                          </w:pPr>
                        </w:p>
                        <w:p w:rsidR="00865A31" w:rsidRDefault="00865A31" w:rsidP="005B2D79">
                          <w:pPr>
                            <w:ind w:right="-165"/>
                            <w:rPr>
                              <w:b/>
                              <w:bCs/>
                              <w:sz w:val="16"/>
                              <w:szCs w:val="16"/>
                            </w:rPr>
                          </w:pPr>
                        </w:p>
                        <w:p w:rsidR="00865A31" w:rsidRDefault="00865A31" w:rsidP="005B2D79">
                          <w:pPr>
                            <w:ind w:right="-165"/>
                            <w:rPr>
                              <w:b/>
                              <w:bCs/>
                              <w:sz w:val="16"/>
                              <w:szCs w:val="16"/>
                            </w:rPr>
                          </w:pPr>
                        </w:p>
                        <w:p w:rsidR="00865A31" w:rsidRDefault="00865A31" w:rsidP="005B2D79">
                          <w:pPr>
                            <w:ind w:right="-165"/>
                            <w:rPr>
                              <w:b/>
                              <w:bCs/>
                              <w:sz w:val="16"/>
                              <w:szCs w:val="16"/>
                            </w:rPr>
                          </w:pPr>
                          <w:r>
                            <w:rPr>
                              <w:b/>
                              <w:bCs/>
                              <w:sz w:val="20"/>
                              <w:szCs w:val="20"/>
                            </w:rPr>
                            <w:t>E</w:t>
                          </w:r>
                        </w:p>
                        <w:p w:rsidR="00865A31" w:rsidRDefault="00865A31" w:rsidP="005B2D79">
                          <w:pPr>
                            <w:ind w:right="-165"/>
                            <w:rPr>
                              <w:b/>
                              <w:bCs/>
                              <w:sz w:val="10"/>
                              <w:szCs w:val="10"/>
                            </w:rPr>
                          </w:pPr>
                        </w:p>
                        <w:p w:rsidR="00865A31" w:rsidRDefault="00865A31" w:rsidP="005B2D79">
                          <w:pPr>
                            <w:ind w:right="-165"/>
                            <w:rPr>
                              <w:b/>
                              <w:bCs/>
                              <w:sz w:val="16"/>
                              <w:szCs w:val="16"/>
                            </w:rPr>
                          </w:pPr>
                        </w:p>
                        <w:p w:rsidR="00865A31" w:rsidRDefault="00865A31" w:rsidP="005B2D79">
                          <w:pPr>
                            <w:ind w:right="-165"/>
                            <w:rPr>
                              <w:b/>
                              <w:bCs/>
                              <w:sz w:val="16"/>
                              <w:szCs w:val="16"/>
                            </w:rPr>
                          </w:pPr>
                        </w:p>
                        <w:p w:rsidR="00865A31" w:rsidRDefault="00865A31" w:rsidP="005B2D79">
                          <w:pPr>
                            <w:ind w:right="-165"/>
                            <w:rPr>
                              <w:b/>
                              <w:bCs/>
                              <w:sz w:val="20"/>
                              <w:szCs w:val="20"/>
                            </w:rPr>
                          </w:pPr>
                          <w:r>
                            <w:rPr>
                              <w:b/>
                              <w:bCs/>
                              <w:sz w:val="20"/>
                              <w:szCs w:val="20"/>
                            </w:rPr>
                            <w:t>F</w:t>
                          </w:r>
                        </w:p>
                        <w:p w:rsidR="00865A31" w:rsidRDefault="00865A31" w:rsidP="005B2D79">
                          <w:pPr>
                            <w:ind w:right="-165"/>
                            <w:rPr>
                              <w:b/>
                              <w:bCs/>
                              <w:sz w:val="10"/>
                              <w:szCs w:val="10"/>
                            </w:rPr>
                          </w:pPr>
                        </w:p>
                        <w:p w:rsidR="00865A31" w:rsidRDefault="00865A31" w:rsidP="005B2D79">
                          <w:pPr>
                            <w:ind w:right="-165"/>
                            <w:rPr>
                              <w:b/>
                              <w:bCs/>
                              <w:sz w:val="16"/>
                              <w:szCs w:val="16"/>
                            </w:rPr>
                          </w:pPr>
                        </w:p>
                        <w:p w:rsidR="00865A31" w:rsidRDefault="00865A31" w:rsidP="005B2D79">
                          <w:pPr>
                            <w:ind w:right="-165"/>
                            <w:rPr>
                              <w:b/>
                              <w:bCs/>
                              <w:sz w:val="16"/>
                              <w:szCs w:val="16"/>
                            </w:rPr>
                          </w:pPr>
                        </w:p>
                        <w:p w:rsidR="00865A31" w:rsidRDefault="00865A31" w:rsidP="005B2D79">
                          <w:pPr>
                            <w:ind w:right="-165"/>
                            <w:rPr>
                              <w:b/>
                              <w:bCs/>
                              <w:sz w:val="16"/>
                              <w:szCs w:val="16"/>
                            </w:rPr>
                          </w:pPr>
                          <w:r>
                            <w:rPr>
                              <w:b/>
                              <w:bCs/>
                              <w:sz w:val="20"/>
                              <w:szCs w:val="20"/>
                            </w:rPr>
                            <w:t>G</w:t>
                          </w:r>
                        </w:p>
                        <w:p w:rsidR="00865A31" w:rsidRDefault="00865A31" w:rsidP="005B2D79">
                          <w:pPr>
                            <w:ind w:right="-165"/>
                            <w:rPr>
                              <w:b/>
                              <w:bCs/>
                              <w:sz w:val="10"/>
                              <w:szCs w:val="10"/>
                            </w:rPr>
                          </w:pPr>
                        </w:p>
                        <w:p w:rsidR="00865A31" w:rsidRDefault="00865A31" w:rsidP="005B2D79">
                          <w:pPr>
                            <w:ind w:right="-165"/>
                            <w:rPr>
                              <w:b/>
                              <w:bCs/>
                              <w:sz w:val="16"/>
                              <w:szCs w:val="16"/>
                            </w:rPr>
                          </w:pPr>
                        </w:p>
                        <w:p w:rsidR="00865A31" w:rsidRDefault="00865A31" w:rsidP="005B2D79">
                          <w:pPr>
                            <w:ind w:right="-165"/>
                            <w:rPr>
                              <w:b/>
                              <w:bCs/>
                              <w:sz w:val="16"/>
                              <w:szCs w:val="16"/>
                            </w:rPr>
                          </w:pPr>
                        </w:p>
                        <w:p w:rsidR="00865A31" w:rsidRDefault="00865A31" w:rsidP="005B2D79">
                          <w:pPr>
                            <w:ind w:right="-165"/>
                            <w:rPr>
                              <w:b/>
                              <w:bCs/>
                              <w:sz w:val="16"/>
                              <w:szCs w:val="16"/>
                            </w:rPr>
                          </w:pPr>
                          <w:r>
                            <w:rPr>
                              <w:b/>
                              <w:bCs/>
                              <w:sz w:val="20"/>
                              <w:szCs w:val="20"/>
                            </w:rPr>
                            <w:t>H</w:t>
                          </w:r>
                        </w:p>
                        <w:p w:rsidR="00865A31" w:rsidRDefault="00865A31" w:rsidP="005B2D79">
                          <w:pPr>
                            <w:ind w:right="-165"/>
                            <w:rPr>
                              <w:b/>
                              <w:bCs/>
                              <w:sz w:val="10"/>
                              <w:szCs w:val="10"/>
                            </w:rPr>
                          </w:pPr>
                        </w:p>
                        <w:p w:rsidR="00865A31" w:rsidRDefault="00865A31" w:rsidP="005B2D79">
                          <w:pPr>
                            <w:ind w:right="-165"/>
                            <w:rPr>
                              <w:b/>
                              <w:bCs/>
                              <w:sz w:val="16"/>
                              <w:szCs w:val="16"/>
                            </w:rPr>
                          </w:pPr>
                        </w:p>
                        <w:p w:rsidR="00865A31" w:rsidRDefault="00865A31" w:rsidP="005B2D79">
                          <w:pPr>
                            <w:ind w:right="-165"/>
                            <w:rPr>
                              <w:b/>
                              <w:bCs/>
                              <w:sz w:val="16"/>
                              <w:szCs w:val="16"/>
                            </w:rPr>
                          </w:pPr>
                        </w:p>
                        <w:p w:rsidR="00865A31" w:rsidRDefault="00865A31" w:rsidP="005B2D79">
                          <w:pPr>
                            <w:ind w:right="-165"/>
                            <w:rPr>
                              <w:b/>
                              <w:bCs/>
                              <w:sz w:val="16"/>
                              <w:szCs w:val="16"/>
                            </w:rPr>
                          </w:pPr>
                          <w:r>
                            <w:rPr>
                              <w:b/>
                              <w:bCs/>
                              <w:sz w:val="20"/>
                              <w:szCs w:val="20"/>
                            </w:rPr>
                            <w:t>I</w:t>
                          </w:r>
                        </w:p>
                        <w:p w:rsidR="00865A31" w:rsidRDefault="00865A31" w:rsidP="005B2D79">
                          <w:pPr>
                            <w:ind w:right="-165"/>
                            <w:rPr>
                              <w:b/>
                              <w:bCs/>
                              <w:sz w:val="10"/>
                              <w:szCs w:val="10"/>
                            </w:rPr>
                          </w:pPr>
                        </w:p>
                        <w:p w:rsidR="00865A31" w:rsidRDefault="00865A31" w:rsidP="005B2D79">
                          <w:pPr>
                            <w:ind w:right="-165"/>
                            <w:rPr>
                              <w:b/>
                              <w:bCs/>
                              <w:sz w:val="16"/>
                              <w:szCs w:val="16"/>
                            </w:rPr>
                          </w:pPr>
                        </w:p>
                        <w:p w:rsidR="00865A31" w:rsidRDefault="00865A31" w:rsidP="005B2D79">
                          <w:pPr>
                            <w:ind w:right="-165"/>
                            <w:rPr>
                              <w:b/>
                              <w:bCs/>
                              <w:sz w:val="16"/>
                              <w:szCs w:val="16"/>
                            </w:rPr>
                          </w:pPr>
                        </w:p>
                        <w:p w:rsidR="00865A31" w:rsidRDefault="00865A31" w:rsidP="005B2D79">
                          <w:pPr>
                            <w:ind w:right="-165"/>
                            <w:rPr>
                              <w:b/>
                              <w:bCs/>
                              <w:sz w:val="16"/>
                              <w:szCs w:val="16"/>
                            </w:rPr>
                          </w:pPr>
                          <w:r>
                            <w:rPr>
                              <w:b/>
                              <w:bCs/>
                              <w:sz w:val="20"/>
                              <w:szCs w:val="20"/>
                            </w:rPr>
                            <w:t>J</w:t>
                          </w:r>
                        </w:p>
                        <w:p w:rsidR="00865A31" w:rsidRDefault="00865A31" w:rsidP="005B2D79">
                          <w:pPr>
                            <w:ind w:right="-165"/>
                            <w:rPr>
                              <w:b/>
                              <w:bCs/>
                              <w:sz w:val="10"/>
                              <w:szCs w:val="10"/>
                            </w:rPr>
                          </w:pPr>
                        </w:p>
                        <w:p w:rsidR="00865A31" w:rsidRDefault="00865A31" w:rsidP="005B2D79">
                          <w:pPr>
                            <w:ind w:right="-165"/>
                            <w:rPr>
                              <w:b/>
                              <w:bCs/>
                              <w:sz w:val="16"/>
                              <w:szCs w:val="16"/>
                            </w:rPr>
                          </w:pPr>
                        </w:p>
                        <w:p w:rsidR="00865A31" w:rsidRDefault="00865A31" w:rsidP="005B2D79">
                          <w:pPr>
                            <w:ind w:right="-165"/>
                            <w:rPr>
                              <w:b/>
                              <w:bCs/>
                              <w:sz w:val="16"/>
                              <w:szCs w:val="16"/>
                            </w:rPr>
                          </w:pPr>
                        </w:p>
                        <w:p w:rsidR="00865A31" w:rsidRDefault="00865A31" w:rsidP="005B2D79">
                          <w:pPr>
                            <w:ind w:right="-165"/>
                            <w:rPr>
                              <w:b/>
                              <w:bCs/>
                              <w:sz w:val="16"/>
                              <w:szCs w:val="16"/>
                            </w:rPr>
                          </w:pPr>
                          <w:r>
                            <w:rPr>
                              <w:b/>
                              <w:bCs/>
                              <w:sz w:val="20"/>
                              <w:szCs w:val="20"/>
                            </w:rPr>
                            <w:t>K</w:t>
                          </w:r>
                        </w:p>
                        <w:p w:rsidR="00865A31" w:rsidRDefault="00865A31" w:rsidP="005B2D79">
                          <w:pPr>
                            <w:ind w:right="-165"/>
                            <w:rPr>
                              <w:b/>
                              <w:bCs/>
                              <w:sz w:val="10"/>
                              <w:szCs w:val="10"/>
                            </w:rPr>
                          </w:pPr>
                        </w:p>
                        <w:p w:rsidR="00865A31" w:rsidRDefault="00865A31" w:rsidP="005B2D79">
                          <w:pPr>
                            <w:ind w:right="-165"/>
                            <w:rPr>
                              <w:b/>
                              <w:bCs/>
                              <w:sz w:val="16"/>
                              <w:szCs w:val="16"/>
                            </w:rPr>
                          </w:pPr>
                        </w:p>
                        <w:p w:rsidR="00865A31" w:rsidRDefault="00865A31" w:rsidP="005B2D79">
                          <w:pPr>
                            <w:ind w:right="-165"/>
                            <w:rPr>
                              <w:b/>
                              <w:bCs/>
                              <w:sz w:val="16"/>
                              <w:szCs w:val="16"/>
                            </w:rPr>
                          </w:pPr>
                        </w:p>
                        <w:p w:rsidR="00865A31" w:rsidRDefault="00865A31" w:rsidP="005B2D79">
                          <w:pPr>
                            <w:ind w:right="-165"/>
                            <w:rPr>
                              <w:b/>
                              <w:bCs/>
                              <w:sz w:val="16"/>
                              <w:szCs w:val="16"/>
                            </w:rPr>
                          </w:pPr>
                          <w:r>
                            <w:rPr>
                              <w:b/>
                              <w:bCs/>
                              <w:sz w:val="20"/>
                              <w:szCs w:val="20"/>
                            </w:rPr>
                            <w:t>L</w:t>
                          </w:r>
                        </w:p>
                        <w:p w:rsidR="00865A31" w:rsidRDefault="00865A31" w:rsidP="005B2D79">
                          <w:pPr>
                            <w:ind w:right="-165"/>
                            <w:rPr>
                              <w:b/>
                              <w:bCs/>
                              <w:sz w:val="10"/>
                              <w:szCs w:val="10"/>
                            </w:rPr>
                          </w:pPr>
                        </w:p>
                        <w:p w:rsidR="00865A31" w:rsidRDefault="00865A31" w:rsidP="005B2D79">
                          <w:pPr>
                            <w:ind w:right="-165"/>
                            <w:rPr>
                              <w:b/>
                              <w:bCs/>
                              <w:sz w:val="16"/>
                              <w:szCs w:val="16"/>
                            </w:rPr>
                          </w:pPr>
                        </w:p>
                        <w:p w:rsidR="00865A31" w:rsidRDefault="00865A31" w:rsidP="005B2D79">
                          <w:pPr>
                            <w:ind w:right="-165"/>
                            <w:rPr>
                              <w:b/>
                              <w:bCs/>
                              <w:sz w:val="16"/>
                              <w:szCs w:val="16"/>
                            </w:rPr>
                          </w:pPr>
                        </w:p>
                        <w:p w:rsidR="00865A31" w:rsidRDefault="00865A31" w:rsidP="005B2D79">
                          <w:pPr>
                            <w:ind w:right="-165"/>
                            <w:rPr>
                              <w:b/>
                              <w:bCs/>
                              <w:sz w:val="16"/>
                              <w:szCs w:val="16"/>
                            </w:rPr>
                          </w:pPr>
                          <w:r>
                            <w:rPr>
                              <w:b/>
                              <w:bCs/>
                              <w:sz w:val="20"/>
                              <w:szCs w:val="20"/>
                            </w:rPr>
                            <w:t>M</w:t>
                          </w:r>
                        </w:p>
                        <w:p w:rsidR="00865A31" w:rsidRDefault="00865A31" w:rsidP="005B2D79">
                          <w:pPr>
                            <w:ind w:right="-165"/>
                            <w:rPr>
                              <w:b/>
                              <w:bCs/>
                              <w:sz w:val="10"/>
                              <w:szCs w:val="10"/>
                            </w:rPr>
                          </w:pPr>
                        </w:p>
                        <w:p w:rsidR="00865A31" w:rsidRDefault="00865A31" w:rsidP="005B2D79">
                          <w:pPr>
                            <w:ind w:right="-165"/>
                            <w:rPr>
                              <w:b/>
                              <w:bCs/>
                              <w:sz w:val="16"/>
                              <w:szCs w:val="16"/>
                            </w:rPr>
                          </w:pPr>
                        </w:p>
                        <w:p w:rsidR="00865A31" w:rsidRDefault="00865A31" w:rsidP="005B2D79">
                          <w:pPr>
                            <w:ind w:right="-165"/>
                            <w:rPr>
                              <w:b/>
                              <w:bCs/>
                              <w:sz w:val="16"/>
                              <w:szCs w:val="16"/>
                            </w:rPr>
                          </w:pPr>
                        </w:p>
                        <w:p w:rsidR="00865A31" w:rsidRDefault="00865A31" w:rsidP="005B2D79">
                          <w:pPr>
                            <w:ind w:right="-165"/>
                            <w:rPr>
                              <w:b/>
                              <w:bCs/>
                              <w:sz w:val="16"/>
                              <w:szCs w:val="16"/>
                            </w:rPr>
                          </w:pPr>
                          <w:r>
                            <w:rPr>
                              <w:b/>
                              <w:bCs/>
                              <w:sz w:val="20"/>
                              <w:szCs w:val="20"/>
                            </w:rPr>
                            <w:t>N</w:t>
                          </w:r>
                        </w:p>
                        <w:p w:rsidR="00865A31" w:rsidRDefault="00865A31" w:rsidP="005B2D79">
                          <w:pPr>
                            <w:ind w:right="-165"/>
                            <w:rPr>
                              <w:b/>
                              <w:bCs/>
                              <w:sz w:val="10"/>
                              <w:szCs w:val="10"/>
                            </w:rPr>
                          </w:pPr>
                        </w:p>
                        <w:p w:rsidR="00865A31" w:rsidRDefault="00865A31" w:rsidP="005B2D79">
                          <w:pPr>
                            <w:ind w:right="-165"/>
                            <w:rPr>
                              <w:b/>
                              <w:bCs/>
                              <w:sz w:val="16"/>
                              <w:szCs w:val="16"/>
                            </w:rPr>
                          </w:pPr>
                        </w:p>
                        <w:p w:rsidR="00865A31" w:rsidRDefault="00865A31" w:rsidP="005B2D79">
                          <w:pPr>
                            <w:ind w:right="-165"/>
                            <w:rPr>
                              <w:b/>
                              <w:bCs/>
                              <w:sz w:val="16"/>
                              <w:szCs w:val="16"/>
                            </w:rPr>
                          </w:pPr>
                        </w:p>
                        <w:p w:rsidR="00865A31" w:rsidRDefault="00865A31" w:rsidP="005B2D79">
                          <w:pPr>
                            <w:ind w:right="-165"/>
                            <w:rPr>
                              <w:b/>
                              <w:bCs/>
                              <w:sz w:val="16"/>
                              <w:szCs w:val="16"/>
                            </w:rPr>
                          </w:pPr>
                          <w:r>
                            <w:rPr>
                              <w:b/>
                              <w:bCs/>
                              <w:sz w:val="20"/>
                              <w:szCs w:val="20"/>
                            </w:rPr>
                            <w:t>O</w:t>
                          </w:r>
                        </w:p>
                        <w:p w:rsidR="00865A31" w:rsidRDefault="00865A31" w:rsidP="005B2D79">
                          <w:pPr>
                            <w:ind w:right="-165"/>
                            <w:rPr>
                              <w:b/>
                              <w:bCs/>
                              <w:sz w:val="10"/>
                              <w:szCs w:val="10"/>
                            </w:rPr>
                          </w:pPr>
                        </w:p>
                        <w:p w:rsidR="00865A31" w:rsidRDefault="00865A31" w:rsidP="005B2D79">
                          <w:pPr>
                            <w:ind w:right="-165"/>
                            <w:rPr>
                              <w:b/>
                              <w:bCs/>
                              <w:sz w:val="16"/>
                              <w:szCs w:val="16"/>
                            </w:rPr>
                          </w:pPr>
                        </w:p>
                        <w:p w:rsidR="00865A31" w:rsidRDefault="00865A31" w:rsidP="005B2D79">
                          <w:pPr>
                            <w:ind w:right="-165"/>
                            <w:rPr>
                              <w:b/>
                              <w:bCs/>
                              <w:sz w:val="16"/>
                              <w:szCs w:val="16"/>
                            </w:rPr>
                          </w:pPr>
                        </w:p>
                        <w:p w:rsidR="00865A31" w:rsidRDefault="00865A31" w:rsidP="005B2D79">
                          <w:pPr>
                            <w:ind w:right="-165"/>
                            <w:rPr>
                              <w:b/>
                              <w:bCs/>
                              <w:sz w:val="16"/>
                              <w:szCs w:val="16"/>
                            </w:rPr>
                          </w:pPr>
                          <w:r>
                            <w:rPr>
                              <w:b/>
                              <w:bCs/>
                              <w:sz w:val="20"/>
                              <w:szCs w:val="20"/>
                            </w:rPr>
                            <w:t>P</w:t>
                          </w:r>
                        </w:p>
                        <w:p w:rsidR="00865A31" w:rsidRDefault="00865A31" w:rsidP="005B2D79">
                          <w:pPr>
                            <w:ind w:right="-165"/>
                            <w:rPr>
                              <w:b/>
                              <w:bCs/>
                              <w:sz w:val="10"/>
                              <w:szCs w:val="10"/>
                            </w:rPr>
                          </w:pPr>
                        </w:p>
                        <w:p w:rsidR="00865A31" w:rsidRDefault="00865A31" w:rsidP="005B2D79">
                          <w:pPr>
                            <w:ind w:right="-165"/>
                            <w:rPr>
                              <w:b/>
                              <w:bCs/>
                              <w:sz w:val="16"/>
                              <w:szCs w:val="16"/>
                            </w:rPr>
                          </w:pPr>
                        </w:p>
                        <w:p w:rsidR="00865A31" w:rsidRDefault="00865A31" w:rsidP="005B2D79">
                          <w:pPr>
                            <w:ind w:right="-165"/>
                            <w:rPr>
                              <w:b/>
                              <w:bCs/>
                              <w:sz w:val="16"/>
                              <w:szCs w:val="16"/>
                            </w:rPr>
                          </w:pPr>
                        </w:p>
                        <w:p w:rsidR="00865A31" w:rsidRDefault="00865A31" w:rsidP="005B2D79">
                          <w:pPr>
                            <w:ind w:right="-165"/>
                            <w:rPr>
                              <w:b/>
                              <w:bCs/>
                              <w:sz w:val="16"/>
                              <w:szCs w:val="16"/>
                            </w:rPr>
                          </w:pPr>
                          <w:r>
                            <w:rPr>
                              <w:b/>
                              <w:bCs/>
                              <w:sz w:val="20"/>
                              <w:szCs w:val="20"/>
                            </w:rPr>
                            <w:t>Q</w:t>
                          </w:r>
                        </w:p>
                        <w:p w:rsidR="00865A31" w:rsidRDefault="00865A31" w:rsidP="005B2D79">
                          <w:pPr>
                            <w:ind w:right="-165"/>
                            <w:rPr>
                              <w:b/>
                              <w:bCs/>
                              <w:sz w:val="10"/>
                              <w:szCs w:val="10"/>
                            </w:rPr>
                          </w:pPr>
                        </w:p>
                        <w:p w:rsidR="00865A31" w:rsidRDefault="00865A31" w:rsidP="005B2D79">
                          <w:pPr>
                            <w:ind w:right="-165"/>
                            <w:rPr>
                              <w:b/>
                              <w:bCs/>
                              <w:sz w:val="16"/>
                              <w:szCs w:val="16"/>
                            </w:rPr>
                          </w:pPr>
                        </w:p>
                        <w:p w:rsidR="00865A31" w:rsidRDefault="00865A31" w:rsidP="005B2D79">
                          <w:pPr>
                            <w:ind w:right="-165"/>
                            <w:rPr>
                              <w:b/>
                              <w:bCs/>
                              <w:sz w:val="16"/>
                              <w:szCs w:val="16"/>
                            </w:rPr>
                          </w:pPr>
                        </w:p>
                        <w:p w:rsidR="00865A31" w:rsidRDefault="00865A31" w:rsidP="005B2D79">
                          <w:pPr>
                            <w:ind w:right="-165"/>
                            <w:rPr>
                              <w:b/>
                              <w:bCs/>
                              <w:sz w:val="16"/>
                              <w:szCs w:val="16"/>
                            </w:rPr>
                          </w:pPr>
                          <w:r>
                            <w:rPr>
                              <w:b/>
                              <w:bCs/>
                              <w:sz w:val="20"/>
                              <w:szCs w:val="20"/>
                            </w:rPr>
                            <w:t>R</w:t>
                          </w:r>
                        </w:p>
                        <w:p w:rsidR="00865A31" w:rsidRDefault="00865A31" w:rsidP="005B2D79">
                          <w:pPr>
                            <w:ind w:right="-165"/>
                            <w:rPr>
                              <w:b/>
                              <w:bCs/>
                              <w:sz w:val="10"/>
                              <w:szCs w:val="10"/>
                            </w:rPr>
                          </w:pPr>
                        </w:p>
                        <w:p w:rsidR="00865A31" w:rsidRDefault="00865A31" w:rsidP="005B2D79">
                          <w:pPr>
                            <w:ind w:right="-165"/>
                            <w:rPr>
                              <w:b/>
                              <w:bCs/>
                              <w:sz w:val="16"/>
                              <w:szCs w:val="16"/>
                            </w:rPr>
                          </w:pPr>
                        </w:p>
                        <w:p w:rsidR="00865A31" w:rsidRDefault="00865A31" w:rsidP="005B2D79">
                          <w:pPr>
                            <w:ind w:right="-165"/>
                            <w:rPr>
                              <w:b/>
                              <w:bCs/>
                              <w:sz w:val="16"/>
                              <w:szCs w:val="16"/>
                            </w:rPr>
                          </w:pPr>
                        </w:p>
                        <w:p w:rsidR="00865A31" w:rsidRDefault="00865A31" w:rsidP="005B2D79">
                          <w:pPr>
                            <w:ind w:right="-165"/>
                            <w:rPr>
                              <w:b/>
                              <w:bCs/>
                              <w:sz w:val="16"/>
                              <w:szCs w:val="16"/>
                            </w:rPr>
                          </w:pPr>
                          <w:r>
                            <w:rPr>
                              <w:b/>
                              <w:bCs/>
                              <w:sz w:val="20"/>
                              <w:szCs w:val="20"/>
                            </w:rPr>
                            <w:t>S</w:t>
                          </w:r>
                        </w:p>
                        <w:p w:rsidR="00865A31" w:rsidRDefault="00865A31" w:rsidP="005B2D79">
                          <w:pPr>
                            <w:ind w:right="-165"/>
                            <w:rPr>
                              <w:b/>
                              <w:bCs/>
                              <w:sz w:val="10"/>
                              <w:szCs w:val="10"/>
                            </w:rPr>
                          </w:pPr>
                        </w:p>
                        <w:p w:rsidR="00865A31" w:rsidRDefault="00865A31" w:rsidP="005B2D79">
                          <w:pPr>
                            <w:ind w:right="-165"/>
                            <w:rPr>
                              <w:b/>
                              <w:bCs/>
                              <w:sz w:val="16"/>
                              <w:szCs w:val="16"/>
                            </w:rPr>
                          </w:pPr>
                        </w:p>
                        <w:p w:rsidR="00865A31" w:rsidRDefault="00865A31" w:rsidP="005B2D79">
                          <w:pPr>
                            <w:ind w:right="-165"/>
                            <w:rPr>
                              <w:b/>
                              <w:bCs/>
                              <w:sz w:val="16"/>
                              <w:szCs w:val="16"/>
                            </w:rPr>
                          </w:pPr>
                        </w:p>
                        <w:p w:rsidR="00865A31" w:rsidRDefault="00865A31" w:rsidP="005B2D79">
                          <w:pPr>
                            <w:ind w:right="-165"/>
                            <w:rPr>
                              <w:b/>
                              <w:bCs/>
                              <w:sz w:val="16"/>
                              <w:szCs w:val="16"/>
                            </w:rPr>
                          </w:pPr>
                          <w:r>
                            <w:rPr>
                              <w:b/>
                              <w:bCs/>
                              <w:sz w:val="20"/>
                              <w:szCs w:val="20"/>
                            </w:rPr>
                            <w:t>T</w:t>
                          </w:r>
                        </w:p>
                        <w:p w:rsidR="00865A31" w:rsidRDefault="00865A31" w:rsidP="005B2D79">
                          <w:pPr>
                            <w:ind w:right="-165"/>
                            <w:rPr>
                              <w:b/>
                              <w:bCs/>
                              <w:sz w:val="10"/>
                              <w:szCs w:val="10"/>
                            </w:rPr>
                          </w:pPr>
                        </w:p>
                        <w:p w:rsidR="00865A31" w:rsidRDefault="00865A31" w:rsidP="005B2D79">
                          <w:pPr>
                            <w:ind w:right="-165"/>
                            <w:rPr>
                              <w:b/>
                              <w:bCs/>
                              <w:sz w:val="16"/>
                              <w:szCs w:val="16"/>
                            </w:rPr>
                          </w:pPr>
                        </w:p>
                        <w:p w:rsidR="00865A31" w:rsidRDefault="00865A31" w:rsidP="005B2D79">
                          <w:pPr>
                            <w:ind w:right="-165"/>
                            <w:rPr>
                              <w:b/>
                              <w:bCs/>
                              <w:sz w:val="16"/>
                              <w:szCs w:val="16"/>
                            </w:rPr>
                          </w:pPr>
                        </w:p>
                        <w:p w:rsidR="00865A31" w:rsidRDefault="00865A31" w:rsidP="005B2D79">
                          <w:pPr>
                            <w:ind w:right="-165"/>
                            <w:rPr>
                              <w:b/>
                              <w:bCs/>
                              <w:sz w:val="16"/>
                              <w:szCs w:val="16"/>
                            </w:rPr>
                          </w:pPr>
                          <w:r>
                            <w:rPr>
                              <w:b/>
                              <w:bCs/>
                              <w:sz w:val="20"/>
                              <w:szCs w:val="20"/>
                            </w:rPr>
                            <w:t>U</w:t>
                          </w:r>
                        </w:p>
                        <w:p w:rsidR="00865A31" w:rsidRDefault="00865A31" w:rsidP="005B2D79">
                          <w:pPr>
                            <w:ind w:right="-165"/>
                            <w:rPr>
                              <w:b/>
                              <w:bCs/>
                              <w:sz w:val="10"/>
                              <w:szCs w:val="10"/>
                            </w:rPr>
                          </w:pPr>
                        </w:p>
                        <w:p w:rsidR="00865A31" w:rsidRDefault="00865A31" w:rsidP="005B2D79">
                          <w:pPr>
                            <w:ind w:right="-165"/>
                            <w:rPr>
                              <w:b/>
                              <w:bCs/>
                              <w:sz w:val="16"/>
                              <w:szCs w:val="16"/>
                            </w:rPr>
                          </w:pPr>
                        </w:p>
                        <w:p w:rsidR="00865A31" w:rsidRDefault="00865A31" w:rsidP="005B2D79">
                          <w:pPr>
                            <w:ind w:right="-165"/>
                            <w:rPr>
                              <w:b/>
                              <w:bCs/>
                              <w:sz w:val="16"/>
                              <w:szCs w:val="16"/>
                            </w:rPr>
                          </w:pPr>
                        </w:p>
                        <w:p w:rsidR="00865A31" w:rsidRPr="005B2D79" w:rsidRDefault="00865A31" w:rsidP="005B2D79">
                          <w:pPr>
                            <w:ind w:right="-165"/>
                            <w:rPr>
                              <w:b/>
                              <w:bCs/>
                              <w:sz w:val="20"/>
                              <w:szCs w:val="20"/>
                            </w:rPr>
                          </w:pPr>
                          <w:r w:rsidRPr="005B2D79">
                            <w:rPr>
                              <w:b/>
                              <w:bCs/>
                              <w:sz w:val="20"/>
                              <w:szCs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53.75pt;margin-top:12.05pt;width:37.45pt;height:80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" o:allowincell="f" stroked="f">
              <v:textbox>
                <w:txbxContent>
                  <w:p w:rsidR="00865A31" w:rsidRDefault="00865A31" w:rsidP="005B2D79">
                    <w:pPr>
                      <w:ind w:right="-165"/>
                      <w:rPr>
                        <w:b/>
                        <w:bCs/>
                        <w:sz w:val="20"/>
                        <w:szCs w:val="20"/>
                      </w:rPr>
                    </w:pPr>
                    <w:r>
                      <w:rPr>
                        <w:b/>
                        <w:bCs/>
                        <w:sz w:val="20"/>
                        <w:szCs w:val="20"/>
                      </w:rPr>
                      <w:t>A</w:t>
                    </w:r>
                  </w:p>
                  <w:p w:rsidR="00865A31" w:rsidRDefault="00865A31" w:rsidP="005B2D79">
                    <w:pPr>
                      <w:ind w:right="-165"/>
                      <w:rPr>
                        <w:b/>
                        <w:bCs/>
                        <w:sz w:val="10"/>
                        <w:szCs w:val="10"/>
                      </w:rPr>
                    </w:pPr>
                  </w:p>
                  <w:p w:rsidR="00865A31" w:rsidRDefault="00865A31" w:rsidP="005B2D79">
                    <w:pPr>
                      <w:ind w:right="-165"/>
                      <w:rPr>
                        <w:b/>
                        <w:bCs/>
                        <w:sz w:val="16"/>
                        <w:szCs w:val="16"/>
                      </w:rPr>
                    </w:pPr>
                  </w:p>
                  <w:p w:rsidR="00865A31" w:rsidRDefault="00865A31" w:rsidP="005B2D79">
                    <w:pPr>
                      <w:ind w:right="-165"/>
                      <w:rPr>
                        <w:b/>
                        <w:bCs/>
                        <w:sz w:val="16"/>
                        <w:szCs w:val="16"/>
                      </w:rPr>
                    </w:pPr>
                  </w:p>
                  <w:p w:rsidR="00865A31" w:rsidRDefault="00865A31" w:rsidP="005B2D79">
                    <w:pPr>
                      <w:ind w:right="-165"/>
                      <w:rPr>
                        <w:b/>
                        <w:bCs/>
                        <w:sz w:val="20"/>
                        <w:szCs w:val="20"/>
                      </w:rPr>
                    </w:pPr>
                    <w:r>
                      <w:rPr>
                        <w:b/>
                        <w:bCs/>
                        <w:sz w:val="20"/>
                        <w:szCs w:val="20"/>
                      </w:rPr>
                      <w:t>B</w:t>
                    </w:r>
                  </w:p>
                  <w:p w:rsidR="00865A31" w:rsidRDefault="00865A31" w:rsidP="005B2D79">
                    <w:pPr>
                      <w:ind w:right="-165"/>
                      <w:rPr>
                        <w:b/>
                        <w:bCs/>
                        <w:sz w:val="10"/>
                        <w:szCs w:val="10"/>
                      </w:rPr>
                    </w:pPr>
                  </w:p>
                  <w:p w:rsidR="00865A31" w:rsidRDefault="00865A31" w:rsidP="005B2D79">
                    <w:pPr>
                      <w:ind w:right="-165"/>
                      <w:rPr>
                        <w:b/>
                        <w:bCs/>
                        <w:sz w:val="16"/>
                        <w:szCs w:val="16"/>
                      </w:rPr>
                    </w:pPr>
                  </w:p>
                  <w:p w:rsidR="00865A31" w:rsidRDefault="00865A31" w:rsidP="005B2D79">
                    <w:pPr>
                      <w:ind w:right="-165"/>
                      <w:rPr>
                        <w:b/>
                        <w:bCs/>
                        <w:sz w:val="16"/>
                        <w:szCs w:val="16"/>
                      </w:rPr>
                    </w:pPr>
                  </w:p>
                  <w:p w:rsidR="00865A31" w:rsidRDefault="00865A31" w:rsidP="005B2D79">
                    <w:pPr>
                      <w:ind w:right="-165"/>
                      <w:rPr>
                        <w:b/>
                        <w:bCs/>
                        <w:sz w:val="16"/>
                        <w:szCs w:val="16"/>
                      </w:rPr>
                    </w:pPr>
                    <w:r>
                      <w:rPr>
                        <w:b/>
                        <w:bCs/>
                        <w:sz w:val="20"/>
                        <w:szCs w:val="20"/>
                      </w:rPr>
                      <w:t>C</w:t>
                    </w:r>
                  </w:p>
                  <w:p w:rsidR="00865A31" w:rsidRDefault="00865A31" w:rsidP="005B2D79">
                    <w:pPr>
                      <w:ind w:right="-165"/>
                      <w:rPr>
                        <w:b/>
                        <w:bCs/>
                        <w:sz w:val="10"/>
                        <w:szCs w:val="10"/>
                      </w:rPr>
                    </w:pPr>
                  </w:p>
                  <w:p w:rsidR="00865A31" w:rsidRDefault="00865A31" w:rsidP="005B2D79">
                    <w:pPr>
                      <w:ind w:right="-165"/>
                      <w:rPr>
                        <w:b/>
                        <w:bCs/>
                        <w:sz w:val="16"/>
                        <w:szCs w:val="16"/>
                      </w:rPr>
                    </w:pPr>
                  </w:p>
                  <w:p w:rsidR="00865A31" w:rsidRDefault="00865A31" w:rsidP="005B2D79">
                    <w:pPr>
                      <w:ind w:right="-165"/>
                      <w:rPr>
                        <w:b/>
                        <w:bCs/>
                        <w:sz w:val="16"/>
                        <w:szCs w:val="16"/>
                      </w:rPr>
                    </w:pPr>
                  </w:p>
                  <w:p w:rsidR="00865A31" w:rsidRDefault="00865A31" w:rsidP="005B2D79">
                    <w:pPr>
                      <w:pStyle w:val="Heading2"/>
                      <w:ind w:right="-165"/>
                      <w:rPr>
                        <w:sz w:val="16"/>
                        <w:szCs w:val="16"/>
                      </w:rPr>
                    </w:pPr>
                    <w:r>
                      <w:t>D</w:t>
                    </w:r>
                  </w:p>
                  <w:p w:rsidR="00865A31" w:rsidRDefault="00865A31" w:rsidP="005B2D79">
                    <w:pPr>
                      <w:ind w:right="-165"/>
                      <w:rPr>
                        <w:b/>
                        <w:bCs/>
                        <w:sz w:val="10"/>
                        <w:szCs w:val="10"/>
                      </w:rPr>
                    </w:pPr>
                  </w:p>
                  <w:p w:rsidR="00865A31" w:rsidRDefault="00865A31" w:rsidP="005B2D79">
                    <w:pPr>
                      <w:ind w:right="-165"/>
                      <w:rPr>
                        <w:b/>
                        <w:bCs/>
                        <w:sz w:val="16"/>
                        <w:szCs w:val="16"/>
                      </w:rPr>
                    </w:pPr>
                  </w:p>
                  <w:p w:rsidR="00865A31" w:rsidRDefault="00865A31" w:rsidP="005B2D79">
                    <w:pPr>
                      <w:ind w:right="-165"/>
                      <w:rPr>
                        <w:b/>
                        <w:bCs/>
                        <w:sz w:val="16"/>
                        <w:szCs w:val="16"/>
                      </w:rPr>
                    </w:pPr>
                  </w:p>
                  <w:p w:rsidR="00865A31" w:rsidRDefault="00865A31" w:rsidP="005B2D79">
                    <w:pPr>
                      <w:ind w:right="-165"/>
                      <w:rPr>
                        <w:b/>
                        <w:bCs/>
                        <w:sz w:val="16"/>
                        <w:szCs w:val="16"/>
                      </w:rPr>
                    </w:pPr>
                    <w:r>
                      <w:rPr>
                        <w:b/>
                        <w:bCs/>
                        <w:sz w:val="20"/>
                        <w:szCs w:val="20"/>
                      </w:rPr>
                      <w:t>E</w:t>
                    </w:r>
                  </w:p>
                  <w:p w:rsidR="00865A31" w:rsidRDefault="00865A31" w:rsidP="005B2D79">
                    <w:pPr>
                      <w:ind w:right="-165"/>
                      <w:rPr>
                        <w:b/>
                        <w:bCs/>
                        <w:sz w:val="10"/>
                        <w:szCs w:val="10"/>
                      </w:rPr>
                    </w:pPr>
                  </w:p>
                  <w:p w:rsidR="00865A31" w:rsidRDefault="00865A31" w:rsidP="005B2D79">
                    <w:pPr>
                      <w:ind w:right="-165"/>
                      <w:rPr>
                        <w:b/>
                        <w:bCs/>
                        <w:sz w:val="16"/>
                        <w:szCs w:val="16"/>
                      </w:rPr>
                    </w:pPr>
                  </w:p>
                  <w:p w:rsidR="00865A31" w:rsidRDefault="00865A31" w:rsidP="005B2D79">
                    <w:pPr>
                      <w:ind w:right="-165"/>
                      <w:rPr>
                        <w:b/>
                        <w:bCs/>
                        <w:sz w:val="16"/>
                        <w:szCs w:val="16"/>
                      </w:rPr>
                    </w:pPr>
                  </w:p>
                  <w:p w:rsidR="00865A31" w:rsidRDefault="00865A31" w:rsidP="005B2D79">
                    <w:pPr>
                      <w:ind w:right="-165"/>
                      <w:rPr>
                        <w:b/>
                        <w:bCs/>
                        <w:sz w:val="20"/>
                        <w:szCs w:val="20"/>
                      </w:rPr>
                    </w:pPr>
                    <w:r>
                      <w:rPr>
                        <w:b/>
                        <w:bCs/>
                        <w:sz w:val="20"/>
                        <w:szCs w:val="20"/>
                      </w:rPr>
                      <w:t>F</w:t>
                    </w:r>
                  </w:p>
                  <w:p w:rsidR="00865A31" w:rsidRDefault="00865A31" w:rsidP="005B2D79">
                    <w:pPr>
                      <w:ind w:right="-165"/>
                      <w:rPr>
                        <w:b/>
                        <w:bCs/>
                        <w:sz w:val="10"/>
                        <w:szCs w:val="10"/>
                      </w:rPr>
                    </w:pPr>
                  </w:p>
                  <w:p w:rsidR="00865A31" w:rsidRDefault="00865A31" w:rsidP="005B2D79">
                    <w:pPr>
                      <w:ind w:right="-165"/>
                      <w:rPr>
                        <w:b/>
                        <w:bCs/>
                        <w:sz w:val="16"/>
                        <w:szCs w:val="16"/>
                      </w:rPr>
                    </w:pPr>
                  </w:p>
                  <w:p w:rsidR="00865A31" w:rsidRDefault="00865A31" w:rsidP="005B2D79">
                    <w:pPr>
                      <w:ind w:right="-165"/>
                      <w:rPr>
                        <w:b/>
                        <w:bCs/>
                        <w:sz w:val="16"/>
                        <w:szCs w:val="16"/>
                      </w:rPr>
                    </w:pPr>
                  </w:p>
                  <w:p w:rsidR="00865A31" w:rsidRDefault="00865A31" w:rsidP="005B2D79">
                    <w:pPr>
                      <w:ind w:right="-165"/>
                      <w:rPr>
                        <w:b/>
                        <w:bCs/>
                        <w:sz w:val="16"/>
                        <w:szCs w:val="16"/>
                      </w:rPr>
                    </w:pPr>
                    <w:r>
                      <w:rPr>
                        <w:b/>
                        <w:bCs/>
                        <w:sz w:val="20"/>
                        <w:szCs w:val="20"/>
                      </w:rPr>
                      <w:t>G</w:t>
                    </w:r>
                  </w:p>
                  <w:p w:rsidR="00865A31" w:rsidRDefault="00865A31" w:rsidP="005B2D79">
                    <w:pPr>
                      <w:ind w:right="-165"/>
                      <w:rPr>
                        <w:b/>
                        <w:bCs/>
                        <w:sz w:val="10"/>
                        <w:szCs w:val="10"/>
                      </w:rPr>
                    </w:pPr>
                  </w:p>
                  <w:p w:rsidR="00865A31" w:rsidRDefault="00865A31" w:rsidP="005B2D79">
                    <w:pPr>
                      <w:ind w:right="-165"/>
                      <w:rPr>
                        <w:b/>
                        <w:bCs/>
                        <w:sz w:val="16"/>
                        <w:szCs w:val="16"/>
                      </w:rPr>
                    </w:pPr>
                  </w:p>
                  <w:p w:rsidR="00865A31" w:rsidRDefault="00865A31" w:rsidP="005B2D79">
                    <w:pPr>
                      <w:ind w:right="-165"/>
                      <w:rPr>
                        <w:b/>
                        <w:bCs/>
                        <w:sz w:val="16"/>
                        <w:szCs w:val="16"/>
                      </w:rPr>
                    </w:pPr>
                  </w:p>
                  <w:p w:rsidR="00865A31" w:rsidRDefault="00865A31" w:rsidP="005B2D79">
                    <w:pPr>
                      <w:ind w:right="-165"/>
                      <w:rPr>
                        <w:b/>
                        <w:bCs/>
                        <w:sz w:val="16"/>
                        <w:szCs w:val="16"/>
                      </w:rPr>
                    </w:pPr>
                    <w:r>
                      <w:rPr>
                        <w:b/>
                        <w:bCs/>
                        <w:sz w:val="20"/>
                        <w:szCs w:val="20"/>
                      </w:rPr>
                      <w:t>H</w:t>
                    </w:r>
                  </w:p>
                  <w:p w:rsidR="00865A31" w:rsidRDefault="00865A31" w:rsidP="005B2D79">
                    <w:pPr>
                      <w:ind w:right="-165"/>
                      <w:rPr>
                        <w:b/>
                        <w:bCs/>
                        <w:sz w:val="10"/>
                        <w:szCs w:val="10"/>
                      </w:rPr>
                    </w:pPr>
                  </w:p>
                  <w:p w:rsidR="00865A31" w:rsidRDefault="00865A31" w:rsidP="005B2D79">
                    <w:pPr>
                      <w:ind w:right="-165"/>
                      <w:rPr>
                        <w:b/>
                        <w:bCs/>
                        <w:sz w:val="16"/>
                        <w:szCs w:val="16"/>
                      </w:rPr>
                    </w:pPr>
                  </w:p>
                  <w:p w:rsidR="00865A31" w:rsidRDefault="00865A31" w:rsidP="005B2D79">
                    <w:pPr>
                      <w:ind w:right="-165"/>
                      <w:rPr>
                        <w:b/>
                        <w:bCs/>
                        <w:sz w:val="16"/>
                        <w:szCs w:val="16"/>
                      </w:rPr>
                    </w:pPr>
                  </w:p>
                  <w:p w:rsidR="00865A31" w:rsidRDefault="00865A31" w:rsidP="005B2D79">
                    <w:pPr>
                      <w:ind w:right="-165"/>
                      <w:rPr>
                        <w:b/>
                        <w:bCs/>
                        <w:sz w:val="16"/>
                        <w:szCs w:val="16"/>
                      </w:rPr>
                    </w:pPr>
                    <w:r>
                      <w:rPr>
                        <w:b/>
                        <w:bCs/>
                        <w:sz w:val="20"/>
                        <w:szCs w:val="20"/>
                      </w:rPr>
                      <w:t>I</w:t>
                    </w:r>
                  </w:p>
                  <w:p w:rsidR="00865A31" w:rsidRDefault="00865A31" w:rsidP="005B2D79">
                    <w:pPr>
                      <w:ind w:right="-165"/>
                      <w:rPr>
                        <w:b/>
                        <w:bCs/>
                        <w:sz w:val="10"/>
                        <w:szCs w:val="10"/>
                      </w:rPr>
                    </w:pPr>
                  </w:p>
                  <w:p w:rsidR="00865A31" w:rsidRDefault="00865A31" w:rsidP="005B2D79">
                    <w:pPr>
                      <w:ind w:right="-165"/>
                      <w:rPr>
                        <w:b/>
                        <w:bCs/>
                        <w:sz w:val="16"/>
                        <w:szCs w:val="16"/>
                      </w:rPr>
                    </w:pPr>
                  </w:p>
                  <w:p w:rsidR="00865A31" w:rsidRDefault="00865A31" w:rsidP="005B2D79">
                    <w:pPr>
                      <w:ind w:right="-165"/>
                      <w:rPr>
                        <w:b/>
                        <w:bCs/>
                        <w:sz w:val="16"/>
                        <w:szCs w:val="16"/>
                      </w:rPr>
                    </w:pPr>
                  </w:p>
                  <w:p w:rsidR="00865A31" w:rsidRDefault="00865A31" w:rsidP="005B2D79">
                    <w:pPr>
                      <w:ind w:right="-165"/>
                      <w:rPr>
                        <w:b/>
                        <w:bCs/>
                        <w:sz w:val="16"/>
                        <w:szCs w:val="16"/>
                      </w:rPr>
                    </w:pPr>
                    <w:r>
                      <w:rPr>
                        <w:b/>
                        <w:bCs/>
                        <w:sz w:val="20"/>
                        <w:szCs w:val="20"/>
                      </w:rPr>
                      <w:t>J</w:t>
                    </w:r>
                  </w:p>
                  <w:p w:rsidR="00865A31" w:rsidRDefault="00865A31" w:rsidP="005B2D79">
                    <w:pPr>
                      <w:ind w:right="-165"/>
                      <w:rPr>
                        <w:b/>
                        <w:bCs/>
                        <w:sz w:val="10"/>
                        <w:szCs w:val="10"/>
                      </w:rPr>
                    </w:pPr>
                  </w:p>
                  <w:p w:rsidR="00865A31" w:rsidRDefault="00865A31" w:rsidP="005B2D79">
                    <w:pPr>
                      <w:ind w:right="-165"/>
                      <w:rPr>
                        <w:b/>
                        <w:bCs/>
                        <w:sz w:val="16"/>
                        <w:szCs w:val="16"/>
                      </w:rPr>
                    </w:pPr>
                  </w:p>
                  <w:p w:rsidR="00865A31" w:rsidRDefault="00865A31" w:rsidP="005B2D79">
                    <w:pPr>
                      <w:ind w:right="-165"/>
                      <w:rPr>
                        <w:b/>
                        <w:bCs/>
                        <w:sz w:val="16"/>
                        <w:szCs w:val="16"/>
                      </w:rPr>
                    </w:pPr>
                  </w:p>
                  <w:p w:rsidR="00865A31" w:rsidRDefault="00865A31" w:rsidP="005B2D79">
                    <w:pPr>
                      <w:ind w:right="-165"/>
                      <w:rPr>
                        <w:b/>
                        <w:bCs/>
                        <w:sz w:val="16"/>
                        <w:szCs w:val="16"/>
                      </w:rPr>
                    </w:pPr>
                    <w:r>
                      <w:rPr>
                        <w:b/>
                        <w:bCs/>
                        <w:sz w:val="20"/>
                        <w:szCs w:val="20"/>
                      </w:rPr>
                      <w:t>K</w:t>
                    </w:r>
                  </w:p>
                  <w:p w:rsidR="00865A31" w:rsidRDefault="00865A31" w:rsidP="005B2D79">
                    <w:pPr>
                      <w:ind w:right="-165"/>
                      <w:rPr>
                        <w:b/>
                        <w:bCs/>
                        <w:sz w:val="10"/>
                        <w:szCs w:val="10"/>
                      </w:rPr>
                    </w:pPr>
                  </w:p>
                  <w:p w:rsidR="00865A31" w:rsidRDefault="00865A31" w:rsidP="005B2D79">
                    <w:pPr>
                      <w:ind w:right="-165"/>
                      <w:rPr>
                        <w:b/>
                        <w:bCs/>
                        <w:sz w:val="16"/>
                        <w:szCs w:val="16"/>
                      </w:rPr>
                    </w:pPr>
                  </w:p>
                  <w:p w:rsidR="00865A31" w:rsidRDefault="00865A31" w:rsidP="005B2D79">
                    <w:pPr>
                      <w:ind w:right="-165"/>
                      <w:rPr>
                        <w:b/>
                        <w:bCs/>
                        <w:sz w:val="16"/>
                        <w:szCs w:val="16"/>
                      </w:rPr>
                    </w:pPr>
                  </w:p>
                  <w:p w:rsidR="00865A31" w:rsidRDefault="00865A31" w:rsidP="005B2D79">
                    <w:pPr>
                      <w:ind w:right="-165"/>
                      <w:rPr>
                        <w:b/>
                        <w:bCs/>
                        <w:sz w:val="16"/>
                        <w:szCs w:val="16"/>
                      </w:rPr>
                    </w:pPr>
                    <w:r>
                      <w:rPr>
                        <w:b/>
                        <w:bCs/>
                        <w:sz w:val="20"/>
                        <w:szCs w:val="20"/>
                      </w:rPr>
                      <w:t>L</w:t>
                    </w:r>
                  </w:p>
                  <w:p w:rsidR="00865A31" w:rsidRDefault="00865A31" w:rsidP="005B2D79">
                    <w:pPr>
                      <w:ind w:right="-165"/>
                      <w:rPr>
                        <w:b/>
                        <w:bCs/>
                        <w:sz w:val="10"/>
                        <w:szCs w:val="10"/>
                      </w:rPr>
                    </w:pPr>
                  </w:p>
                  <w:p w:rsidR="00865A31" w:rsidRDefault="00865A31" w:rsidP="005B2D79">
                    <w:pPr>
                      <w:ind w:right="-165"/>
                      <w:rPr>
                        <w:b/>
                        <w:bCs/>
                        <w:sz w:val="16"/>
                        <w:szCs w:val="16"/>
                      </w:rPr>
                    </w:pPr>
                  </w:p>
                  <w:p w:rsidR="00865A31" w:rsidRDefault="00865A31" w:rsidP="005B2D79">
                    <w:pPr>
                      <w:ind w:right="-165"/>
                      <w:rPr>
                        <w:b/>
                        <w:bCs/>
                        <w:sz w:val="16"/>
                        <w:szCs w:val="16"/>
                      </w:rPr>
                    </w:pPr>
                  </w:p>
                  <w:p w:rsidR="00865A31" w:rsidRDefault="00865A31" w:rsidP="005B2D79">
                    <w:pPr>
                      <w:ind w:right="-165"/>
                      <w:rPr>
                        <w:b/>
                        <w:bCs/>
                        <w:sz w:val="16"/>
                        <w:szCs w:val="16"/>
                      </w:rPr>
                    </w:pPr>
                    <w:r>
                      <w:rPr>
                        <w:b/>
                        <w:bCs/>
                        <w:sz w:val="20"/>
                        <w:szCs w:val="20"/>
                      </w:rPr>
                      <w:t>M</w:t>
                    </w:r>
                  </w:p>
                  <w:p w:rsidR="00865A31" w:rsidRDefault="00865A31" w:rsidP="005B2D79">
                    <w:pPr>
                      <w:ind w:right="-165"/>
                      <w:rPr>
                        <w:b/>
                        <w:bCs/>
                        <w:sz w:val="10"/>
                        <w:szCs w:val="10"/>
                      </w:rPr>
                    </w:pPr>
                  </w:p>
                  <w:p w:rsidR="00865A31" w:rsidRDefault="00865A31" w:rsidP="005B2D79">
                    <w:pPr>
                      <w:ind w:right="-165"/>
                      <w:rPr>
                        <w:b/>
                        <w:bCs/>
                        <w:sz w:val="16"/>
                        <w:szCs w:val="16"/>
                      </w:rPr>
                    </w:pPr>
                  </w:p>
                  <w:p w:rsidR="00865A31" w:rsidRDefault="00865A31" w:rsidP="005B2D79">
                    <w:pPr>
                      <w:ind w:right="-165"/>
                      <w:rPr>
                        <w:b/>
                        <w:bCs/>
                        <w:sz w:val="16"/>
                        <w:szCs w:val="16"/>
                      </w:rPr>
                    </w:pPr>
                  </w:p>
                  <w:p w:rsidR="00865A31" w:rsidRDefault="00865A31" w:rsidP="005B2D79">
                    <w:pPr>
                      <w:ind w:right="-165"/>
                      <w:rPr>
                        <w:b/>
                        <w:bCs/>
                        <w:sz w:val="16"/>
                        <w:szCs w:val="16"/>
                      </w:rPr>
                    </w:pPr>
                    <w:r>
                      <w:rPr>
                        <w:b/>
                        <w:bCs/>
                        <w:sz w:val="20"/>
                        <w:szCs w:val="20"/>
                      </w:rPr>
                      <w:t>N</w:t>
                    </w:r>
                  </w:p>
                  <w:p w:rsidR="00865A31" w:rsidRDefault="00865A31" w:rsidP="005B2D79">
                    <w:pPr>
                      <w:ind w:right="-165"/>
                      <w:rPr>
                        <w:b/>
                        <w:bCs/>
                        <w:sz w:val="10"/>
                        <w:szCs w:val="10"/>
                      </w:rPr>
                    </w:pPr>
                  </w:p>
                  <w:p w:rsidR="00865A31" w:rsidRDefault="00865A31" w:rsidP="005B2D79">
                    <w:pPr>
                      <w:ind w:right="-165"/>
                      <w:rPr>
                        <w:b/>
                        <w:bCs/>
                        <w:sz w:val="16"/>
                        <w:szCs w:val="16"/>
                      </w:rPr>
                    </w:pPr>
                  </w:p>
                  <w:p w:rsidR="00865A31" w:rsidRDefault="00865A31" w:rsidP="005B2D79">
                    <w:pPr>
                      <w:ind w:right="-165"/>
                      <w:rPr>
                        <w:b/>
                        <w:bCs/>
                        <w:sz w:val="16"/>
                        <w:szCs w:val="16"/>
                      </w:rPr>
                    </w:pPr>
                  </w:p>
                  <w:p w:rsidR="00865A31" w:rsidRDefault="00865A31" w:rsidP="005B2D79">
                    <w:pPr>
                      <w:ind w:right="-165"/>
                      <w:rPr>
                        <w:b/>
                        <w:bCs/>
                        <w:sz w:val="16"/>
                        <w:szCs w:val="16"/>
                      </w:rPr>
                    </w:pPr>
                    <w:r>
                      <w:rPr>
                        <w:b/>
                        <w:bCs/>
                        <w:sz w:val="20"/>
                        <w:szCs w:val="20"/>
                      </w:rPr>
                      <w:t>O</w:t>
                    </w:r>
                  </w:p>
                  <w:p w:rsidR="00865A31" w:rsidRDefault="00865A31" w:rsidP="005B2D79">
                    <w:pPr>
                      <w:ind w:right="-165"/>
                      <w:rPr>
                        <w:b/>
                        <w:bCs/>
                        <w:sz w:val="10"/>
                        <w:szCs w:val="10"/>
                      </w:rPr>
                    </w:pPr>
                  </w:p>
                  <w:p w:rsidR="00865A31" w:rsidRDefault="00865A31" w:rsidP="005B2D79">
                    <w:pPr>
                      <w:ind w:right="-165"/>
                      <w:rPr>
                        <w:b/>
                        <w:bCs/>
                        <w:sz w:val="16"/>
                        <w:szCs w:val="16"/>
                      </w:rPr>
                    </w:pPr>
                  </w:p>
                  <w:p w:rsidR="00865A31" w:rsidRDefault="00865A31" w:rsidP="005B2D79">
                    <w:pPr>
                      <w:ind w:right="-165"/>
                      <w:rPr>
                        <w:b/>
                        <w:bCs/>
                        <w:sz w:val="16"/>
                        <w:szCs w:val="16"/>
                      </w:rPr>
                    </w:pPr>
                  </w:p>
                  <w:p w:rsidR="00865A31" w:rsidRDefault="00865A31" w:rsidP="005B2D79">
                    <w:pPr>
                      <w:ind w:right="-165"/>
                      <w:rPr>
                        <w:b/>
                        <w:bCs/>
                        <w:sz w:val="16"/>
                        <w:szCs w:val="16"/>
                      </w:rPr>
                    </w:pPr>
                    <w:r>
                      <w:rPr>
                        <w:b/>
                        <w:bCs/>
                        <w:sz w:val="20"/>
                        <w:szCs w:val="20"/>
                      </w:rPr>
                      <w:t>P</w:t>
                    </w:r>
                  </w:p>
                  <w:p w:rsidR="00865A31" w:rsidRDefault="00865A31" w:rsidP="005B2D79">
                    <w:pPr>
                      <w:ind w:right="-165"/>
                      <w:rPr>
                        <w:b/>
                        <w:bCs/>
                        <w:sz w:val="10"/>
                        <w:szCs w:val="10"/>
                      </w:rPr>
                    </w:pPr>
                  </w:p>
                  <w:p w:rsidR="00865A31" w:rsidRDefault="00865A31" w:rsidP="005B2D79">
                    <w:pPr>
                      <w:ind w:right="-165"/>
                      <w:rPr>
                        <w:b/>
                        <w:bCs/>
                        <w:sz w:val="16"/>
                        <w:szCs w:val="16"/>
                      </w:rPr>
                    </w:pPr>
                  </w:p>
                  <w:p w:rsidR="00865A31" w:rsidRDefault="00865A31" w:rsidP="005B2D79">
                    <w:pPr>
                      <w:ind w:right="-165"/>
                      <w:rPr>
                        <w:b/>
                        <w:bCs/>
                        <w:sz w:val="16"/>
                        <w:szCs w:val="16"/>
                      </w:rPr>
                    </w:pPr>
                  </w:p>
                  <w:p w:rsidR="00865A31" w:rsidRDefault="00865A31" w:rsidP="005B2D79">
                    <w:pPr>
                      <w:ind w:right="-165"/>
                      <w:rPr>
                        <w:b/>
                        <w:bCs/>
                        <w:sz w:val="16"/>
                        <w:szCs w:val="16"/>
                      </w:rPr>
                    </w:pPr>
                    <w:r>
                      <w:rPr>
                        <w:b/>
                        <w:bCs/>
                        <w:sz w:val="20"/>
                        <w:szCs w:val="20"/>
                      </w:rPr>
                      <w:t>Q</w:t>
                    </w:r>
                  </w:p>
                  <w:p w:rsidR="00865A31" w:rsidRDefault="00865A31" w:rsidP="005B2D79">
                    <w:pPr>
                      <w:ind w:right="-165"/>
                      <w:rPr>
                        <w:b/>
                        <w:bCs/>
                        <w:sz w:val="10"/>
                        <w:szCs w:val="10"/>
                      </w:rPr>
                    </w:pPr>
                  </w:p>
                  <w:p w:rsidR="00865A31" w:rsidRDefault="00865A31" w:rsidP="005B2D79">
                    <w:pPr>
                      <w:ind w:right="-165"/>
                      <w:rPr>
                        <w:b/>
                        <w:bCs/>
                        <w:sz w:val="16"/>
                        <w:szCs w:val="16"/>
                      </w:rPr>
                    </w:pPr>
                  </w:p>
                  <w:p w:rsidR="00865A31" w:rsidRDefault="00865A31" w:rsidP="005B2D79">
                    <w:pPr>
                      <w:ind w:right="-165"/>
                      <w:rPr>
                        <w:b/>
                        <w:bCs/>
                        <w:sz w:val="16"/>
                        <w:szCs w:val="16"/>
                      </w:rPr>
                    </w:pPr>
                  </w:p>
                  <w:p w:rsidR="00865A31" w:rsidRDefault="00865A31" w:rsidP="005B2D79">
                    <w:pPr>
                      <w:ind w:right="-165"/>
                      <w:rPr>
                        <w:b/>
                        <w:bCs/>
                        <w:sz w:val="16"/>
                        <w:szCs w:val="16"/>
                      </w:rPr>
                    </w:pPr>
                    <w:r>
                      <w:rPr>
                        <w:b/>
                        <w:bCs/>
                        <w:sz w:val="20"/>
                        <w:szCs w:val="20"/>
                      </w:rPr>
                      <w:t>R</w:t>
                    </w:r>
                  </w:p>
                  <w:p w:rsidR="00865A31" w:rsidRDefault="00865A31" w:rsidP="005B2D79">
                    <w:pPr>
                      <w:ind w:right="-165"/>
                      <w:rPr>
                        <w:b/>
                        <w:bCs/>
                        <w:sz w:val="10"/>
                        <w:szCs w:val="10"/>
                      </w:rPr>
                    </w:pPr>
                  </w:p>
                  <w:p w:rsidR="00865A31" w:rsidRDefault="00865A31" w:rsidP="005B2D79">
                    <w:pPr>
                      <w:ind w:right="-165"/>
                      <w:rPr>
                        <w:b/>
                        <w:bCs/>
                        <w:sz w:val="16"/>
                        <w:szCs w:val="16"/>
                      </w:rPr>
                    </w:pPr>
                  </w:p>
                  <w:p w:rsidR="00865A31" w:rsidRDefault="00865A31" w:rsidP="005B2D79">
                    <w:pPr>
                      <w:ind w:right="-165"/>
                      <w:rPr>
                        <w:b/>
                        <w:bCs/>
                        <w:sz w:val="16"/>
                        <w:szCs w:val="16"/>
                      </w:rPr>
                    </w:pPr>
                  </w:p>
                  <w:p w:rsidR="00865A31" w:rsidRDefault="00865A31" w:rsidP="005B2D79">
                    <w:pPr>
                      <w:ind w:right="-165"/>
                      <w:rPr>
                        <w:b/>
                        <w:bCs/>
                        <w:sz w:val="16"/>
                        <w:szCs w:val="16"/>
                      </w:rPr>
                    </w:pPr>
                    <w:r>
                      <w:rPr>
                        <w:b/>
                        <w:bCs/>
                        <w:sz w:val="20"/>
                        <w:szCs w:val="20"/>
                      </w:rPr>
                      <w:t>S</w:t>
                    </w:r>
                  </w:p>
                  <w:p w:rsidR="00865A31" w:rsidRDefault="00865A31" w:rsidP="005B2D79">
                    <w:pPr>
                      <w:ind w:right="-165"/>
                      <w:rPr>
                        <w:b/>
                        <w:bCs/>
                        <w:sz w:val="10"/>
                        <w:szCs w:val="10"/>
                      </w:rPr>
                    </w:pPr>
                  </w:p>
                  <w:p w:rsidR="00865A31" w:rsidRDefault="00865A31" w:rsidP="005B2D79">
                    <w:pPr>
                      <w:ind w:right="-165"/>
                      <w:rPr>
                        <w:b/>
                        <w:bCs/>
                        <w:sz w:val="16"/>
                        <w:szCs w:val="16"/>
                      </w:rPr>
                    </w:pPr>
                  </w:p>
                  <w:p w:rsidR="00865A31" w:rsidRDefault="00865A31" w:rsidP="005B2D79">
                    <w:pPr>
                      <w:ind w:right="-165"/>
                      <w:rPr>
                        <w:b/>
                        <w:bCs/>
                        <w:sz w:val="16"/>
                        <w:szCs w:val="16"/>
                      </w:rPr>
                    </w:pPr>
                  </w:p>
                  <w:p w:rsidR="00865A31" w:rsidRDefault="00865A31" w:rsidP="005B2D79">
                    <w:pPr>
                      <w:ind w:right="-165"/>
                      <w:rPr>
                        <w:b/>
                        <w:bCs/>
                        <w:sz w:val="16"/>
                        <w:szCs w:val="16"/>
                      </w:rPr>
                    </w:pPr>
                    <w:r>
                      <w:rPr>
                        <w:b/>
                        <w:bCs/>
                        <w:sz w:val="20"/>
                        <w:szCs w:val="20"/>
                      </w:rPr>
                      <w:t>T</w:t>
                    </w:r>
                  </w:p>
                  <w:p w:rsidR="00865A31" w:rsidRDefault="00865A31" w:rsidP="005B2D79">
                    <w:pPr>
                      <w:ind w:right="-165"/>
                      <w:rPr>
                        <w:b/>
                        <w:bCs/>
                        <w:sz w:val="10"/>
                        <w:szCs w:val="10"/>
                      </w:rPr>
                    </w:pPr>
                  </w:p>
                  <w:p w:rsidR="00865A31" w:rsidRDefault="00865A31" w:rsidP="005B2D79">
                    <w:pPr>
                      <w:ind w:right="-165"/>
                      <w:rPr>
                        <w:b/>
                        <w:bCs/>
                        <w:sz w:val="16"/>
                        <w:szCs w:val="16"/>
                      </w:rPr>
                    </w:pPr>
                  </w:p>
                  <w:p w:rsidR="00865A31" w:rsidRDefault="00865A31" w:rsidP="005B2D79">
                    <w:pPr>
                      <w:ind w:right="-165"/>
                      <w:rPr>
                        <w:b/>
                        <w:bCs/>
                        <w:sz w:val="16"/>
                        <w:szCs w:val="16"/>
                      </w:rPr>
                    </w:pPr>
                  </w:p>
                  <w:p w:rsidR="00865A31" w:rsidRDefault="00865A31" w:rsidP="005B2D79">
                    <w:pPr>
                      <w:ind w:right="-165"/>
                      <w:rPr>
                        <w:b/>
                        <w:bCs/>
                        <w:sz w:val="16"/>
                        <w:szCs w:val="16"/>
                      </w:rPr>
                    </w:pPr>
                    <w:r>
                      <w:rPr>
                        <w:b/>
                        <w:bCs/>
                        <w:sz w:val="20"/>
                        <w:szCs w:val="20"/>
                      </w:rPr>
                      <w:t>U</w:t>
                    </w:r>
                  </w:p>
                  <w:p w:rsidR="00865A31" w:rsidRDefault="00865A31" w:rsidP="005B2D79">
                    <w:pPr>
                      <w:ind w:right="-165"/>
                      <w:rPr>
                        <w:b/>
                        <w:bCs/>
                        <w:sz w:val="10"/>
                        <w:szCs w:val="10"/>
                      </w:rPr>
                    </w:pPr>
                  </w:p>
                  <w:p w:rsidR="00865A31" w:rsidRDefault="00865A31" w:rsidP="005B2D79">
                    <w:pPr>
                      <w:ind w:right="-165"/>
                      <w:rPr>
                        <w:b/>
                        <w:bCs/>
                        <w:sz w:val="16"/>
                        <w:szCs w:val="16"/>
                      </w:rPr>
                    </w:pPr>
                  </w:p>
                  <w:p w:rsidR="00865A31" w:rsidRDefault="00865A31" w:rsidP="005B2D79">
                    <w:pPr>
                      <w:ind w:right="-165"/>
                      <w:rPr>
                        <w:b/>
                        <w:bCs/>
                        <w:sz w:val="16"/>
                        <w:szCs w:val="16"/>
                      </w:rPr>
                    </w:pPr>
                  </w:p>
                  <w:p w:rsidR="00865A31" w:rsidRPr="005B2D79" w:rsidRDefault="00865A31" w:rsidP="005B2D79">
                    <w:pPr>
                      <w:ind w:right="-165"/>
                      <w:rPr>
                        <w:b/>
                        <w:bCs/>
                        <w:sz w:val="20"/>
                        <w:szCs w:val="20"/>
                      </w:rPr>
                    </w:pPr>
                    <w:r w:rsidRPr="005B2D79">
                      <w:rPr>
                        <w:b/>
                        <w:bCs/>
                        <w:sz w:val="20"/>
                        <w:szCs w:val="20"/>
                      </w:rPr>
                      <w:t>V</w:t>
                    </w:r>
                  </w:p>
                </w:txbxContent>
              </v:textbox>
            </v:shape>
          </w:pict>
        </mc:Fallback>
      </mc:AlternateContent>
    </w:r>
    <w:r w:rsidRPr="006C6DEC">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5A31" w:rsidRDefault="00865A31">
                          <w:pPr>
                            <w:rPr>
                              <w:b/>
                              <w:bCs/>
                              <w:sz w:val="20"/>
                              <w:szCs w:val="20"/>
                            </w:rPr>
                          </w:pPr>
                          <w:r>
                            <w:rPr>
                              <w:b/>
                              <w:bCs/>
                              <w:sz w:val="20"/>
                              <w:szCs w:val="20"/>
                            </w:rPr>
                            <w:t>A</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20"/>
                              <w:szCs w:val="20"/>
                            </w:rPr>
                          </w:pPr>
                          <w:r>
                            <w:rPr>
                              <w:b/>
                              <w:bCs/>
                              <w:sz w:val="20"/>
                              <w:szCs w:val="20"/>
                            </w:rPr>
                            <w:t>B</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C</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pStyle w:val="Heading2"/>
                            <w:rPr>
                              <w:sz w:val="16"/>
                              <w:szCs w:val="16"/>
                            </w:rPr>
                          </w:pPr>
                          <w:r>
                            <w:t>D</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E</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20"/>
                              <w:szCs w:val="20"/>
                            </w:rPr>
                          </w:pPr>
                          <w:r>
                            <w:rPr>
                              <w:b/>
                              <w:bCs/>
                              <w:sz w:val="20"/>
                              <w:szCs w:val="20"/>
                            </w:rPr>
                            <w:t>F</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G</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H</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I</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J</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K</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L</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M</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N</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O</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P</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Q</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R</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S</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T</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U</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865A31" w:rsidRDefault="00865A31">
                    <w:pPr>
                      <w:rPr>
                        <w:b/>
                        <w:bCs/>
                        <w:sz w:val="20"/>
                        <w:szCs w:val="20"/>
                      </w:rPr>
                    </w:pPr>
                    <w:r>
                      <w:rPr>
                        <w:b/>
                        <w:bCs/>
                        <w:sz w:val="20"/>
                        <w:szCs w:val="20"/>
                      </w:rPr>
                      <w:t>A</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20"/>
                        <w:szCs w:val="20"/>
                      </w:rPr>
                    </w:pPr>
                    <w:r>
                      <w:rPr>
                        <w:b/>
                        <w:bCs/>
                        <w:sz w:val="20"/>
                        <w:szCs w:val="20"/>
                      </w:rPr>
                      <w:t>B</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C</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pStyle w:val="Heading2"/>
                      <w:rPr>
                        <w:sz w:val="16"/>
                        <w:szCs w:val="16"/>
                      </w:rPr>
                    </w:pPr>
                    <w:r>
                      <w:t>D</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E</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20"/>
                        <w:szCs w:val="20"/>
                      </w:rPr>
                    </w:pPr>
                    <w:r>
                      <w:rPr>
                        <w:b/>
                        <w:bCs/>
                        <w:sz w:val="20"/>
                        <w:szCs w:val="20"/>
                      </w:rPr>
                      <w:t>F</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G</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H</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I</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J</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K</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L</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M</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N</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O</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P</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Q</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R</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S</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T</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U</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5A31" w:rsidRDefault="00865A31">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rTwgwIAABU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Luu&#10;tPCDAgAAFQUAAA4AAAAAAAAAAAAAAAAALgIAAGRycy9lMm9Eb2MueG1sUEsBAi0AFAAGAAgAAAAh&#10;AJT64IXfAAAACgEAAA8AAAAAAAAAAAAAAAAA3QQAAGRycy9kb3ducmV2LnhtbFBLBQYAAAAABAAE&#10;APMAAADpBQAAAAA=&#10;" o:allowincell="f" stroked="f">
              <v:textbox>
                <w:txbxContent>
                  <w:p w:rsidR="00865A31" w:rsidRDefault="00865A31">
                    <w:pPr>
                      <w:rPr>
                        <w:rFonts w:eastAsia="黑体"/>
                        <w:b/>
                        <w:bCs/>
                        <w:sz w:val="18"/>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A31" w:rsidRDefault="00865A31">
    <w:pPr>
      <w:pStyle w:val="Header"/>
      <w:rPr>
        <w:sz w:val="28"/>
        <w:szCs w:val="28"/>
      </w:rPr>
    </w:pPr>
    <w:r w:rsidRPr="006C6DEC">
      <w:rPr>
        <w:noProof/>
        <w:sz w:val="20"/>
      </w:rPr>
      <mc:AlternateContent>
        <mc:Choice Requires="wps">
          <w:drawing>
            <wp:anchor distT="0" distB="0" distL="114300" distR="114300" simplePos="0" relativeHeight="251659264" behindDoc="0" locked="0" layoutInCell="0" allowOverlap="1">
              <wp:simplePos x="0" y="0"/>
              <wp:positionH relativeFrom="column">
                <wp:posOffset>5735955</wp:posOffset>
              </wp:positionH>
              <wp:positionV relativeFrom="paragraph">
                <wp:posOffset>153035</wp:posOffset>
              </wp:positionV>
              <wp:extent cx="474345" cy="1014349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10143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5A31" w:rsidRDefault="00865A31" w:rsidP="00A8299F">
                          <w:pPr>
                            <w:ind w:right="-165"/>
                            <w:rPr>
                              <w:b/>
                              <w:bCs/>
                              <w:sz w:val="20"/>
                              <w:szCs w:val="20"/>
                            </w:rPr>
                          </w:pPr>
                          <w:r>
                            <w:rPr>
                              <w:b/>
                              <w:bCs/>
                              <w:sz w:val="20"/>
                              <w:szCs w:val="20"/>
                            </w:rPr>
                            <w:t>A</w:t>
                          </w:r>
                        </w:p>
                        <w:p w:rsidR="00865A31" w:rsidRDefault="00865A31" w:rsidP="00A8299F">
                          <w:pPr>
                            <w:ind w:right="-165"/>
                            <w:rPr>
                              <w:b/>
                              <w:bCs/>
                              <w:sz w:val="10"/>
                              <w:szCs w:val="10"/>
                            </w:rPr>
                          </w:pPr>
                        </w:p>
                        <w:p w:rsidR="00865A31" w:rsidRDefault="00865A31" w:rsidP="00A8299F">
                          <w:pPr>
                            <w:ind w:right="-165"/>
                            <w:rPr>
                              <w:b/>
                              <w:bCs/>
                              <w:sz w:val="16"/>
                              <w:szCs w:val="16"/>
                            </w:rPr>
                          </w:pPr>
                        </w:p>
                        <w:p w:rsidR="00865A31" w:rsidRDefault="00865A31" w:rsidP="00A8299F">
                          <w:pPr>
                            <w:ind w:right="-165"/>
                            <w:rPr>
                              <w:b/>
                              <w:bCs/>
                              <w:sz w:val="16"/>
                              <w:szCs w:val="16"/>
                            </w:rPr>
                          </w:pPr>
                        </w:p>
                        <w:p w:rsidR="00865A31" w:rsidRDefault="00865A31" w:rsidP="00A8299F">
                          <w:pPr>
                            <w:ind w:right="-165"/>
                            <w:rPr>
                              <w:b/>
                              <w:bCs/>
                              <w:sz w:val="20"/>
                              <w:szCs w:val="20"/>
                            </w:rPr>
                          </w:pPr>
                          <w:r>
                            <w:rPr>
                              <w:b/>
                              <w:bCs/>
                              <w:sz w:val="20"/>
                              <w:szCs w:val="20"/>
                            </w:rPr>
                            <w:t>B</w:t>
                          </w:r>
                        </w:p>
                        <w:p w:rsidR="00865A31" w:rsidRDefault="00865A31" w:rsidP="00A8299F">
                          <w:pPr>
                            <w:ind w:right="-165"/>
                            <w:rPr>
                              <w:b/>
                              <w:bCs/>
                              <w:sz w:val="10"/>
                              <w:szCs w:val="10"/>
                            </w:rPr>
                          </w:pPr>
                        </w:p>
                        <w:p w:rsidR="00865A31" w:rsidRDefault="00865A31" w:rsidP="00A8299F">
                          <w:pPr>
                            <w:ind w:right="-165"/>
                            <w:rPr>
                              <w:b/>
                              <w:bCs/>
                              <w:sz w:val="16"/>
                              <w:szCs w:val="16"/>
                            </w:rPr>
                          </w:pPr>
                        </w:p>
                        <w:p w:rsidR="00865A31" w:rsidRDefault="00865A31" w:rsidP="00A8299F">
                          <w:pPr>
                            <w:ind w:right="-165"/>
                            <w:rPr>
                              <w:b/>
                              <w:bCs/>
                              <w:sz w:val="16"/>
                              <w:szCs w:val="16"/>
                            </w:rPr>
                          </w:pPr>
                        </w:p>
                        <w:p w:rsidR="00865A31" w:rsidRDefault="00865A31" w:rsidP="00A8299F">
                          <w:pPr>
                            <w:ind w:right="-165"/>
                            <w:rPr>
                              <w:b/>
                              <w:bCs/>
                              <w:sz w:val="16"/>
                              <w:szCs w:val="16"/>
                            </w:rPr>
                          </w:pPr>
                          <w:r>
                            <w:rPr>
                              <w:b/>
                              <w:bCs/>
                              <w:sz w:val="20"/>
                              <w:szCs w:val="20"/>
                            </w:rPr>
                            <w:t>C</w:t>
                          </w:r>
                        </w:p>
                        <w:p w:rsidR="00865A31" w:rsidRDefault="00865A31" w:rsidP="00A8299F">
                          <w:pPr>
                            <w:ind w:right="-165"/>
                            <w:rPr>
                              <w:b/>
                              <w:bCs/>
                              <w:sz w:val="10"/>
                              <w:szCs w:val="10"/>
                            </w:rPr>
                          </w:pPr>
                        </w:p>
                        <w:p w:rsidR="00865A31" w:rsidRDefault="00865A31" w:rsidP="00A8299F">
                          <w:pPr>
                            <w:ind w:right="-165"/>
                            <w:rPr>
                              <w:b/>
                              <w:bCs/>
                              <w:sz w:val="16"/>
                              <w:szCs w:val="16"/>
                            </w:rPr>
                          </w:pPr>
                        </w:p>
                        <w:p w:rsidR="00865A31" w:rsidRDefault="00865A31" w:rsidP="00A8299F">
                          <w:pPr>
                            <w:ind w:right="-165"/>
                            <w:rPr>
                              <w:b/>
                              <w:bCs/>
                              <w:sz w:val="16"/>
                              <w:szCs w:val="16"/>
                            </w:rPr>
                          </w:pPr>
                        </w:p>
                        <w:p w:rsidR="00865A31" w:rsidRDefault="00865A31" w:rsidP="00A8299F">
                          <w:pPr>
                            <w:pStyle w:val="Heading2"/>
                            <w:ind w:right="-165"/>
                            <w:rPr>
                              <w:sz w:val="16"/>
                              <w:szCs w:val="16"/>
                            </w:rPr>
                          </w:pPr>
                          <w:r>
                            <w:t>D</w:t>
                          </w:r>
                        </w:p>
                        <w:p w:rsidR="00865A31" w:rsidRDefault="00865A31" w:rsidP="00A8299F">
                          <w:pPr>
                            <w:ind w:right="-165"/>
                            <w:rPr>
                              <w:b/>
                              <w:bCs/>
                              <w:sz w:val="10"/>
                              <w:szCs w:val="10"/>
                            </w:rPr>
                          </w:pPr>
                        </w:p>
                        <w:p w:rsidR="00865A31" w:rsidRDefault="00865A31" w:rsidP="00A8299F">
                          <w:pPr>
                            <w:ind w:right="-165"/>
                            <w:rPr>
                              <w:b/>
                              <w:bCs/>
                              <w:sz w:val="16"/>
                              <w:szCs w:val="16"/>
                            </w:rPr>
                          </w:pPr>
                        </w:p>
                        <w:p w:rsidR="00865A31" w:rsidRDefault="00865A31" w:rsidP="00A8299F">
                          <w:pPr>
                            <w:ind w:right="-165"/>
                            <w:rPr>
                              <w:b/>
                              <w:bCs/>
                              <w:sz w:val="16"/>
                              <w:szCs w:val="16"/>
                            </w:rPr>
                          </w:pPr>
                        </w:p>
                        <w:p w:rsidR="00865A31" w:rsidRDefault="00865A31" w:rsidP="00A8299F">
                          <w:pPr>
                            <w:ind w:right="-165"/>
                            <w:rPr>
                              <w:b/>
                              <w:bCs/>
                              <w:sz w:val="16"/>
                              <w:szCs w:val="16"/>
                            </w:rPr>
                          </w:pPr>
                          <w:r>
                            <w:rPr>
                              <w:b/>
                              <w:bCs/>
                              <w:sz w:val="20"/>
                              <w:szCs w:val="20"/>
                            </w:rPr>
                            <w:t>E</w:t>
                          </w:r>
                        </w:p>
                        <w:p w:rsidR="00865A31" w:rsidRDefault="00865A31" w:rsidP="00A8299F">
                          <w:pPr>
                            <w:ind w:right="-165"/>
                            <w:rPr>
                              <w:b/>
                              <w:bCs/>
                              <w:sz w:val="10"/>
                              <w:szCs w:val="10"/>
                            </w:rPr>
                          </w:pPr>
                        </w:p>
                        <w:p w:rsidR="00865A31" w:rsidRDefault="00865A31" w:rsidP="00A8299F">
                          <w:pPr>
                            <w:ind w:right="-165"/>
                            <w:rPr>
                              <w:b/>
                              <w:bCs/>
                              <w:sz w:val="16"/>
                              <w:szCs w:val="16"/>
                            </w:rPr>
                          </w:pPr>
                        </w:p>
                        <w:p w:rsidR="00865A31" w:rsidRDefault="00865A31" w:rsidP="00A8299F">
                          <w:pPr>
                            <w:ind w:right="-165"/>
                            <w:rPr>
                              <w:b/>
                              <w:bCs/>
                              <w:sz w:val="16"/>
                              <w:szCs w:val="16"/>
                            </w:rPr>
                          </w:pPr>
                        </w:p>
                        <w:p w:rsidR="00865A31" w:rsidRDefault="00865A31" w:rsidP="00A8299F">
                          <w:pPr>
                            <w:ind w:right="-165"/>
                            <w:rPr>
                              <w:b/>
                              <w:bCs/>
                              <w:sz w:val="20"/>
                              <w:szCs w:val="20"/>
                            </w:rPr>
                          </w:pPr>
                          <w:r>
                            <w:rPr>
                              <w:b/>
                              <w:bCs/>
                              <w:sz w:val="20"/>
                              <w:szCs w:val="20"/>
                            </w:rPr>
                            <w:t>F</w:t>
                          </w:r>
                        </w:p>
                        <w:p w:rsidR="00865A31" w:rsidRDefault="00865A31" w:rsidP="00A8299F">
                          <w:pPr>
                            <w:ind w:right="-165"/>
                            <w:rPr>
                              <w:b/>
                              <w:bCs/>
                              <w:sz w:val="10"/>
                              <w:szCs w:val="10"/>
                            </w:rPr>
                          </w:pPr>
                        </w:p>
                        <w:p w:rsidR="00865A31" w:rsidRDefault="00865A31" w:rsidP="00A8299F">
                          <w:pPr>
                            <w:ind w:right="-165"/>
                            <w:rPr>
                              <w:b/>
                              <w:bCs/>
                              <w:sz w:val="16"/>
                              <w:szCs w:val="16"/>
                            </w:rPr>
                          </w:pPr>
                        </w:p>
                        <w:p w:rsidR="00865A31" w:rsidRDefault="00865A31" w:rsidP="00A8299F">
                          <w:pPr>
                            <w:ind w:right="-165"/>
                            <w:rPr>
                              <w:b/>
                              <w:bCs/>
                              <w:sz w:val="16"/>
                              <w:szCs w:val="16"/>
                            </w:rPr>
                          </w:pPr>
                        </w:p>
                        <w:p w:rsidR="00865A31" w:rsidRDefault="00865A31" w:rsidP="00A8299F">
                          <w:pPr>
                            <w:ind w:right="-165"/>
                            <w:rPr>
                              <w:b/>
                              <w:bCs/>
                              <w:sz w:val="16"/>
                              <w:szCs w:val="16"/>
                            </w:rPr>
                          </w:pPr>
                          <w:r>
                            <w:rPr>
                              <w:b/>
                              <w:bCs/>
                              <w:sz w:val="20"/>
                              <w:szCs w:val="20"/>
                            </w:rPr>
                            <w:t>G</w:t>
                          </w:r>
                        </w:p>
                        <w:p w:rsidR="00865A31" w:rsidRDefault="00865A31" w:rsidP="00A8299F">
                          <w:pPr>
                            <w:ind w:right="-165"/>
                            <w:rPr>
                              <w:b/>
                              <w:bCs/>
                              <w:sz w:val="10"/>
                              <w:szCs w:val="10"/>
                            </w:rPr>
                          </w:pPr>
                        </w:p>
                        <w:p w:rsidR="00865A31" w:rsidRDefault="00865A31" w:rsidP="00A8299F">
                          <w:pPr>
                            <w:ind w:right="-165"/>
                            <w:rPr>
                              <w:b/>
                              <w:bCs/>
                              <w:sz w:val="16"/>
                              <w:szCs w:val="16"/>
                            </w:rPr>
                          </w:pPr>
                        </w:p>
                        <w:p w:rsidR="00865A31" w:rsidRDefault="00865A31" w:rsidP="00A8299F">
                          <w:pPr>
                            <w:ind w:right="-165"/>
                            <w:rPr>
                              <w:b/>
                              <w:bCs/>
                              <w:sz w:val="16"/>
                              <w:szCs w:val="16"/>
                            </w:rPr>
                          </w:pPr>
                        </w:p>
                        <w:p w:rsidR="00865A31" w:rsidRDefault="00865A31" w:rsidP="00A8299F">
                          <w:pPr>
                            <w:ind w:right="-165"/>
                            <w:rPr>
                              <w:b/>
                              <w:bCs/>
                              <w:sz w:val="16"/>
                              <w:szCs w:val="16"/>
                            </w:rPr>
                          </w:pPr>
                          <w:r>
                            <w:rPr>
                              <w:b/>
                              <w:bCs/>
                              <w:sz w:val="20"/>
                              <w:szCs w:val="20"/>
                            </w:rPr>
                            <w:t>H</w:t>
                          </w:r>
                        </w:p>
                        <w:p w:rsidR="00865A31" w:rsidRDefault="00865A31" w:rsidP="00A8299F">
                          <w:pPr>
                            <w:ind w:right="-165"/>
                            <w:rPr>
                              <w:b/>
                              <w:bCs/>
                              <w:sz w:val="10"/>
                              <w:szCs w:val="10"/>
                            </w:rPr>
                          </w:pPr>
                        </w:p>
                        <w:p w:rsidR="00865A31" w:rsidRDefault="00865A31" w:rsidP="00A8299F">
                          <w:pPr>
                            <w:ind w:right="-165"/>
                            <w:rPr>
                              <w:b/>
                              <w:bCs/>
                              <w:sz w:val="16"/>
                              <w:szCs w:val="16"/>
                            </w:rPr>
                          </w:pPr>
                        </w:p>
                        <w:p w:rsidR="00865A31" w:rsidRDefault="00865A31" w:rsidP="00A8299F">
                          <w:pPr>
                            <w:ind w:right="-165"/>
                            <w:rPr>
                              <w:b/>
                              <w:bCs/>
                              <w:sz w:val="16"/>
                              <w:szCs w:val="16"/>
                            </w:rPr>
                          </w:pPr>
                        </w:p>
                        <w:p w:rsidR="00865A31" w:rsidRDefault="00865A31" w:rsidP="00A8299F">
                          <w:pPr>
                            <w:ind w:right="-165"/>
                            <w:rPr>
                              <w:b/>
                              <w:bCs/>
                              <w:sz w:val="16"/>
                              <w:szCs w:val="16"/>
                            </w:rPr>
                          </w:pPr>
                          <w:r>
                            <w:rPr>
                              <w:b/>
                              <w:bCs/>
                              <w:sz w:val="20"/>
                              <w:szCs w:val="20"/>
                            </w:rPr>
                            <w:t>I</w:t>
                          </w:r>
                        </w:p>
                        <w:p w:rsidR="00865A31" w:rsidRDefault="00865A31" w:rsidP="00A8299F">
                          <w:pPr>
                            <w:ind w:right="-165"/>
                            <w:rPr>
                              <w:b/>
                              <w:bCs/>
                              <w:sz w:val="10"/>
                              <w:szCs w:val="10"/>
                            </w:rPr>
                          </w:pPr>
                        </w:p>
                        <w:p w:rsidR="00865A31" w:rsidRDefault="00865A31" w:rsidP="00A8299F">
                          <w:pPr>
                            <w:ind w:right="-165"/>
                            <w:rPr>
                              <w:b/>
                              <w:bCs/>
                              <w:sz w:val="16"/>
                              <w:szCs w:val="16"/>
                            </w:rPr>
                          </w:pPr>
                        </w:p>
                        <w:p w:rsidR="00865A31" w:rsidRDefault="00865A31" w:rsidP="00A8299F">
                          <w:pPr>
                            <w:ind w:right="-165"/>
                            <w:rPr>
                              <w:b/>
                              <w:bCs/>
                              <w:sz w:val="16"/>
                              <w:szCs w:val="16"/>
                            </w:rPr>
                          </w:pPr>
                        </w:p>
                        <w:p w:rsidR="00865A31" w:rsidRDefault="00865A31" w:rsidP="00A8299F">
                          <w:pPr>
                            <w:ind w:right="-165"/>
                            <w:rPr>
                              <w:b/>
                              <w:bCs/>
                              <w:sz w:val="16"/>
                              <w:szCs w:val="16"/>
                            </w:rPr>
                          </w:pPr>
                          <w:r>
                            <w:rPr>
                              <w:b/>
                              <w:bCs/>
                              <w:sz w:val="20"/>
                              <w:szCs w:val="20"/>
                            </w:rPr>
                            <w:t>J</w:t>
                          </w:r>
                        </w:p>
                        <w:p w:rsidR="00865A31" w:rsidRDefault="00865A31" w:rsidP="00A8299F">
                          <w:pPr>
                            <w:ind w:right="-165"/>
                            <w:rPr>
                              <w:b/>
                              <w:bCs/>
                              <w:sz w:val="10"/>
                              <w:szCs w:val="10"/>
                            </w:rPr>
                          </w:pPr>
                        </w:p>
                        <w:p w:rsidR="00865A31" w:rsidRDefault="00865A31" w:rsidP="00A8299F">
                          <w:pPr>
                            <w:ind w:right="-165"/>
                            <w:rPr>
                              <w:b/>
                              <w:bCs/>
                              <w:sz w:val="16"/>
                              <w:szCs w:val="16"/>
                            </w:rPr>
                          </w:pPr>
                        </w:p>
                        <w:p w:rsidR="00865A31" w:rsidRDefault="00865A31" w:rsidP="00A8299F">
                          <w:pPr>
                            <w:ind w:right="-165"/>
                            <w:rPr>
                              <w:b/>
                              <w:bCs/>
                              <w:sz w:val="16"/>
                              <w:szCs w:val="16"/>
                            </w:rPr>
                          </w:pPr>
                        </w:p>
                        <w:p w:rsidR="00865A31" w:rsidRDefault="00865A31" w:rsidP="00A8299F">
                          <w:pPr>
                            <w:ind w:right="-165"/>
                            <w:rPr>
                              <w:b/>
                              <w:bCs/>
                              <w:sz w:val="16"/>
                              <w:szCs w:val="16"/>
                            </w:rPr>
                          </w:pPr>
                          <w:r>
                            <w:rPr>
                              <w:b/>
                              <w:bCs/>
                              <w:sz w:val="20"/>
                              <w:szCs w:val="20"/>
                            </w:rPr>
                            <w:t>K</w:t>
                          </w:r>
                        </w:p>
                        <w:p w:rsidR="00865A31" w:rsidRDefault="00865A31" w:rsidP="00A8299F">
                          <w:pPr>
                            <w:ind w:right="-165"/>
                            <w:rPr>
                              <w:b/>
                              <w:bCs/>
                              <w:sz w:val="10"/>
                              <w:szCs w:val="10"/>
                            </w:rPr>
                          </w:pPr>
                        </w:p>
                        <w:p w:rsidR="00865A31" w:rsidRDefault="00865A31" w:rsidP="00A8299F">
                          <w:pPr>
                            <w:ind w:right="-165"/>
                            <w:rPr>
                              <w:b/>
                              <w:bCs/>
                              <w:sz w:val="16"/>
                              <w:szCs w:val="16"/>
                            </w:rPr>
                          </w:pPr>
                        </w:p>
                        <w:p w:rsidR="00865A31" w:rsidRDefault="00865A31" w:rsidP="00A8299F">
                          <w:pPr>
                            <w:ind w:right="-165"/>
                            <w:rPr>
                              <w:b/>
                              <w:bCs/>
                              <w:sz w:val="16"/>
                              <w:szCs w:val="16"/>
                            </w:rPr>
                          </w:pPr>
                        </w:p>
                        <w:p w:rsidR="00865A31" w:rsidRDefault="00865A31" w:rsidP="00A8299F">
                          <w:pPr>
                            <w:ind w:right="-165"/>
                            <w:rPr>
                              <w:b/>
                              <w:bCs/>
                              <w:sz w:val="16"/>
                              <w:szCs w:val="16"/>
                            </w:rPr>
                          </w:pPr>
                          <w:r>
                            <w:rPr>
                              <w:b/>
                              <w:bCs/>
                              <w:sz w:val="20"/>
                              <w:szCs w:val="20"/>
                            </w:rPr>
                            <w:t>L</w:t>
                          </w:r>
                        </w:p>
                        <w:p w:rsidR="00865A31" w:rsidRDefault="00865A31" w:rsidP="00A8299F">
                          <w:pPr>
                            <w:ind w:right="-165"/>
                            <w:rPr>
                              <w:b/>
                              <w:bCs/>
                              <w:sz w:val="10"/>
                              <w:szCs w:val="10"/>
                            </w:rPr>
                          </w:pPr>
                        </w:p>
                        <w:p w:rsidR="00865A31" w:rsidRDefault="00865A31" w:rsidP="00A8299F">
                          <w:pPr>
                            <w:ind w:right="-165"/>
                            <w:rPr>
                              <w:b/>
                              <w:bCs/>
                              <w:sz w:val="16"/>
                              <w:szCs w:val="16"/>
                            </w:rPr>
                          </w:pPr>
                        </w:p>
                        <w:p w:rsidR="00865A31" w:rsidRDefault="00865A31" w:rsidP="00A8299F">
                          <w:pPr>
                            <w:ind w:right="-165"/>
                            <w:rPr>
                              <w:b/>
                              <w:bCs/>
                              <w:sz w:val="16"/>
                              <w:szCs w:val="16"/>
                            </w:rPr>
                          </w:pPr>
                        </w:p>
                        <w:p w:rsidR="00865A31" w:rsidRDefault="00865A31" w:rsidP="00A8299F">
                          <w:pPr>
                            <w:ind w:right="-165"/>
                            <w:rPr>
                              <w:b/>
                              <w:bCs/>
                              <w:sz w:val="16"/>
                              <w:szCs w:val="16"/>
                            </w:rPr>
                          </w:pPr>
                          <w:r>
                            <w:rPr>
                              <w:b/>
                              <w:bCs/>
                              <w:sz w:val="20"/>
                              <w:szCs w:val="20"/>
                            </w:rPr>
                            <w:t>M</w:t>
                          </w:r>
                        </w:p>
                        <w:p w:rsidR="00865A31" w:rsidRDefault="00865A31" w:rsidP="00A8299F">
                          <w:pPr>
                            <w:ind w:right="-165"/>
                            <w:rPr>
                              <w:b/>
                              <w:bCs/>
                              <w:sz w:val="10"/>
                              <w:szCs w:val="10"/>
                            </w:rPr>
                          </w:pPr>
                        </w:p>
                        <w:p w:rsidR="00865A31" w:rsidRDefault="00865A31" w:rsidP="00A8299F">
                          <w:pPr>
                            <w:ind w:right="-165"/>
                            <w:rPr>
                              <w:b/>
                              <w:bCs/>
                              <w:sz w:val="16"/>
                              <w:szCs w:val="16"/>
                            </w:rPr>
                          </w:pPr>
                        </w:p>
                        <w:p w:rsidR="00865A31" w:rsidRDefault="00865A31" w:rsidP="00A8299F">
                          <w:pPr>
                            <w:ind w:right="-165"/>
                            <w:rPr>
                              <w:b/>
                              <w:bCs/>
                              <w:sz w:val="16"/>
                              <w:szCs w:val="16"/>
                            </w:rPr>
                          </w:pPr>
                        </w:p>
                        <w:p w:rsidR="00865A31" w:rsidRDefault="00865A31" w:rsidP="00A8299F">
                          <w:pPr>
                            <w:ind w:right="-165"/>
                            <w:rPr>
                              <w:b/>
                              <w:bCs/>
                              <w:sz w:val="16"/>
                              <w:szCs w:val="16"/>
                            </w:rPr>
                          </w:pPr>
                          <w:r>
                            <w:rPr>
                              <w:b/>
                              <w:bCs/>
                              <w:sz w:val="20"/>
                              <w:szCs w:val="20"/>
                            </w:rPr>
                            <w:t>N</w:t>
                          </w:r>
                        </w:p>
                        <w:p w:rsidR="00865A31" w:rsidRDefault="00865A31" w:rsidP="00A8299F">
                          <w:pPr>
                            <w:ind w:right="-165"/>
                            <w:rPr>
                              <w:b/>
                              <w:bCs/>
                              <w:sz w:val="10"/>
                              <w:szCs w:val="10"/>
                            </w:rPr>
                          </w:pPr>
                        </w:p>
                        <w:p w:rsidR="00865A31" w:rsidRDefault="00865A31" w:rsidP="00A8299F">
                          <w:pPr>
                            <w:ind w:right="-165"/>
                            <w:rPr>
                              <w:b/>
                              <w:bCs/>
                              <w:sz w:val="16"/>
                              <w:szCs w:val="16"/>
                            </w:rPr>
                          </w:pPr>
                        </w:p>
                        <w:p w:rsidR="00865A31" w:rsidRDefault="00865A31" w:rsidP="00A8299F">
                          <w:pPr>
                            <w:ind w:right="-165"/>
                            <w:rPr>
                              <w:b/>
                              <w:bCs/>
                              <w:sz w:val="16"/>
                              <w:szCs w:val="16"/>
                            </w:rPr>
                          </w:pPr>
                        </w:p>
                        <w:p w:rsidR="00865A31" w:rsidRDefault="00865A31" w:rsidP="00A8299F">
                          <w:pPr>
                            <w:ind w:right="-165"/>
                            <w:rPr>
                              <w:b/>
                              <w:bCs/>
                              <w:sz w:val="16"/>
                              <w:szCs w:val="16"/>
                            </w:rPr>
                          </w:pPr>
                          <w:r>
                            <w:rPr>
                              <w:b/>
                              <w:bCs/>
                              <w:sz w:val="20"/>
                              <w:szCs w:val="20"/>
                            </w:rPr>
                            <w:t>O</w:t>
                          </w:r>
                        </w:p>
                        <w:p w:rsidR="00865A31" w:rsidRDefault="00865A31" w:rsidP="00A8299F">
                          <w:pPr>
                            <w:ind w:right="-165"/>
                            <w:rPr>
                              <w:b/>
                              <w:bCs/>
                              <w:sz w:val="10"/>
                              <w:szCs w:val="10"/>
                            </w:rPr>
                          </w:pPr>
                        </w:p>
                        <w:p w:rsidR="00865A31" w:rsidRDefault="00865A31" w:rsidP="00A8299F">
                          <w:pPr>
                            <w:ind w:right="-165"/>
                            <w:rPr>
                              <w:b/>
                              <w:bCs/>
                              <w:sz w:val="16"/>
                              <w:szCs w:val="16"/>
                            </w:rPr>
                          </w:pPr>
                        </w:p>
                        <w:p w:rsidR="00865A31" w:rsidRDefault="00865A31" w:rsidP="00A8299F">
                          <w:pPr>
                            <w:ind w:right="-165"/>
                            <w:rPr>
                              <w:b/>
                              <w:bCs/>
                              <w:sz w:val="16"/>
                              <w:szCs w:val="16"/>
                            </w:rPr>
                          </w:pPr>
                        </w:p>
                        <w:p w:rsidR="00865A31" w:rsidRDefault="00865A31" w:rsidP="00A8299F">
                          <w:pPr>
                            <w:ind w:right="-165"/>
                            <w:rPr>
                              <w:b/>
                              <w:bCs/>
                              <w:sz w:val="16"/>
                              <w:szCs w:val="16"/>
                            </w:rPr>
                          </w:pPr>
                          <w:r>
                            <w:rPr>
                              <w:b/>
                              <w:bCs/>
                              <w:sz w:val="20"/>
                              <w:szCs w:val="20"/>
                            </w:rPr>
                            <w:t>P</w:t>
                          </w:r>
                        </w:p>
                        <w:p w:rsidR="00865A31" w:rsidRDefault="00865A31" w:rsidP="00A8299F">
                          <w:pPr>
                            <w:ind w:right="-165"/>
                            <w:rPr>
                              <w:b/>
                              <w:bCs/>
                              <w:sz w:val="10"/>
                              <w:szCs w:val="10"/>
                            </w:rPr>
                          </w:pPr>
                        </w:p>
                        <w:p w:rsidR="00865A31" w:rsidRDefault="00865A31" w:rsidP="00A8299F">
                          <w:pPr>
                            <w:ind w:right="-165"/>
                            <w:rPr>
                              <w:b/>
                              <w:bCs/>
                              <w:sz w:val="16"/>
                              <w:szCs w:val="16"/>
                            </w:rPr>
                          </w:pPr>
                        </w:p>
                        <w:p w:rsidR="00865A31" w:rsidRDefault="00865A31" w:rsidP="00A8299F">
                          <w:pPr>
                            <w:ind w:right="-165"/>
                            <w:rPr>
                              <w:b/>
                              <w:bCs/>
                              <w:sz w:val="16"/>
                              <w:szCs w:val="16"/>
                            </w:rPr>
                          </w:pPr>
                        </w:p>
                        <w:p w:rsidR="00865A31" w:rsidRDefault="00865A31" w:rsidP="00A8299F">
                          <w:pPr>
                            <w:ind w:right="-165"/>
                            <w:rPr>
                              <w:b/>
                              <w:bCs/>
                              <w:sz w:val="16"/>
                              <w:szCs w:val="16"/>
                            </w:rPr>
                          </w:pPr>
                          <w:r>
                            <w:rPr>
                              <w:b/>
                              <w:bCs/>
                              <w:sz w:val="20"/>
                              <w:szCs w:val="20"/>
                            </w:rPr>
                            <w:t>Q</w:t>
                          </w:r>
                        </w:p>
                        <w:p w:rsidR="00865A31" w:rsidRDefault="00865A31" w:rsidP="00A8299F">
                          <w:pPr>
                            <w:ind w:right="-165"/>
                            <w:rPr>
                              <w:b/>
                              <w:bCs/>
                              <w:sz w:val="10"/>
                              <w:szCs w:val="10"/>
                            </w:rPr>
                          </w:pPr>
                        </w:p>
                        <w:p w:rsidR="00865A31" w:rsidRDefault="00865A31" w:rsidP="00A8299F">
                          <w:pPr>
                            <w:ind w:right="-165"/>
                            <w:rPr>
                              <w:b/>
                              <w:bCs/>
                              <w:sz w:val="16"/>
                              <w:szCs w:val="16"/>
                            </w:rPr>
                          </w:pPr>
                        </w:p>
                        <w:p w:rsidR="00865A31" w:rsidRDefault="00865A31" w:rsidP="00A8299F">
                          <w:pPr>
                            <w:ind w:right="-165"/>
                            <w:rPr>
                              <w:b/>
                              <w:bCs/>
                              <w:sz w:val="16"/>
                              <w:szCs w:val="16"/>
                            </w:rPr>
                          </w:pPr>
                        </w:p>
                        <w:p w:rsidR="00865A31" w:rsidRDefault="00865A31" w:rsidP="00A8299F">
                          <w:pPr>
                            <w:ind w:right="-165"/>
                            <w:rPr>
                              <w:b/>
                              <w:bCs/>
                              <w:sz w:val="16"/>
                              <w:szCs w:val="16"/>
                            </w:rPr>
                          </w:pPr>
                          <w:r>
                            <w:rPr>
                              <w:b/>
                              <w:bCs/>
                              <w:sz w:val="20"/>
                              <w:szCs w:val="20"/>
                            </w:rPr>
                            <w:t>R</w:t>
                          </w:r>
                        </w:p>
                        <w:p w:rsidR="00865A31" w:rsidRDefault="00865A31" w:rsidP="00A8299F">
                          <w:pPr>
                            <w:ind w:right="-165"/>
                            <w:rPr>
                              <w:b/>
                              <w:bCs/>
                              <w:sz w:val="10"/>
                              <w:szCs w:val="10"/>
                            </w:rPr>
                          </w:pPr>
                        </w:p>
                        <w:p w:rsidR="00865A31" w:rsidRDefault="00865A31" w:rsidP="00A8299F">
                          <w:pPr>
                            <w:ind w:right="-165"/>
                            <w:rPr>
                              <w:b/>
                              <w:bCs/>
                              <w:sz w:val="16"/>
                              <w:szCs w:val="16"/>
                            </w:rPr>
                          </w:pPr>
                        </w:p>
                        <w:p w:rsidR="00865A31" w:rsidRDefault="00865A31" w:rsidP="00A8299F">
                          <w:pPr>
                            <w:ind w:right="-165"/>
                            <w:rPr>
                              <w:b/>
                              <w:bCs/>
                              <w:sz w:val="16"/>
                              <w:szCs w:val="16"/>
                            </w:rPr>
                          </w:pPr>
                        </w:p>
                        <w:p w:rsidR="00865A31" w:rsidRDefault="00865A31" w:rsidP="00A8299F">
                          <w:pPr>
                            <w:ind w:right="-165"/>
                            <w:rPr>
                              <w:b/>
                              <w:bCs/>
                              <w:sz w:val="16"/>
                              <w:szCs w:val="16"/>
                            </w:rPr>
                          </w:pPr>
                          <w:r>
                            <w:rPr>
                              <w:b/>
                              <w:bCs/>
                              <w:sz w:val="20"/>
                              <w:szCs w:val="20"/>
                            </w:rPr>
                            <w:t>S</w:t>
                          </w:r>
                        </w:p>
                        <w:p w:rsidR="00865A31" w:rsidRDefault="00865A31" w:rsidP="00A8299F">
                          <w:pPr>
                            <w:ind w:right="-165"/>
                            <w:rPr>
                              <w:b/>
                              <w:bCs/>
                              <w:sz w:val="10"/>
                              <w:szCs w:val="10"/>
                            </w:rPr>
                          </w:pPr>
                        </w:p>
                        <w:p w:rsidR="00865A31" w:rsidRDefault="00865A31" w:rsidP="00A8299F">
                          <w:pPr>
                            <w:ind w:right="-165"/>
                            <w:rPr>
                              <w:b/>
                              <w:bCs/>
                              <w:sz w:val="16"/>
                              <w:szCs w:val="16"/>
                            </w:rPr>
                          </w:pPr>
                        </w:p>
                        <w:p w:rsidR="00865A31" w:rsidRDefault="00865A31" w:rsidP="00A8299F">
                          <w:pPr>
                            <w:ind w:right="-165"/>
                            <w:rPr>
                              <w:b/>
                              <w:bCs/>
                              <w:sz w:val="16"/>
                              <w:szCs w:val="16"/>
                            </w:rPr>
                          </w:pPr>
                        </w:p>
                        <w:p w:rsidR="00865A31" w:rsidRDefault="00865A31" w:rsidP="00A8299F">
                          <w:pPr>
                            <w:ind w:right="-165"/>
                            <w:rPr>
                              <w:b/>
                              <w:bCs/>
                              <w:sz w:val="16"/>
                              <w:szCs w:val="16"/>
                            </w:rPr>
                          </w:pPr>
                          <w:r>
                            <w:rPr>
                              <w:b/>
                              <w:bCs/>
                              <w:sz w:val="20"/>
                              <w:szCs w:val="20"/>
                            </w:rPr>
                            <w:t>T</w:t>
                          </w:r>
                        </w:p>
                        <w:p w:rsidR="00865A31" w:rsidRDefault="00865A31" w:rsidP="00A8299F">
                          <w:pPr>
                            <w:ind w:right="-165"/>
                            <w:rPr>
                              <w:b/>
                              <w:bCs/>
                              <w:sz w:val="10"/>
                              <w:szCs w:val="10"/>
                            </w:rPr>
                          </w:pPr>
                        </w:p>
                        <w:p w:rsidR="00865A31" w:rsidRDefault="00865A31" w:rsidP="00A8299F">
                          <w:pPr>
                            <w:ind w:right="-165"/>
                            <w:rPr>
                              <w:b/>
                              <w:bCs/>
                              <w:sz w:val="16"/>
                              <w:szCs w:val="16"/>
                            </w:rPr>
                          </w:pPr>
                        </w:p>
                        <w:p w:rsidR="00865A31" w:rsidRDefault="00865A31" w:rsidP="00A8299F">
                          <w:pPr>
                            <w:ind w:right="-165"/>
                            <w:rPr>
                              <w:b/>
                              <w:bCs/>
                              <w:sz w:val="16"/>
                              <w:szCs w:val="16"/>
                            </w:rPr>
                          </w:pPr>
                        </w:p>
                        <w:p w:rsidR="00865A31" w:rsidRDefault="00865A31" w:rsidP="00A8299F">
                          <w:pPr>
                            <w:ind w:right="-165"/>
                            <w:rPr>
                              <w:b/>
                              <w:bCs/>
                              <w:sz w:val="16"/>
                              <w:szCs w:val="16"/>
                            </w:rPr>
                          </w:pPr>
                          <w:r>
                            <w:rPr>
                              <w:b/>
                              <w:bCs/>
                              <w:sz w:val="20"/>
                              <w:szCs w:val="20"/>
                            </w:rPr>
                            <w:t>U</w:t>
                          </w:r>
                        </w:p>
                        <w:p w:rsidR="00865A31" w:rsidRDefault="00865A31" w:rsidP="00A8299F">
                          <w:pPr>
                            <w:ind w:right="-165"/>
                            <w:rPr>
                              <w:b/>
                              <w:bCs/>
                              <w:sz w:val="10"/>
                              <w:szCs w:val="10"/>
                            </w:rPr>
                          </w:pPr>
                        </w:p>
                        <w:p w:rsidR="00865A31" w:rsidRDefault="00865A31" w:rsidP="00A8299F">
                          <w:pPr>
                            <w:ind w:right="-165"/>
                            <w:rPr>
                              <w:b/>
                              <w:bCs/>
                              <w:sz w:val="16"/>
                              <w:szCs w:val="16"/>
                            </w:rPr>
                          </w:pPr>
                        </w:p>
                        <w:p w:rsidR="00865A31" w:rsidRDefault="00865A31" w:rsidP="00A8299F">
                          <w:pPr>
                            <w:ind w:right="-165"/>
                            <w:rPr>
                              <w:b/>
                              <w:bCs/>
                              <w:sz w:val="16"/>
                              <w:szCs w:val="16"/>
                            </w:rPr>
                          </w:pPr>
                        </w:p>
                        <w:p w:rsidR="00865A31" w:rsidRDefault="00865A31" w:rsidP="00A8299F">
                          <w:pPr>
                            <w:pStyle w:val="Heading3"/>
                            <w:ind w:right="-165"/>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left:0;text-align:left;margin-left:451.65pt;margin-top:12.05pt;width:37.35pt;height:79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" o:allowincell="f" stroked="f">
              <v:textbox>
                <w:txbxContent>
                  <w:p w:rsidR="00BF7B47" w:rsidRDefault="00BF7B47" w:rsidP="00A8299F">
                    <w:pPr>
                      <w:ind w:right="-165"/>
                      <w:rPr>
                        <w:b/>
                        <w:bCs/>
                        <w:sz w:val="20"/>
                        <w:szCs w:val="20"/>
                      </w:rPr>
                    </w:pPr>
                    <w:r>
                      <w:rPr>
                        <w:b/>
                        <w:bCs/>
                        <w:sz w:val="20"/>
                        <w:szCs w:val="20"/>
                      </w:rPr>
                      <w:t>A</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20"/>
                        <w:szCs w:val="20"/>
                      </w:rPr>
                    </w:pPr>
                    <w:r>
                      <w:rPr>
                        <w:b/>
                        <w:bCs/>
                        <w:sz w:val="20"/>
                        <w:szCs w:val="20"/>
                      </w:rPr>
                      <w:t>B</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C</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pStyle w:val="Heading2"/>
                      <w:ind w:right="-165"/>
                      <w:rPr>
                        <w:sz w:val="16"/>
                        <w:szCs w:val="16"/>
                      </w:rPr>
                    </w:pPr>
                    <w:r>
                      <w:t>D</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E</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20"/>
                        <w:szCs w:val="20"/>
                      </w:rPr>
                    </w:pPr>
                    <w:r>
                      <w:rPr>
                        <w:b/>
                        <w:bCs/>
                        <w:sz w:val="20"/>
                        <w:szCs w:val="20"/>
                      </w:rPr>
                      <w:t>F</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G</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H</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I</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J</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K</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L</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M</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N</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O</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P</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Q</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R</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S</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T</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U</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pStyle w:val="Heading3"/>
                      <w:ind w:right="-165"/>
                      <w:jc w:val="left"/>
                    </w:pPr>
                    <w:r>
                      <w:t>V</w:t>
                    </w:r>
                  </w:p>
                </w:txbxContent>
              </v:textbox>
            </v:shape>
          </w:pict>
        </mc:Fallback>
      </mc:AlternateContent>
    </w: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232FE1">
      <w:rPr>
        <w:rStyle w:val="PageNumber"/>
        <w:noProof/>
        <w:sz w:val="28"/>
        <w:szCs w:val="28"/>
      </w:rPr>
      <w:t>12</w:t>
    </w:r>
    <w:r>
      <w:rPr>
        <w:rStyle w:val="PageNumber"/>
        <w:sz w:val="28"/>
        <w:szCs w:val="28"/>
      </w:rPr>
      <w:fldChar w:fldCharType="end"/>
    </w:r>
    <w:r>
      <w:rPr>
        <w:rStyle w:val="PageNumber"/>
        <w:sz w:val="28"/>
        <w:szCs w:val="28"/>
      </w:rPr>
      <w:t xml:space="preserve"> -</w:t>
    </w:r>
    <w:r w:rsidRPr="006C6DEC">
      <w:rPr>
        <w:noProof/>
        <w:sz w:val="20"/>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5A31" w:rsidRDefault="00865A31">
                          <w:pPr>
                            <w:rPr>
                              <w:b/>
                              <w:bCs/>
                              <w:sz w:val="20"/>
                              <w:szCs w:val="20"/>
                            </w:rPr>
                          </w:pPr>
                          <w:r>
                            <w:rPr>
                              <w:b/>
                              <w:bCs/>
                              <w:sz w:val="20"/>
                              <w:szCs w:val="20"/>
                            </w:rPr>
                            <w:t>A</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20"/>
                              <w:szCs w:val="20"/>
                            </w:rPr>
                          </w:pPr>
                          <w:r>
                            <w:rPr>
                              <w:b/>
                              <w:bCs/>
                              <w:sz w:val="20"/>
                              <w:szCs w:val="20"/>
                            </w:rPr>
                            <w:t>B</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C</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pStyle w:val="Heading2"/>
                            <w:rPr>
                              <w:sz w:val="16"/>
                              <w:szCs w:val="16"/>
                            </w:rPr>
                          </w:pPr>
                          <w:r>
                            <w:t>D</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E</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20"/>
                              <w:szCs w:val="20"/>
                            </w:rPr>
                          </w:pPr>
                          <w:r>
                            <w:rPr>
                              <w:b/>
                              <w:bCs/>
                              <w:sz w:val="20"/>
                              <w:szCs w:val="20"/>
                            </w:rPr>
                            <w:t>F</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G</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H</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I</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J</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K</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L</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M</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N</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O</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P</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Q</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R</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S</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T</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rPr>
                              <w:b/>
                              <w:bCs/>
                              <w:sz w:val="16"/>
                              <w:szCs w:val="16"/>
                            </w:rPr>
                          </w:pPr>
                          <w:r>
                            <w:rPr>
                              <w:b/>
                              <w:bCs/>
                              <w:sz w:val="20"/>
                              <w:szCs w:val="20"/>
                            </w:rPr>
                            <w:t>U</w:t>
                          </w:r>
                        </w:p>
                        <w:p w:rsidR="00865A31" w:rsidRDefault="00865A31">
                          <w:pPr>
                            <w:rPr>
                              <w:b/>
                              <w:bCs/>
                              <w:sz w:val="10"/>
                              <w:szCs w:val="10"/>
                            </w:rPr>
                          </w:pPr>
                        </w:p>
                        <w:p w:rsidR="00865A31" w:rsidRDefault="00865A31">
                          <w:pPr>
                            <w:rPr>
                              <w:b/>
                              <w:bCs/>
                              <w:sz w:val="16"/>
                              <w:szCs w:val="16"/>
                            </w:rPr>
                          </w:pPr>
                        </w:p>
                        <w:p w:rsidR="00865A31" w:rsidRDefault="00865A31">
                          <w:pPr>
                            <w:rPr>
                              <w:b/>
                              <w:bCs/>
                              <w:sz w:val="16"/>
                              <w:szCs w:val="16"/>
                            </w:rPr>
                          </w:pPr>
                        </w:p>
                        <w:p w:rsidR="00865A31" w:rsidRDefault="00865A31">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BF7B47" w:rsidRDefault="00BF7B47">
                    <w:pPr>
                      <w:rPr>
                        <w:b/>
                        <w:bCs/>
                        <w:sz w:val="20"/>
                        <w:szCs w:val="20"/>
                      </w:rPr>
                    </w:pPr>
                    <w:r>
                      <w:rPr>
                        <w:b/>
                        <w:bCs/>
                        <w:sz w:val="20"/>
                        <w:szCs w:val="20"/>
                      </w:rPr>
                      <w:t>A</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B</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C</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2"/>
                      <w:rPr>
                        <w:sz w:val="16"/>
                        <w:szCs w:val="16"/>
                      </w:rPr>
                    </w:pPr>
                    <w:r>
                      <w:t>D</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E</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F</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G</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H</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I</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J</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K</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L</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M</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N</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O</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P</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Q</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R</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S</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T</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U</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5A31" w:rsidRDefault="00865A31">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Voftf4UCAAAVBQAADgAAAAAAAAAAAAAAAAAuAgAAZHJzL2Uyb0RvYy54bWxQSwECLQAUAAYACAAA&#10;ACEAlPrghd8AAAAKAQAADwAAAAAAAAAAAAAAAADfBAAAZHJzL2Rvd25yZXYueG1sUEsFBgAAAAAE&#10;AAQA8wAAAOsFAAAAAA==&#10;" o:allowincell="f" stroked="f">
              <v:textbox>
                <w:txbxContent>
                  <w:p w:rsidR="00BF7B47" w:rsidRDefault="00BF7B47">
                    <w:pPr>
                      <w:rPr>
                        <w:rFonts w:eastAsia="黑体"/>
                        <w:b/>
                        <w:bCs/>
                        <w:sz w:val="18"/>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48EC"/>
    <w:multiLevelType w:val="hybridMultilevel"/>
    <w:tmpl w:val="78C8167A"/>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E4CA6"/>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B59B4"/>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19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5D0D50"/>
    <w:multiLevelType w:val="hybridMultilevel"/>
    <w:tmpl w:val="C7C8E1A6"/>
    <w:lvl w:ilvl="0" w:tplc="FE1C4230">
      <w:start w:val="1"/>
      <w:numFmt w:val="lowerRoman"/>
      <w:lvlText w:val="(%1)"/>
      <w:lvlJc w:val="left"/>
      <w:pPr>
        <w:ind w:left="2160" w:hanging="360"/>
      </w:pPr>
      <w:rPr>
        <w:rFonts w:ascii="Times New Roman" w:eastAsia="PMingLiU" w:hAnsi="Times New Roman" w:cs="P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FB01834"/>
    <w:multiLevelType w:val="hybridMultilevel"/>
    <w:tmpl w:val="BCDCEA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182758"/>
    <w:multiLevelType w:val="hybridMultilevel"/>
    <w:tmpl w:val="2CF65D2E"/>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3C1768"/>
    <w:multiLevelType w:val="hybridMultilevel"/>
    <w:tmpl w:val="813C83BE"/>
    <w:lvl w:ilvl="0" w:tplc="0409000F">
      <w:start w:val="1"/>
      <w:numFmt w:val="decimal"/>
      <w:lvlText w:val="%1."/>
      <w:lvlJc w:val="left"/>
      <w:pPr>
        <w:tabs>
          <w:tab w:val="num" w:pos="360"/>
        </w:tabs>
        <w:ind w:left="360" w:hanging="360"/>
      </w:pPr>
    </w:lvl>
    <w:lvl w:ilvl="1" w:tplc="B82AD838">
      <w:start w:val="1"/>
      <w:numFmt w:val="decimal"/>
      <w:lvlText w:val="(%2)"/>
      <w:lvlJc w:val="left"/>
      <w:pPr>
        <w:tabs>
          <w:tab w:val="num" w:pos="1275"/>
        </w:tabs>
        <w:ind w:left="1275" w:hanging="795"/>
      </w:pPr>
      <w:rPr>
        <w:rFonts w:hint="default"/>
      </w:rPr>
    </w:lvl>
    <w:lvl w:ilvl="2" w:tplc="7034E422">
      <w:start w:val="2"/>
      <w:numFmt w:val="decimal"/>
      <w:lvlText w:val="%3."/>
      <w:lvlJc w:val="left"/>
      <w:pPr>
        <w:tabs>
          <w:tab w:val="num" w:pos="1320"/>
        </w:tabs>
        <w:ind w:left="960" w:firstLine="0"/>
      </w:pPr>
      <w:rPr>
        <w:rFonts w:ascii="Times New Roman" w:hAnsi="Times New Roman" w:hint="default"/>
        <w:sz w:val="28"/>
      </w:rPr>
    </w:lvl>
    <w:lvl w:ilvl="3" w:tplc="BE00890A">
      <w:start w:val="6"/>
      <w:numFmt w:val="decimal"/>
      <w:lvlText w:val="%4."/>
      <w:lvlJc w:val="left"/>
      <w:pPr>
        <w:tabs>
          <w:tab w:val="num" w:pos="1800"/>
        </w:tabs>
        <w:ind w:left="1440" w:firstLine="0"/>
      </w:pPr>
      <w:rPr>
        <w:rFonts w:ascii="Times New Roman" w:hAnsi="Times New Roman" w:hint="default"/>
        <w:sz w:val="28"/>
      </w:rPr>
    </w:lvl>
    <w:lvl w:ilvl="4" w:tplc="C7E2A2E2">
      <w:start w:val="5"/>
      <w:numFmt w:val="lowerRoman"/>
      <w:lvlText w:val="%5."/>
      <w:lvlJc w:val="left"/>
      <w:pPr>
        <w:tabs>
          <w:tab w:val="num" w:pos="2640"/>
        </w:tabs>
        <w:ind w:left="2640" w:hanging="720"/>
      </w:pPr>
      <w:rPr>
        <w:rFonts w:hint="default"/>
      </w:rPr>
    </w:lvl>
    <w:lvl w:ilvl="5" w:tplc="73DAFAFE">
      <w:start w:val="3"/>
      <w:numFmt w:val="lowerRoman"/>
      <w:lvlText w:val="(%6)"/>
      <w:lvlJc w:val="left"/>
      <w:pPr>
        <w:tabs>
          <w:tab w:val="num" w:pos="3120"/>
        </w:tabs>
        <w:ind w:left="3120" w:hanging="720"/>
      </w:pPr>
      <w:rPr>
        <w:rFonts w:hint="eastAsia"/>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1E502290"/>
    <w:multiLevelType w:val="hybridMultilevel"/>
    <w:tmpl w:val="27DA291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F4A91"/>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803620"/>
    <w:multiLevelType w:val="hybridMultilevel"/>
    <w:tmpl w:val="DEC830F2"/>
    <w:lvl w:ilvl="0" w:tplc="2DA45A0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0207DD"/>
    <w:multiLevelType w:val="hybridMultilevel"/>
    <w:tmpl w:val="9070C5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18114A8"/>
    <w:multiLevelType w:val="hybridMultilevel"/>
    <w:tmpl w:val="5CC8CDFE"/>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3" w15:restartNumberingAfterBreak="0">
    <w:nsid w:val="2AE4353E"/>
    <w:multiLevelType w:val="hybridMultilevel"/>
    <w:tmpl w:val="9070C5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C865119"/>
    <w:multiLevelType w:val="hybridMultilevel"/>
    <w:tmpl w:val="4774A6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2901FE"/>
    <w:multiLevelType w:val="hybridMultilevel"/>
    <w:tmpl w:val="1046B348"/>
    <w:lvl w:ilvl="0" w:tplc="71AE9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2C75BE"/>
    <w:multiLevelType w:val="hybridMultilevel"/>
    <w:tmpl w:val="85209774"/>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935D26"/>
    <w:multiLevelType w:val="hybridMultilevel"/>
    <w:tmpl w:val="70084BF8"/>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C12D81"/>
    <w:multiLevelType w:val="hybridMultilevel"/>
    <w:tmpl w:val="C77A2A8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FA5C35"/>
    <w:multiLevelType w:val="hybridMultilevel"/>
    <w:tmpl w:val="D9A63602"/>
    <w:lvl w:ilvl="0" w:tplc="EFDA3014">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1C5FD2"/>
    <w:multiLevelType w:val="hybridMultilevel"/>
    <w:tmpl w:val="76F86C28"/>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010688"/>
    <w:multiLevelType w:val="hybridMultilevel"/>
    <w:tmpl w:val="6DCE137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3A53D8"/>
    <w:multiLevelType w:val="hybridMultilevel"/>
    <w:tmpl w:val="4606B20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3A053E"/>
    <w:multiLevelType w:val="hybridMultilevel"/>
    <w:tmpl w:val="B6488B62"/>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81822"/>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8A11E3"/>
    <w:multiLevelType w:val="hybridMultilevel"/>
    <w:tmpl w:val="7FF694CC"/>
    <w:lvl w:ilvl="0" w:tplc="81A8A17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B326320"/>
    <w:multiLevelType w:val="hybridMultilevel"/>
    <w:tmpl w:val="07581A12"/>
    <w:lvl w:ilvl="0" w:tplc="0409000F">
      <w:start w:val="1"/>
      <w:numFmt w:val="decimal"/>
      <w:lvlText w:val="%1."/>
      <w:lvlJc w:val="left"/>
      <w:pPr>
        <w:ind w:left="720" w:hanging="360"/>
      </w:pPr>
      <w:rPr>
        <w:rFonts w:hint="default"/>
      </w:rPr>
    </w:lvl>
    <w:lvl w:ilvl="1" w:tplc="E924BEE6">
      <w:start w:val="1"/>
      <w:numFmt w:val="lowerLetter"/>
      <w:lvlText w:val="(%2)"/>
      <w:lvlJc w:val="left"/>
      <w:pPr>
        <w:ind w:left="1440" w:hanging="360"/>
      </w:pPr>
      <w:rPr>
        <w:rFonts w:hint="eastAsia"/>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A761D0"/>
    <w:multiLevelType w:val="hybridMultilevel"/>
    <w:tmpl w:val="55F042CC"/>
    <w:lvl w:ilvl="0" w:tplc="F2CC1322">
      <w:start w:val="1"/>
      <w:numFmt w:val="low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8" w15:restartNumberingAfterBreak="0">
    <w:nsid w:val="63F8640C"/>
    <w:multiLevelType w:val="multilevel"/>
    <w:tmpl w:val="74160642"/>
    <w:lvl w:ilvl="0">
      <w:start w:val="1"/>
      <w:numFmt w:val="decimal"/>
      <w:lvlText w:val="%1."/>
      <w:lvlJc w:val="left"/>
      <w:pPr>
        <w:ind w:left="720" w:hanging="360"/>
      </w:pPr>
      <w:rPr>
        <w:rFonts w:ascii="Times New Roman" w:hAnsi="Times New Roman" w:hint="default"/>
        <w:b w:val="0"/>
        <w:i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6644BDB"/>
    <w:multiLevelType w:val="hybridMultilevel"/>
    <w:tmpl w:val="A32439D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4D5708"/>
    <w:multiLevelType w:val="hybridMultilevel"/>
    <w:tmpl w:val="37B2F7E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0F0239"/>
    <w:multiLevelType w:val="hybridMultilevel"/>
    <w:tmpl w:val="E83C0BEC"/>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9"/>
  </w:num>
  <w:num w:numId="3">
    <w:abstractNumId w:val="15"/>
  </w:num>
  <w:num w:numId="4">
    <w:abstractNumId w:val="27"/>
  </w:num>
  <w:num w:numId="5">
    <w:abstractNumId w:val="3"/>
  </w:num>
  <w:num w:numId="6">
    <w:abstractNumId w:val="12"/>
  </w:num>
  <w:num w:numId="7">
    <w:abstractNumId w:val="26"/>
  </w:num>
  <w:num w:numId="8">
    <w:abstractNumId w:val="9"/>
  </w:num>
  <w:num w:numId="9">
    <w:abstractNumId w:val="22"/>
  </w:num>
  <w:num w:numId="10">
    <w:abstractNumId w:val="8"/>
  </w:num>
  <w:num w:numId="11">
    <w:abstractNumId w:val="4"/>
  </w:num>
  <w:num w:numId="12">
    <w:abstractNumId w:val="10"/>
  </w:num>
  <w:num w:numId="13">
    <w:abstractNumId w:val="13"/>
  </w:num>
  <w:num w:numId="14">
    <w:abstractNumId w:val="2"/>
  </w:num>
  <w:num w:numId="15">
    <w:abstractNumId w:val="24"/>
  </w:num>
  <w:num w:numId="16">
    <w:abstractNumId w:val="1"/>
  </w:num>
  <w:num w:numId="17">
    <w:abstractNumId w:val="19"/>
  </w:num>
  <w:num w:numId="18">
    <w:abstractNumId w:val="28"/>
  </w:num>
  <w:num w:numId="19">
    <w:abstractNumId w:val="5"/>
  </w:num>
  <w:num w:numId="20">
    <w:abstractNumId w:val="21"/>
  </w:num>
  <w:num w:numId="21">
    <w:abstractNumId w:val="30"/>
  </w:num>
  <w:num w:numId="22">
    <w:abstractNumId w:val="11"/>
  </w:num>
  <w:num w:numId="23">
    <w:abstractNumId w:val="7"/>
  </w:num>
  <w:num w:numId="24">
    <w:abstractNumId w:val="17"/>
  </w:num>
  <w:num w:numId="25">
    <w:abstractNumId w:val="0"/>
  </w:num>
  <w:num w:numId="26">
    <w:abstractNumId w:val="23"/>
  </w:num>
  <w:num w:numId="27">
    <w:abstractNumId w:val="31"/>
  </w:num>
  <w:num w:numId="28">
    <w:abstractNumId w:val="18"/>
  </w:num>
  <w:num w:numId="29">
    <w:abstractNumId w:val="16"/>
  </w:num>
  <w:num w:numId="30">
    <w:abstractNumId w:val="20"/>
  </w:num>
  <w:num w:numId="31">
    <w:abstractNumId w:val="14"/>
  </w:num>
  <w:num w:numId="32">
    <w:abstractNumId w:val="2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bordersDoNotSurroundHeader/>
  <w:bordersDoNotSurroundFooter/>
  <w:proofState w:spelling="clean" w:grammar="clean"/>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81"/>
    <w:rsid w:val="00002BFC"/>
    <w:rsid w:val="000065AF"/>
    <w:rsid w:val="0002518C"/>
    <w:rsid w:val="0004260A"/>
    <w:rsid w:val="000474C1"/>
    <w:rsid w:val="00071C4B"/>
    <w:rsid w:val="00082EDA"/>
    <w:rsid w:val="000876BB"/>
    <w:rsid w:val="00094E71"/>
    <w:rsid w:val="00096687"/>
    <w:rsid w:val="001323C4"/>
    <w:rsid w:val="00142289"/>
    <w:rsid w:val="00150C06"/>
    <w:rsid w:val="0016246B"/>
    <w:rsid w:val="00182F95"/>
    <w:rsid w:val="00192985"/>
    <w:rsid w:val="001A0294"/>
    <w:rsid w:val="001C301D"/>
    <w:rsid w:val="001D0B73"/>
    <w:rsid w:val="001E62A4"/>
    <w:rsid w:val="001F6F2C"/>
    <w:rsid w:val="00232FE1"/>
    <w:rsid w:val="00236427"/>
    <w:rsid w:val="00236732"/>
    <w:rsid w:val="00261EAE"/>
    <w:rsid w:val="00265355"/>
    <w:rsid w:val="00266201"/>
    <w:rsid w:val="00297721"/>
    <w:rsid w:val="002B25E1"/>
    <w:rsid w:val="002C0B1D"/>
    <w:rsid w:val="002C154D"/>
    <w:rsid w:val="002C2792"/>
    <w:rsid w:val="002D03D9"/>
    <w:rsid w:val="002D0D6D"/>
    <w:rsid w:val="00303523"/>
    <w:rsid w:val="00311921"/>
    <w:rsid w:val="00336B9F"/>
    <w:rsid w:val="00351DD3"/>
    <w:rsid w:val="00363B85"/>
    <w:rsid w:val="00366B21"/>
    <w:rsid w:val="00386DFB"/>
    <w:rsid w:val="003A3D64"/>
    <w:rsid w:val="003D6E36"/>
    <w:rsid w:val="003E659F"/>
    <w:rsid w:val="003F641B"/>
    <w:rsid w:val="00414DE6"/>
    <w:rsid w:val="0042107D"/>
    <w:rsid w:val="00425A69"/>
    <w:rsid w:val="004453DC"/>
    <w:rsid w:val="00454A93"/>
    <w:rsid w:val="00480500"/>
    <w:rsid w:val="00483EA4"/>
    <w:rsid w:val="004850F6"/>
    <w:rsid w:val="004A01F8"/>
    <w:rsid w:val="004A4024"/>
    <w:rsid w:val="004B5361"/>
    <w:rsid w:val="004B5BC0"/>
    <w:rsid w:val="004C1A4C"/>
    <w:rsid w:val="004C5547"/>
    <w:rsid w:val="004D3625"/>
    <w:rsid w:val="004F5B91"/>
    <w:rsid w:val="004F7678"/>
    <w:rsid w:val="0051406A"/>
    <w:rsid w:val="005234E9"/>
    <w:rsid w:val="00525BC2"/>
    <w:rsid w:val="0056426F"/>
    <w:rsid w:val="005973FA"/>
    <w:rsid w:val="005A5EB7"/>
    <w:rsid w:val="005B2D79"/>
    <w:rsid w:val="005D3773"/>
    <w:rsid w:val="005E4F81"/>
    <w:rsid w:val="005F0579"/>
    <w:rsid w:val="00636569"/>
    <w:rsid w:val="006458E3"/>
    <w:rsid w:val="006476DA"/>
    <w:rsid w:val="0065132C"/>
    <w:rsid w:val="0065647C"/>
    <w:rsid w:val="00687961"/>
    <w:rsid w:val="006A6B46"/>
    <w:rsid w:val="006C426E"/>
    <w:rsid w:val="006C6DEC"/>
    <w:rsid w:val="007001B5"/>
    <w:rsid w:val="00710669"/>
    <w:rsid w:val="007133DF"/>
    <w:rsid w:val="0072411A"/>
    <w:rsid w:val="00745850"/>
    <w:rsid w:val="0075347E"/>
    <w:rsid w:val="007537CC"/>
    <w:rsid w:val="00753CAF"/>
    <w:rsid w:val="00757DFF"/>
    <w:rsid w:val="00785B6E"/>
    <w:rsid w:val="007A2C17"/>
    <w:rsid w:val="007A76D4"/>
    <w:rsid w:val="007B3C03"/>
    <w:rsid w:val="007C07D9"/>
    <w:rsid w:val="007C691A"/>
    <w:rsid w:val="007F0F94"/>
    <w:rsid w:val="007F4740"/>
    <w:rsid w:val="008036AF"/>
    <w:rsid w:val="008149D4"/>
    <w:rsid w:val="00824EC6"/>
    <w:rsid w:val="00827892"/>
    <w:rsid w:val="00827FFC"/>
    <w:rsid w:val="0085388D"/>
    <w:rsid w:val="00853FBB"/>
    <w:rsid w:val="00865A31"/>
    <w:rsid w:val="00892BAC"/>
    <w:rsid w:val="008E6121"/>
    <w:rsid w:val="00965F8E"/>
    <w:rsid w:val="00966200"/>
    <w:rsid w:val="00985BFF"/>
    <w:rsid w:val="00992161"/>
    <w:rsid w:val="00992FB5"/>
    <w:rsid w:val="009A0AE2"/>
    <w:rsid w:val="009A1B52"/>
    <w:rsid w:val="009B71FF"/>
    <w:rsid w:val="009E1F5A"/>
    <w:rsid w:val="009F5C5F"/>
    <w:rsid w:val="00A17C0A"/>
    <w:rsid w:val="00A20216"/>
    <w:rsid w:val="00A22B79"/>
    <w:rsid w:val="00A25C00"/>
    <w:rsid w:val="00A34746"/>
    <w:rsid w:val="00A6542F"/>
    <w:rsid w:val="00A7583F"/>
    <w:rsid w:val="00A82100"/>
    <w:rsid w:val="00A8299F"/>
    <w:rsid w:val="00A909D6"/>
    <w:rsid w:val="00AA2260"/>
    <w:rsid w:val="00AA733C"/>
    <w:rsid w:val="00AC19E9"/>
    <w:rsid w:val="00B13D4E"/>
    <w:rsid w:val="00B41A5F"/>
    <w:rsid w:val="00B46AC9"/>
    <w:rsid w:val="00B54354"/>
    <w:rsid w:val="00B55F95"/>
    <w:rsid w:val="00B62092"/>
    <w:rsid w:val="00B6732B"/>
    <w:rsid w:val="00B71EBF"/>
    <w:rsid w:val="00B74D98"/>
    <w:rsid w:val="00B8421F"/>
    <w:rsid w:val="00BB30F6"/>
    <w:rsid w:val="00BB36A2"/>
    <w:rsid w:val="00BB781A"/>
    <w:rsid w:val="00BD61C5"/>
    <w:rsid w:val="00BE4D4E"/>
    <w:rsid w:val="00BF7B47"/>
    <w:rsid w:val="00C14151"/>
    <w:rsid w:val="00C1584C"/>
    <w:rsid w:val="00C40EAD"/>
    <w:rsid w:val="00C5759E"/>
    <w:rsid w:val="00C6132E"/>
    <w:rsid w:val="00C61E46"/>
    <w:rsid w:val="00C77CD9"/>
    <w:rsid w:val="00C83C06"/>
    <w:rsid w:val="00C84A91"/>
    <w:rsid w:val="00CA1C8B"/>
    <w:rsid w:val="00CB1636"/>
    <w:rsid w:val="00CB25E1"/>
    <w:rsid w:val="00CC09AE"/>
    <w:rsid w:val="00CC5781"/>
    <w:rsid w:val="00CD22C7"/>
    <w:rsid w:val="00CD3AB9"/>
    <w:rsid w:val="00CE2E4C"/>
    <w:rsid w:val="00D036B5"/>
    <w:rsid w:val="00D06FDA"/>
    <w:rsid w:val="00D30860"/>
    <w:rsid w:val="00D439C2"/>
    <w:rsid w:val="00D545BA"/>
    <w:rsid w:val="00D6430E"/>
    <w:rsid w:val="00D715A5"/>
    <w:rsid w:val="00D95893"/>
    <w:rsid w:val="00DA1549"/>
    <w:rsid w:val="00DA4E44"/>
    <w:rsid w:val="00DC2B88"/>
    <w:rsid w:val="00DC6A7E"/>
    <w:rsid w:val="00DD2B12"/>
    <w:rsid w:val="00DE386F"/>
    <w:rsid w:val="00E02FA4"/>
    <w:rsid w:val="00E35009"/>
    <w:rsid w:val="00E726BE"/>
    <w:rsid w:val="00E9278A"/>
    <w:rsid w:val="00EB4E6E"/>
    <w:rsid w:val="00ED5279"/>
    <w:rsid w:val="00ED5952"/>
    <w:rsid w:val="00EE1EDB"/>
    <w:rsid w:val="00EE1F05"/>
    <w:rsid w:val="00EE29EE"/>
    <w:rsid w:val="00F002C9"/>
    <w:rsid w:val="00F26B60"/>
    <w:rsid w:val="00F87079"/>
    <w:rsid w:val="00F93585"/>
    <w:rsid w:val="00F95346"/>
    <w:rsid w:val="00FA3D03"/>
    <w:rsid w:val="00FA585C"/>
    <w:rsid w:val="00FD581A"/>
    <w:rsid w:val="00FF3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00381D"/>
  <w15:chartTrackingRefBased/>
  <w15:docId w15:val="{797BD0D7-081C-4102-A5D9-698C65F60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26F"/>
    <w:pPr>
      <w:tabs>
        <w:tab w:val="left" w:pos="1440"/>
        <w:tab w:val="center" w:pos="4320"/>
        <w:tab w:val="right" w:pos="9072"/>
      </w:tabs>
      <w:snapToGrid w:val="0"/>
    </w:pPr>
    <w:rPr>
      <w:sz w:val="28"/>
      <w:szCs w:val="28"/>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semiHidden/>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semiHidden/>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rsid w:val="00B41A5F"/>
    <w:rPr>
      <w:sz w:val="18"/>
      <w:szCs w:val="18"/>
    </w:rPr>
  </w:style>
  <w:style w:type="paragraph" w:customStyle="1" w:styleId="para">
    <w:name w:val="para"/>
    <w:rsid w:val="00B41A5F"/>
    <w:pPr>
      <w:numPr>
        <w:numId w:val="6"/>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 w:type="table" w:styleId="TableGrid">
    <w:name w:val="Table Grid"/>
    <w:basedOn w:val="TableNormal"/>
    <w:uiPriority w:val="59"/>
    <w:rsid w:val="005B2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DC9CC-4F7E-4FA8-A299-4828C5118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2768</Words>
  <Characters>15783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4</cp:revision>
  <cp:lastPrinted>2017-06-06T03:50:00Z</cp:lastPrinted>
  <dcterms:created xsi:type="dcterms:W3CDTF">2017-06-06T06:54:00Z</dcterms:created>
  <dcterms:modified xsi:type="dcterms:W3CDTF">2017-06-06T07:27:00Z</dcterms:modified>
</cp:coreProperties>
</file>