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AAF" w:rsidRDefault="00183AAF" w:rsidP="00C374EB">
      <w:pPr>
        <w:pStyle w:val="Heading1"/>
        <w:keepNext w:val="0"/>
        <w:tabs>
          <w:tab w:val="left" w:pos="1440"/>
        </w:tabs>
        <w:snapToGrid w:val="0"/>
        <w:spacing w:before="0" w:after="0" w:line="360" w:lineRule="auto"/>
        <w:jc w:val="right"/>
        <w:rPr>
          <w:rFonts w:ascii="Times New Roman" w:eastAsia="PMingLiU" w:hAnsi="Times New Roman"/>
          <w:b w:val="0"/>
          <w:kern w:val="0"/>
          <w:szCs w:val="28"/>
          <w:lang w:eastAsia="zh-TW"/>
        </w:rPr>
      </w:pPr>
      <w:r w:rsidRPr="00A64F2D">
        <w:rPr>
          <w:rFonts w:ascii="Times New Roman" w:eastAsia="PMingLiU" w:hAnsi="Times New Roman"/>
          <w:b w:val="0"/>
          <w:kern w:val="0"/>
          <w:szCs w:val="28"/>
          <w:lang w:eastAsia="zh-TW"/>
        </w:rPr>
        <w:t xml:space="preserve">DCPI </w:t>
      </w:r>
      <w:r w:rsidR="000415B9">
        <w:rPr>
          <w:rFonts w:ascii="Times New Roman" w:eastAsia="PMingLiU" w:hAnsi="Times New Roman" w:hint="eastAsia"/>
          <w:b w:val="0"/>
          <w:kern w:val="0"/>
          <w:szCs w:val="28"/>
          <w:lang w:eastAsia="zh-TW"/>
        </w:rPr>
        <w:t>2005</w:t>
      </w:r>
      <w:r w:rsidR="00EA6709" w:rsidRPr="00A64F2D">
        <w:rPr>
          <w:rFonts w:ascii="Times New Roman" w:eastAsia="PMingLiU" w:hAnsi="Times New Roman"/>
          <w:b w:val="0"/>
          <w:kern w:val="0"/>
          <w:szCs w:val="28"/>
          <w:lang w:eastAsia="zh-TW"/>
        </w:rPr>
        <w:t>/20</w:t>
      </w:r>
      <w:r w:rsidR="000415B9">
        <w:rPr>
          <w:rFonts w:ascii="Times New Roman" w:eastAsia="PMingLiU" w:hAnsi="Times New Roman" w:hint="eastAsia"/>
          <w:b w:val="0"/>
          <w:kern w:val="0"/>
          <w:szCs w:val="28"/>
          <w:lang w:eastAsia="zh-TW"/>
        </w:rPr>
        <w:t>20</w:t>
      </w:r>
    </w:p>
    <w:p w:rsidR="0038513F" w:rsidRPr="005D7638" w:rsidRDefault="00480909" w:rsidP="00C374EB">
      <w:pPr>
        <w:spacing w:line="360" w:lineRule="auto"/>
        <w:jc w:val="right"/>
        <w:rPr>
          <w:lang w:val="en-GB" w:eastAsia="zh-TW"/>
        </w:rPr>
      </w:pPr>
      <w:sdt>
        <w:sdtPr>
          <w:rPr>
            <w:rStyle w:val="PlaceholderText"/>
            <w:rFonts w:eastAsia="PMingLiU"/>
            <w:color w:val="auto"/>
            <w:lang w:eastAsia="zh-TW"/>
          </w:rPr>
          <w:alias w:val="neutral citation number"/>
          <w:tag w:val="neutral citation number"/>
          <w:id w:val="210003420"/>
          <w:placeholder>
            <w:docPart w:val="6C74C9B796ED49CB977567D01536FF94"/>
          </w:placeholder>
          <w:text/>
        </w:sdtPr>
        <w:sdtEndPr>
          <w:rPr>
            <w:rStyle w:val="PlaceholderText"/>
          </w:rPr>
        </w:sdtEndPr>
        <w:sdtContent>
          <w:r w:rsidR="006B635B" w:rsidRPr="006B635B">
            <w:rPr>
              <w:rStyle w:val="PlaceholderText"/>
              <w:rFonts w:eastAsia="PMingLiU"/>
              <w:color w:val="auto"/>
              <w:lang w:eastAsia="zh-TW"/>
            </w:rPr>
            <w:t>[2022] HKDC 1285</w:t>
          </w:r>
        </w:sdtContent>
      </w:sdt>
    </w:p>
    <w:p w:rsidR="00EF528F" w:rsidRPr="00A64F2D" w:rsidRDefault="00EF528F" w:rsidP="00C374EB">
      <w:pPr>
        <w:spacing w:line="360" w:lineRule="auto"/>
        <w:rPr>
          <w:rFonts w:eastAsia="PMingLiU"/>
          <w:szCs w:val="28"/>
          <w:lang w:val="en-GB" w:eastAsia="zh-TW"/>
        </w:rPr>
      </w:pPr>
    </w:p>
    <w:p w:rsidR="00183AAF" w:rsidRPr="00A64F2D" w:rsidRDefault="00183AAF" w:rsidP="00C374EB">
      <w:pPr>
        <w:pStyle w:val="normal3"/>
        <w:tabs>
          <w:tab w:val="clear" w:pos="4320"/>
          <w:tab w:val="clear" w:pos="4500"/>
          <w:tab w:val="clear" w:pos="9000"/>
          <w:tab w:val="clear" w:pos="9072"/>
        </w:tabs>
        <w:overflowPunct/>
        <w:autoSpaceDE/>
        <w:autoSpaceDN/>
        <w:rPr>
          <w:rFonts w:eastAsia="PMingLiU"/>
          <w:szCs w:val="28"/>
          <w:lang w:val="en-US" w:eastAsia="zh-TW"/>
        </w:rPr>
        <w:sectPr w:rsidR="00183AAF" w:rsidRPr="00A64F2D">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6E39C1" w:rsidRPr="006E39C1" w:rsidRDefault="006E39C1" w:rsidP="00C374EB">
      <w:pPr>
        <w:tabs>
          <w:tab w:val="clear" w:pos="1440"/>
          <w:tab w:val="clear" w:pos="4320"/>
          <w:tab w:val="clear" w:pos="9072"/>
        </w:tabs>
        <w:spacing w:line="360" w:lineRule="auto"/>
        <w:jc w:val="center"/>
        <w:outlineLvl w:val="2"/>
        <w:rPr>
          <w:b/>
          <w:bCs/>
          <w:szCs w:val="28"/>
          <w:lang w:val="en-GB"/>
        </w:rPr>
      </w:pPr>
      <w:r w:rsidRPr="006E39C1">
        <w:rPr>
          <w:b/>
          <w:bCs/>
          <w:szCs w:val="28"/>
          <w:lang w:val="en-GB"/>
        </w:rPr>
        <w:lastRenderedPageBreak/>
        <w:t>IN THE DISTRICT COURT OF THE</w:t>
      </w:r>
    </w:p>
    <w:p w:rsidR="006E39C1" w:rsidRPr="006E39C1" w:rsidRDefault="006E39C1" w:rsidP="00C374EB">
      <w:pPr>
        <w:tabs>
          <w:tab w:val="clear" w:pos="1440"/>
          <w:tab w:val="clear" w:pos="4320"/>
          <w:tab w:val="clear" w:pos="9072"/>
        </w:tabs>
        <w:spacing w:line="360" w:lineRule="auto"/>
        <w:jc w:val="center"/>
        <w:outlineLvl w:val="2"/>
        <w:rPr>
          <w:b/>
          <w:bCs/>
          <w:szCs w:val="28"/>
          <w:lang w:val="en-GB" w:eastAsia="en-US"/>
        </w:rPr>
      </w:pPr>
      <w:r w:rsidRPr="006E39C1">
        <w:rPr>
          <w:b/>
          <w:bCs/>
          <w:szCs w:val="28"/>
          <w:lang w:val="en-GB" w:eastAsia="en-US"/>
        </w:rPr>
        <w:t>HONG KONG SPECIAL ADMINISTRATIVE REGION</w:t>
      </w:r>
    </w:p>
    <w:p w:rsidR="00183AAF" w:rsidRPr="005D7638" w:rsidRDefault="006E39C1" w:rsidP="00C374EB">
      <w:pPr>
        <w:pStyle w:val="Heading1"/>
        <w:keepNext w:val="0"/>
        <w:tabs>
          <w:tab w:val="left" w:pos="1440"/>
        </w:tabs>
        <w:snapToGrid w:val="0"/>
        <w:spacing w:before="0" w:after="0" w:line="360" w:lineRule="auto"/>
        <w:jc w:val="center"/>
        <w:rPr>
          <w:rFonts w:ascii="Times New Roman" w:eastAsia="PMingLiU" w:hAnsi="Times New Roman"/>
          <w:b w:val="0"/>
          <w:kern w:val="0"/>
          <w:szCs w:val="28"/>
          <w:lang w:eastAsia="zh-TW"/>
        </w:rPr>
      </w:pPr>
      <w:r w:rsidRPr="006E39C1">
        <w:rPr>
          <w:rFonts w:ascii="Times New Roman" w:hAnsi="Times New Roman"/>
          <w:b w:val="0"/>
          <w:kern w:val="0"/>
          <w:szCs w:val="28"/>
          <w:lang w:val="en-US"/>
        </w:rPr>
        <w:t xml:space="preserve">PERSONAL INJURIES </w:t>
      </w:r>
      <w:r w:rsidRPr="005D7638">
        <w:rPr>
          <w:rFonts w:ascii="Times New Roman" w:hAnsi="Times New Roman"/>
          <w:b w:val="0"/>
          <w:kern w:val="0"/>
          <w:szCs w:val="28"/>
          <w:lang w:val="en-US"/>
        </w:rPr>
        <w:t xml:space="preserve">ACTION NO </w:t>
      </w:r>
      <w:r w:rsidR="009A7C72">
        <w:rPr>
          <w:rFonts w:ascii="Times New Roman" w:hAnsi="Times New Roman"/>
          <w:b w:val="0"/>
          <w:kern w:val="0"/>
          <w:szCs w:val="28"/>
          <w:lang w:val="en-US"/>
        </w:rPr>
        <w:t>2005</w:t>
      </w:r>
      <w:r w:rsidRPr="005D7638">
        <w:rPr>
          <w:rFonts w:ascii="Times New Roman" w:hAnsi="Times New Roman"/>
          <w:b w:val="0"/>
          <w:kern w:val="0"/>
          <w:szCs w:val="28"/>
          <w:lang w:val="en-US"/>
        </w:rPr>
        <w:t xml:space="preserve"> OF 20</w:t>
      </w:r>
      <w:r w:rsidR="009A7C72">
        <w:rPr>
          <w:rFonts w:ascii="Times New Roman" w:hAnsi="Times New Roman"/>
          <w:b w:val="0"/>
          <w:kern w:val="0"/>
          <w:szCs w:val="28"/>
          <w:lang w:val="en-US"/>
        </w:rPr>
        <w:t>20</w:t>
      </w:r>
    </w:p>
    <w:p w:rsidR="00FB72FF" w:rsidRPr="006E39C1" w:rsidRDefault="00FB72FF" w:rsidP="00C374EB">
      <w:pPr>
        <w:spacing w:line="360" w:lineRule="auto"/>
        <w:rPr>
          <w:szCs w:val="28"/>
          <w:lang w:val="en-GB" w:eastAsia="zh-TW"/>
        </w:rPr>
      </w:pPr>
    </w:p>
    <w:p w:rsidR="00FB72FF" w:rsidRPr="00A64F2D" w:rsidRDefault="00FB72FF" w:rsidP="00C374EB">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6E39C1" w:rsidRPr="006E39C1" w:rsidRDefault="006E39C1" w:rsidP="00C374EB">
      <w:pPr>
        <w:tabs>
          <w:tab w:val="clear" w:pos="1440"/>
          <w:tab w:val="clear" w:pos="4320"/>
          <w:tab w:val="clear" w:pos="9072"/>
        </w:tabs>
        <w:spacing w:line="360" w:lineRule="auto"/>
        <w:jc w:val="both"/>
        <w:rPr>
          <w:bCs/>
          <w:szCs w:val="28"/>
          <w:lang w:val="en-GB"/>
        </w:rPr>
      </w:pPr>
      <w:r w:rsidRPr="006E39C1">
        <w:rPr>
          <w:bCs/>
          <w:szCs w:val="28"/>
          <w:lang w:val="en-GB"/>
        </w:rPr>
        <w:t>BETWEEN</w:t>
      </w:r>
    </w:p>
    <w:p w:rsidR="006E39C1" w:rsidRPr="006E39C1" w:rsidRDefault="006E39C1" w:rsidP="00C374EB">
      <w:pPr>
        <w:tabs>
          <w:tab w:val="clear" w:pos="1440"/>
          <w:tab w:val="clear" w:pos="4320"/>
          <w:tab w:val="clear" w:pos="9072"/>
          <w:tab w:val="center" w:pos="4140"/>
          <w:tab w:val="right" w:pos="8280"/>
        </w:tabs>
        <w:spacing w:line="360" w:lineRule="auto"/>
        <w:rPr>
          <w:bCs/>
          <w:szCs w:val="28"/>
          <w:lang w:val="en-GB"/>
        </w:rPr>
      </w:pPr>
      <w:r w:rsidRPr="006E39C1">
        <w:rPr>
          <w:bCs/>
          <w:szCs w:val="28"/>
          <w:lang w:val="en-GB"/>
        </w:rPr>
        <w:tab/>
      </w:r>
      <w:r w:rsidR="00C158E7">
        <w:rPr>
          <w:bCs/>
          <w:szCs w:val="28"/>
          <w:lang w:val="en-GB"/>
        </w:rPr>
        <w:t>LAM SHUI KING</w:t>
      </w:r>
      <w:r w:rsidR="005D7638">
        <w:rPr>
          <w:rFonts w:eastAsia="PMingLiU"/>
          <w:lang w:eastAsia="zh-TW"/>
        </w:rPr>
        <w:tab/>
      </w:r>
      <w:r w:rsidR="00DE63BA">
        <w:rPr>
          <w:rFonts w:eastAsia="PMingLiU"/>
          <w:lang w:eastAsia="zh-TW"/>
        </w:rPr>
        <w:t>P</w:t>
      </w:r>
      <w:proofErr w:type="spellStart"/>
      <w:r w:rsidR="00DE63BA">
        <w:rPr>
          <w:bCs/>
          <w:szCs w:val="28"/>
          <w:lang w:val="en-GB"/>
        </w:rPr>
        <w:t>laintiff</w:t>
      </w:r>
      <w:proofErr w:type="spellEnd"/>
    </w:p>
    <w:p w:rsidR="006E39C1" w:rsidRPr="006E39C1" w:rsidRDefault="006E39C1" w:rsidP="00C374EB">
      <w:pPr>
        <w:tabs>
          <w:tab w:val="clear" w:pos="1440"/>
          <w:tab w:val="clear" w:pos="4320"/>
          <w:tab w:val="clear" w:pos="9072"/>
          <w:tab w:val="center" w:pos="4230"/>
        </w:tabs>
        <w:spacing w:line="360" w:lineRule="auto"/>
        <w:jc w:val="center"/>
        <w:rPr>
          <w:bCs/>
          <w:szCs w:val="28"/>
          <w:lang w:val="en-GB"/>
        </w:rPr>
      </w:pPr>
      <w:r w:rsidRPr="006E39C1">
        <w:rPr>
          <w:bCs/>
          <w:szCs w:val="28"/>
          <w:lang w:val="en-GB"/>
        </w:rPr>
        <w:t>and</w:t>
      </w:r>
    </w:p>
    <w:p w:rsidR="00C158E7" w:rsidRDefault="006E39C1" w:rsidP="00C158E7">
      <w:pPr>
        <w:tabs>
          <w:tab w:val="clear" w:pos="1440"/>
          <w:tab w:val="clear" w:pos="4320"/>
          <w:tab w:val="clear" w:pos="9072"/>
          <w:tab w:val="left" w:pos="1620"/>
          <w:tab w:val="center" w:pos="4140"/>
          <w:tab w:val="right" w:pos="8280"/>
        </w:tabs>
        <w:rPr>
          <w:bCs/>
          <w:szCs w:val="28"/>
          <w:lang w:val="en-GB"/>
        </w:rPr>
      </w:pPr>
      <w:r w:rsidRPr="006E39C1">
        <w:rPr>
          <w:bCs/>
          <w:szCs w:val="28"/>
          <w:lang w:val="en-GB"/>
        </w:rPr>
        <w:tab/>
      </w:r>
      <w:r w:rsidR="00C158E7">
        <w:rPr>
          <w:bCs/>
          <w:szCs w:val="28"/>
          <w:lang w:val="en-GB"/>
        </w:rPr>
        <w:t>POLLUTION &amp; PROTECTION SERVICES</w:t>
      </w:r>
    </w:p>
    <w:p w:rsidR="006E39C1" w:rsidRPr="005D7638" w:rsidRDefault="00C158E7" w:rsidP="00C158E7">
      <w:pPr>
        <w:tabs>
          <w:tab w:val="clear" w:pos="1440"/>
          <w:tab w:val="clear" w:pos="4320"/>
          <w:tab w:val="clear" w:pos="9072"/>
          <w:tab w:val="left" w:pos="1620"/>
          <w:tab w:val="center" w:pos="4140"/>
          <w:tab w:val="right" w:pos="8280"/>
        </w:tabs>
        <w:rPr>
          <w:bCs/>
          <w:szCs w:val="28"/>
          <w:lang w:val="en-GB"/>
        </w:rPr>
      </w:pPr>
      <w:r>
        <w:rPr>
          <w:bCs/>
          <w:szCs w:val="28"/>
          <w:lang w:val="en-GB"/>
        </w:rPr>
        <w:tab/>
        <w:t>LIMITED</w:t>
      </w:r>
      <w:r>
        <w:rPr>
          <w:bCs/>
          <w:szCs w:val="28"/>
          <w:lang w:val="en-GB"/>
        </w:rPr>
        <w:tab/>
      </w:r>
      <w:r w:rsidR="006E39C1" w:rsidRPr="005D7638">
        <w:rPr>
          <w:bCs/>
          <w:szCs w:val="28"/>
          <w:lang w:val="en-GB"/>
        </w:rPr>
        <w:tab/>
      </w:r>
      <w:r w:rsidR="00DE63BA">
        <w:rPr>
          <w:bCs/>
          <w:szCs w:val="28"/>
          <w:lang w:val="en-GB"/>
        </w:rPr>
        <w:t>Defendant</w:t>
      </w:r>
    </w:p>
    <w:p w:rsidR="00C158E7" w:rsidRDefault="00C158E7" w:rsidP="00C374EB">
      <w:pPr>
        <w:tabs>
          <w:tab w:val="clear" w:pos="1440"/>
          <w:tab w:val="clear" w:pos="4320"/>
          <w:tab w:val="clear" w:pos="9072"/>
          <w:tab w:val="center" w:pos="4140"/>
          <w:tab w:val="right" w:pos="8280"/>
        </w:tabs>
        <w:spacing w:line="360" w:lineRule="auto"/>
        <w:rPr>
          <w:bCs/>
          <w:szCs w:val="28"/>
          <w:lang w:val="en-GB"/>
        </w:rPr>
      </w:pPr>
    </w:p>
    <w:p w:rsidR="00C158E7" w:rsidRDefault="005D7638" w:rsidP="00C158E7">
      <w:pPr>
        <w:tabs>
          <w:tab w:val="clear" w:pos="1440"/>
          <w:tab w:val="clear" w:pos="4320"/>
          <w:tab w:val="clear" w:pos="9072"/>
          <w:tab w:val="left" w:pos="1620"/>
          <w:tab w:val="center" w:pos="4140"/>
          <w:tab w:val="right" w:pos="8280"/>
        </w:tabs>
        <w:rPr>
          <w:bCs/>
          <w:szCs w:val="28"/>
          <w:lang w:val="en-GB"/>
        </w:rPr>
      </w:pPr>
      <w:r w:rsidRPr="005D7638">
        <w:rPr>
          <w:bCs/>
          <w:szCs w:val="28"/>
          <w:lang w:val="en-GB"/>
        </w:rPr>
        <w:tab/>
      </w:r>
      <w:r w:rsidR="00C158E7">
        <w:rPr>
          <w:bCs/>
          <w:szCs w:val="28"/>
          <w:lang w:val="en-GB"/>
        </w:rPr>
        <w:t xml:space="preserve">CATHAY PACIFIC CATERING </w:t>
      </w:r>
    </w:p>
    <w:p w:rsidR="005D7638" w:rsidRPr="005D7638" w:rsidRDefault="00C158E7" w:rsidP="00C158E7">
      <w:pPr>
        <w:tabs>
          <w:tab w:val="clear" w:pos="1440"/>
          <w:tab w:val="clear" w:pos="4320"/>
          <w:tab w:val="clear" w:pos="9072"/>
          <w:tab w:val="left" w:pos="1620"/>
          <w:tab w:val="center" w:pos="4140"/>
          <w:tab w:val="right" w:pos="8280"/>
        </w:tabs>
        <w:spacing w:line="360" w:lineRule="auto"/>
        <w:rPr>
          <w:bCs/>
          <w:szCs w:val="28"/>
          <w:lang w:val="en-GB"/>
        </w:rPr>
      </w:pPr>
      <w:r>
        <w:rPr>
          <w:bCs/>
          <w:szCs w:val="28"/>
          <w:lang w:val="en-GB"/>
        </w:rPr>
        <w:tab/>
        <w:t>SERVICES (H.K.) LIMITED</w:t>
      </w:r>
      <w:r>
        <w:rPr>
          <w:bCs/>
          <w:szCs w:val="28"/>
          <w:lang w:val="en-GB"/>
        </w:rPr>
        <w:tab/>
        <w:t xml:space="preserve">Intended </w:t>
      </w:r>
      <w:r w:rsidR="005D7638">
        <w:rPr>
          <w:bCs/>
          <w:szCs w:val="28"/>
          <w:lang w:val="en-GB"/>
        </w:rPr>
        <w:t>2</w:t>
      </w:r>
      <w:r w:rsidR="005D7638" w:rsidRPr="005D7638">
        <w:rPr>
          <w:bCs/>
          <w:szCs w:val="28"/>
          <w:vertAlign w:val="superscript"/>
          <w:lang w:val="en-GB"/>
        </w:rPr>
        <w:t>nd</w:t>
      </w:r>
      <w:r w:rsidR="005D7638">
        <w:rPr>
          <w:bCs/>
          <w:szCs w:val="28"/>
          <w:lang w:val="en-GB"/>
        </w:rPr>
        <w:t xml:space="preserve"> </w:t>
      </w:r>
      <w:r w:rsidR="00DE63BA">
        <w:rPr>
          <w:bCs/>
          <w:szCs w:val="28"/>
          <w:lang w:val="en-GB"/>
        </w:rPr>
        <w:t>Defendant</w:t>
      </w:r>
    </w:p>
    <w:p w:rsidR="00FB72FF" w:rsidRPr="00A64F2D" w:rsidRDefault="00FB72FF" w:rsidP="00C158E7">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5D7638" w:rsidRPr="00CF5870" w:rsidRDefault="005D7638" w:rsidP="00C374EB">
      <w:pPr>
        <w:spacing w:line="360" w:lineRule="auto"/>
        <w:jc w:val="both"/>
        <w:rPr>
          <w:rFonts w:eastAsia="PMingLiU"/>
        </w:rPr>
      </w:pPr>
    </w:p>
    <w:p w:rsidR="005D7638" w:rsidRPr="00CF5870" w:rsidRDefault="005D7638" w:rsidP="00C374EB">
      <w:pPr>
        <w:spacing w:line="360" w:lineRule="auto"/>
        <w:jc w:val="both"/>
        <w:rPr>
          <w:rFonts w:eastAsia="PMingLiU"/>
        </w:rPr>
      </w:pPr>
      <w:r>
        <w:rPr>
          <w:rFonts w:eastAsia="PMingLiU"/>
        </w:rPr>
        <w:t>Coram</w:t>
      </w:r>
      <w:r w:rsidRPr="00CF5870">
        <w:rPr>
          <w:rFonts w:eastAsia="PMingLiU"/>
        </w:rPr>
        <w:t>:</w:t>
      </w:r>
      <w:r>
        <w:rPr>
          <w:rFonts w:eastAsia="PMingLiU"/>
        </w:rPr>
        <w:t xml:space="preserve"> </w:t>
      </w:r>
      <w:r>
        <w:rPr>
          <w:rFonts w:eastAsia="PMingLiU" w:hint="eastAsia"/>
          <w:lang w:eastAsia="zh-TW"/>
        </w:rPr>
        <w:t>M</w:t>
      </w:r>
      <w:r>
        <w:rPr>
          <w:rFonts w:eastAsia="PMingLiU"/>
          <w:lang w:eastAsia="zh-TW"/>
        </w:rPr>
        <w:t>aste</w:t>
      </w:r>
      <w:r>
        <w:rPr>
          <w:rFonts w:eastAsia="PMingLiU" w:hint="eastAsia"/>
          <w:lang w:eastAsia="zh-TW"/>
        </w:rPr>
        <w:t>r</w:t>
      </w:r>
      <w:r>
        <w:rPr>
          <w:rFonts w:eastAsia="PMingLiU"/>
          <w:lang w:eastAsia="zh-TW"/>
        </w:rPr>
        <w:t xml:space="preserve"> </w:t>
      </w:r>
      <w:r w:rsidR="00C158E7">
        <w:rPr>
          <w:rFonts w:eastAsia="PMingLiU"/>
          <w:lang w:eastAsia="zh-TW"/>
        </w:rPr>
        <w:t xml:space="preserve">Louise Chan </w:t>
      </w:r>
      <w:r>
        <w:rPr>
          <w:rFonts w:eastAsia="PMingLiU"/>
        </w:rPr>
        <w:t>in C</w:t>
      </w:r>
      <w:r w:rsidR="00C158E7">
        <w:rPr>
          <w:rFonts w:eastAsia="PMingLiU"/>
        </w:rPr>
        <w:t>hambers (Paper Disposal)</w:t>
      </w:r>
    </w:p>
    <w:p w:rsidR="005D7638" w:rsidRDefault="005D7638" w:rsidP="00C374EB">
      <w:pPr>
        <w:spacing w:line="360" w:lineRule="auto"/>
        <w:jc w:val="both"/>
        <w:rPr>
          <w:rFonts w:eastAsia="PMingLiU"/>
        </w:rPr>
      </w:pPr>
      <w:r w:rsidRPr="00CF5870">
        <w:rPr>
          <w:rFonts w:eastAsia="PMingLiU"/>
        </w:rPr>
        <w:t>Date</w:t>
      </w:r>
      <w:r w:rsidR="00C158E7">
        <w:rPr>
          <w:rFonts w:eastAsia="PMingLiU"/>
        </w:rPr>
        <w:t>s</w:t>
      </w:r>
      <w:r w:rsidRPr="00CF5870">
        <w:rPr>
          <w:rFonts w:eastAsia="PMingLiU" w:hint="eastAsia"/>
        </w:rPr>
        <w:t xml:space="preserve"> of </w:t>
      </w:r>
      <w:r w:rsidR="007B4362">
        <w:rPr>
          <w:rFonts w:eastAsia="PMingLiU"/>
        </w:rPr>
        <w:t>P</w:t>
      </w:r>
      <w:r w:rsidR="00DE63BA">
        <w:rPr>
          <w:rFonts w:eastAsia="PMingLiU"/>
        </w:rPr>
        <w:t>laintiff</w:t>
      </w:r>
      <w:r w:rsidR="00C158E7">
        <w:rPr>
          <w:rFonts w:eastAsia="PMingLiU"/>
        </w:rPr>
        <w:t xml:space="preserve">’s Skeleton Submissions: 2 &amp; 29 September </w:t>
      </w:r>
      <w:r>
        <w:rPr>
          <w:rFonts w:eastAsia="PMingLiU"/>
        </w:rPr>
        <w:t xml:space="preserve">2022 </w:t>
      </w:r>
    </w:p>
    <w:p w:rsidR="005D7638" w:rsidRPr="00CF5870" w:rsidRDefault="005D7638" w:rsidP="00C374EB">
      <w:pPr>
        <w:spacing w:line="360" w:lineRule="auto"/>
        <w:jc w:val="both"/>
        <w:rPr>
          <w:rFonts w:eastAsia="PMingLiU"/>
        </w:rPr>
      </w:pPr>
      <w:r w:rsidRPr="00CF5870">
        <w:rPr>
          <w:rFonts w:eastAsia="PMingLiU"/>
        </w:rPr>
        <w:t>Date</w:t>
      </w:r>
      <w:r w:rsidRPr="00CF5870">
        <w:rPr>
          <w:rFonts w:eastAsia="PMingLiU" w:hint="eastAsia"/>
        </w:rPr>
        <w:t xml:space="preserve"> of</w:t>
      </w:r>
      <w:r w:rsidRPr="00CF5870">
        <w:rPr>
          <w:rFonts w:eastAsia="PMingLiU"/>
        </w:rPr>
        <w:t xml:space="preserve"> </w:t>
      </w:r>
      <w:r w:rsidR="00C158E7">
        <w:rPr>
          <w:rFonts w:eastAsia="PMingLiU"/>
        </w:rPr>
        <w:t>Intended 2</w:t>
      </w:r>
      <w:r w:rsidR="00C158E7" w:rsidRPr="00C158E7">
        <w:rPr>
          <w:rFonts w:eastAsia="PMingLiU"/>
          <w:vertAlign w:val="superscript"/>
        </w:rPr>
        <w:t>nd</w:t>
      </w:r>
      <w:r w:rsidR="00C158E7">
        <w:rPr>
          <w:rFonts w:eastAsia="PMingLiU"/>
        </w:rPr>
        <w:t xml:space="preserve"> </w:t>
      </w:r>
      <w:r w:rsidR="007B4362">
        <w:rPr>
          <w:rFonts w:eastAsia="PMingLiU"/>
        </w:rPr>
        <w:t>D</w:t>
      </w:r>
      <w:r w:rsidR="00DE63BA">
        <w:rPr>
          <w:rFonts w:eastAsia="PMingLiU"/>
        </w:rPr>
        <w:t>efendant</w:t>
      </w:r>
      <w:r w:rsidR="00C158E7">
        <w:rPr>
          <w:rFonts w:eastAsia="PMingLiU"/>
        </w:rPr>
        <w:t>’s Skeleton Submission</w:t>
      </w:r>
      <w:r w:rsidRPr="00CF5870">
        <w:rPr>
          <w:rFonts w:eastAsia="PMingLiU"/>
        </w:rPr>
        <w:t>:</w:t>
      </w:r>
      <w:r>
        <w:rPr>
          <w:rFonts w:eastAsia="PMingLiU"/>
        </w:rPr>
        <w:t xml:space="preserve"> </w:t>
      </w:r>
      <w:r w:rsidR="00C158E7">
        <w:rPr>
          <w:rFonts w:eastAsia="PMingLiU"/>
        </w:rPr>
        <w:t xml:space="preserve">13 September </w:t>
      </w:r>
      <w:r>
        <w:rPr>
          <w:rFonts w:eastAsia="PMingLiU"/>
        </w:rPr>
        <w:t>2022</w:t>
      </w:r>
    </w:p>
    <w:p w:rsidR="006E39C1" w:rsidRDefault="00C158E7" w:rsidP="00C374EB">
      <w:pPr>
        <w:tabs>
          <w:tab w:val="clear" w:pos="1440"/>
          <w:tab w:val="clear" w:pos="4320"/>
          <w:tab w:val="clear" w:pos="9072"/>
          <w:tab w:val="left" w:pos="2160"/>
        </w:tabs>
        <w:spacing w:line="360" w:lineRule="auto"/>
        <w:ind w:left="2160" w:hanging="2160"/>
        <w:jc w:val="both"/>
        <w:rPr>
          <w:bCs/>
          <w:szCs w:val="28"/>
        </w:rPr>
      </w:pPr>
      <w:r>
        <w:rPr>
          <w:bCs/>
          <w:szCs w:val="28"/>
        </w:rPr>
        <w:t>Date of Decision: 7 November 2022</w:t>
      </w:r>
    </w:p>
    <w:p w:rsidR="00C158E7" w:rsidRPr="006E39C1" w:rsidRDefault="00C158E7" w:rsidP="00C374EB">
      <w:pPr>
        <w:tabs>
          <w:tab w:val="clear" w:pos="1440"/>
          <w:tab w:val="clear" w:pos="4320"/>
          <w:tab w:val="clear" w:pos="9072"/>
          <w:tab w:val="left" w:pos="2160"/>
        </w:tabs>
        <w:spacing w:line="360" w:lineRule="auto"/>
        <w:ind w:left="2160" w:hanging="2160"/>
        <w:jc w:val="both"/>
        <w:rPr>
          <w:bCs/>
          <w:szCs w:val="28"/>
        </w:rPr>
      </w:pPr>
    </w:p>
    <w:p w:rsidR="006E39C1" w:rsidRPr="006E39C1" w:rsidRDefault="005D7638" w:rsidP="00C374EB">
      <w:pPr>
        <w:tabs>
          <w:tab w:val="clear" w:pos="1440"/>
          <w:tab w:val="clear" w:pos="4320"/>
          <w:tab w:val="clear" w:pos="9072"/>
        </w:tabs>
        <w:spacing w:line="360" w:lineRule="auto"/>
        <w:jc w:val="center"/>
        <w:rPr>
          <w:bCs/>
          <w:szCs w:val="28"/>
          <w:lang w:val="en-GB"/>
        </w:rPr>
      </w:pPr>
      <w:r>
        <w:rPr>
          <w:bCs/>
          <w:szCs w:val="28"/>
          <w:lang w:val="en-GB"/>
        </w:rPr>
        <w:t>----------------</w:t>
      </w:r>
      <w:r w:rsidR="006E39C1" w:rsidRPr="006E39C1">
        <w:rPr>
          <w:bCs/>
          <w:szCs w:val="28"/>
          <w:lang w:val="en-GB"/>
        </w:rPr>
        <w:t>----------</w:t>
      </w:r>
    </w:p>
    <w:p w:rsidR="005D7638" w:rsidRDefault="00C158E7" w:rsidP="00C374EB">
      <w:pPr>
        <w:tabs>
          <w:tab w:val="clear" w:pos="1440"/>
          <w:tab w:val="clear" w:pos="4320"/>
          <w:tab w:val="clear" w:pos="9072"/>
        </w:tabs>
        <w:spacing w:line="360" w:lineRule="auto"/>
        <w:jc w:val="center"/>
        <w:rPr>
          <w:rFonts w:eastAsia="PMingLiU"/>
          <w:bCs/>
          <w:lang w:val="en-GB"/>
        </w:rPr>
      </w:pPr>
      <w:r>
        <w:rPr>
          <w:rFonts w:eastAsia="PMingLiU"/>
          <w:bCs/>
          <w:lang w:val="en-GB"/>
        </w:rPr>
        <w:t>DECISION</w:t>
      </w:r>
    </w:p>
    <w:p w:rsidR="00C158E7" w:rsidRPr="006E39C1" w:rsidRDefault="00C158E7" w:rsidP="00C158E7">
      <w:pPr>
        <w:tabs>
          <w:tab w:val="clear" w:pos="1440"/>
          <w:tab w:val="clear" w:pos="4320"/>
          <w:tab w:val="clear" w:pos="9072"/>
        </w:tabs>
        <w:spacing w:line="360" w:lineRule="auto"/>
        <w:jc w:val="center"/>
        <w:rPr>
          <w:bCs/>
          <w:szCs w:val="28"/>
          <w:lang w:val="en-GB"/>
        </w:rPr>
      </w:pPr>
      <w:r>
        <w:rPr>
          <w:bCs/>
          <w:szCs w:val="28"/>
          <w:lang w:val="en-GB"/>
        </w:rPr>
        <w:t>----------------</w:t>
      </w:r>
      <w:r w:rsidRPr="006E39C1">
        <w:rPr>
          <w:bCs/>
          <w:szCs w:val="28"/>
          <w:lang w:val="en-GB"/>
        </w:rPr>
        <w:t>----------</w:t>
      </w:r>
    </w:p>
    <w:p w:rsidR="005D7638" w:rsidRDefault="005D7638" w:rsidP="00C374EB">
      <w:pPr>
        <w:tabs>
          <w:tab w:val="clear" w:pos="1440"/>
          <w:tab w:val="clear" w:pos="4320"/>
          <w:tab w:val="clear" w:pos="9072"/>
        </w:tabs>
        <w:spacing w:line="360" w:lineRule="auto"/>
        <w:rPr>
          <w:bCs/>
          <w:i/>
          <w:lang w:val="en-GB"/>
        </w:rPr>
      </w:pPr>
    </w:p>
    <w:p w:rsidR="00DE63BA" w:rsidRDefault="00DE63BA" w:rsidP="00DE63BA">
      <w:pPr>
        <w:pStyle w:val="ListParagraph"/>
        <w:numPr>
          <w:ilvl w:val="0"/>
          <w:numId w:val="15"/>
        </w:numPr>
        <w:spacing w:line="360" w:lineRule="auto"/>
        <w:ind w:left="0" w:firstLine="0"/>
        <w:jc w:val="both"/>
        <w:rPr>
          <w:szCs w:val="28"/>
        </w:rPr>
      </w:pPr>
      <w:r w:rsidRPr="00DE63BA">
        <w:rPr>
          <w:szCs w:val="28"/>
        </w:rPr>
        <w:t xml:space="preserve">A summons dated 29 April 2022 (“the Joinder Summons”) was taken out by the </w:t>
      </w:r>
      <w:r w:rsidR="000101BC">
        <w:rPr>
          <w:szCs w:val="28"/>
        </w:rPr>
        <w:t>P</w:t>
      </w:r>
      <w:r w:rsidRPr="00DE63BA">
        <w:rPr>
          <w:szCs w:val="28"/>
        </w:rPr>
        <w:t xml:space="preserve">laintiff Lam </w:t>
      </w:r>
      <w:proofErr w:type="spellStart"/>
      <w:r w:rsidRPr="00DE63BA">
        <w:rPr>
          <w:szCs w:val="28"/>
        </w:rPr>
        <w:t>Shui</w:t>
      </w:r>
      <w:proofErr w:type="spellEnd"/>
      <w:r w:rsidRPr="00DE63BA">
        <w:rPr>
          <w:szCs w:val="28"/>
        </w:rPr>
        <w:t xml:space="preserve"> King (“the </w:t>
      </w:r>
      <w:r w:rsidR="00517EF7">
        <w:rPr>
          <w:szCs w:val="28"/>
        </w:rPr>
        <w:t>P</w:t>
      </w:r>
      <w:r w:rsidRPr="00DE63BA">
        <w:rPr>
          <w:szCs w:val="28"/>
        </w:rPr>
        <w:t xml:space="preserve">laintiff”) for leave (1) </w:t>
      </w:r>
      <w:r w:rsidRPr="00DE63BA">
        <w:rPr>
          <w:szCs w:val="28"/>
        </w:rPr>
        <w:lastRenderedPageBreak/>
        <w:t>to join Cathay Pacific Catering Services (HK) Limited (“CPCS”) as the 2</w:t>
      </w:r>
      <w:r w:rsidRPr="00DE63BA">
        <w:rPr>
          <w:szCs w:val="28"/>
          <w:vertAlign w:val="superscript"/>
        </w:rPr>
        <w:t>nd</w:t>
      </w:r>
      <w:r w:rsidRPr="00DE63BA">
        <w:rPr>
          <w:szCs w:val="28"/>
        </w:rPr>
        <w:t xml:space="preserve"> </w:t>
      </w:r>
      <w:r w:rsidR="00517EF7">
        <w:rPr>
          <w:szCs w:val="28"/>
        </w:rPr>
        <w:t>D</w:t>
      </w:r>
      <w:r w:rsidRPr="00DE63BA">
        <w:rPr>
          <w:szCs w:val="28"/>
        </w:rPr>
        <w:t xml:space="preserve">efendant to this action; (2) to amend the Amended Writ of Summons as shown in the draft annexed to the Joinder Summons; and (3) to amend the Statement of Claim for further consequential relief.  </w:t>
      </w:r>
    </w:p>
    <w:p w:rsidR="00DE63BA" w:rsidRPr="00DE63BA" w:rsidRDefault="00DE63BA" w:rsidP="00DE63BA">
      <w:pPr>
        <w:pStyle w:val="ListParagraph"/>
        <w:spacing w:line="360" w:lineRule="auto"/>
        <w:ind w:left="0"/>
        <w:jc w:val="both"/>
        <w:rPr>
          <w:szCs w:val="28"/>
        </w:rPr>
      </w:pPr>
    </w:p>
    <w:p w:rsidR="00DE63BA" w:rsidRPr="00DE63BA" w:rsidRDefault="00DE63BA" w:rsidP="00DE63BA">
      <w:pPr>
        <w:pStyle w:val="ListParagraph"/>
        <w:numPr>
          <w:ilvl w:val="0"/>
          <w:numId w:val="15"/>
        </w:numPr>
        <w:spacing w:line="360" w:lineRule="auto"/>
        <w:ind w:left="0" w:firstLine="0"/>
        <w:jc w:val="both"/>
        <w:rPr>
          <w:szCs w:val="28"/>
        </w:rPr>
      </w:pPr>
      <w:r w:rsidRPr="00DE63BA">
        <w:rPr>
          <w:szCs w:val="28"/>
        </w:rPr>
        <w:t>By way of a consent summons filed by the parties on 24 May 2022, I gave directions for this application with a timetable for exchange and filing of affidavits and written submissions.  The substantive hearing was scheduled to be heard on 9 September 2022 but upon the parties’ joint application dated 22 August 2022, I allowed this application to be dealt with by way of paper disposal.</w:t>
      </w:r>
    </w:p>
    <w:p w:rsidR="00DE63BA" w:rsidRPr="00DE63BA" w:rsidRDefault="00DE63BA" w:rsidP="00DE63BA">
      <w:pPr>
        <w:spacing w:line="360" w:lineRule="auto"/>
        <w:jc w:val="both"/>
        <w:rPr>
          <w:szCs w:val="28"/>
        </w:rPr>
      </w:pPr>
    </w:p>
    <w:p w:rsidR="00DE63BA" w:rsidRDefault="00DE63BA" w:rsidP="00DE63BA">
      <w:pPr>
        <w:pStyle w:val="ListParagraph"/>
        <w:spacing w:line="360" w:lineRule="auto"/>
        <w:ind w:left="0"/>
        <w:jc w:val="both"/>
        <w:rPr>
          <w:i/>
          <w:szCs w:val="28"/>
        </w:rPr>
      </w:pPr>
      <w:r w:rsidRPr="00DE63BA">
        <w:rPr>
          <w:i/>
          <w:szCs w:val="28"/>
        </w:rPr>
        <w:t>BACKGROUND</w:t>
      </w:r>
    </w:p>
    <w:p w:rsidR="00DE63BA" w:rsidRPr="00DE63BA" w:rsidRDefault="00DE63BA" w:rsidP="00DE63BA">
      <w:pPr>
        <w:pStyle w:val="ListParagraph"/>
        <w:spacing w:line="360" w:lineRule="auto"/>
        <w:ind w:left="0"/>
        <w:jc w:val="both"/>
        <w:rPr>
          <w:i/>
          <w:szCs w:val="28"/>
        </w:rPr>
      </w:pPr>
    </w:p>
    <w:p w:rsidR="00DE63BA" w:rsidRDefault="00DE63BA" w:rsidP="00DE63BA">
      <w:pPr>
        <w:pStyle w:val="ListParagraph"/>
        <w:numPr>
          <w:ilvl w:val="0"/>
          <w:numId w:val="15"/>
        </w:numPr>
        <w:spacing w:line="360" w:lineRule="auto"/>
        <w:ind w:left="0" w:firstLine="0"/>
        <w:jc w:val="both"/>
        <w:rPr>
          <w:szCs w:val="28"/>
        </w:rPr>
      </w:pPr>
      <w:r w:rsidRPr="00DE63BA">
        <w:rPr>
          <w:szCs w:val="28"/>
        </w:rPr>
        <w:t xml:space="preserve">The </w:t>
      </w:r>
      <w:r w:rsidR="00517EF7">
        <w:rPr>
          <w:szCs w:val="28"/>
        </w:rPr>
        <w:t>P</w:t>
      </w:r>
      <w:r>
        <w:rPr>
          <w:szCs w:val="28"/>
        </w:rPr>
        <w:t>laintiff</w:t>
      </w:r>
      <w:r w:rsidR="00C25B18">
        <w:rPr>
          <w:szCs w:val="28"/>
        </w:rPr>
        <w:t xml:space="preserve"> </w:t>
      </w:r>
      <w:r w:rsidRPr="00DE63BA">
        <w:rPr>
          <w:szCs w:val="28"/>
        </w:rPr>
        <w:t xml:space="preserve">started working for the </w:t>
      </w:r>
      <w:r w:rsidR="005359F2">
        <w:rPr>
          <w:szCs w:val="28"/>
        </w:rPr>
        <w:t>D</w:t>
      </w:r>
      <w:r>
        <w:rPr>
          <w:szCs w:val="28"/>
        </w:rPr>
        <w:t>efendant</w:t>
      </w:r>
      <w:r w:rsidRPr="00DE63BA">
        <w:rPr>
          <w:szCs w:val="28"/>
        </w:rPr>
        <w:t xml:space="preserve"> as a Service Attendant since April 2015 with</w:t>
      </w:r>
      <w:r w:rsidR="00C25B18">
        <w:rPr>
          <w:szCs w:val="28"/>
        </w:rPr>
        <w:t xml:space="preserve"> her</w:t>
      </w:r>
      <w:r w:rsidRPr="00DE63BA">
        <w:rPr>
          <w:szCs w:val="28"/>
        </w:rPr>
        <w:t xml:space="preserve"> main duties</w:t>
      </w:r>
      <w:r w:rsidR="00C25B18">
        <w:rPr>
          <w:szCs w:val="28"/>
        </w:rPr>
        <w:t xml:space="preserve"> being the</w:t>
      </w:r>
      <w:r w:rsidRPr="00DE63BA">
        <w:rPr>
          <w:szCs w:val="28"/>
        </w:rPr>
        <w:t xml:space="preserve"> replenish</w:t>
      </w:r>
      <w:r w:rsidR="00C25B18">
        <w:rPr>
          <w:szCs w:val="28"/>
        </w:rPr>
        <w:t>ment of</w:t>
      </w:r>
      <w:r w:rsidRPr="00DE63BA">
        <w:rPr>
          <w:szCs w:val="28"/>
        </w:rPr>
        <w:t xml:space="preserve"> blankets and headphones on the Cathay Pacific aircrafts.  The </w:t>
      </w:r>
      <w:r w:rsidR="005359F2">
        <w:rPr>
          <w:szCs w:val="28"/>
        </w:rPr>
        <w:t>P</w:t>
      </w:r>
      <w:r>
        <w:rPr>
          <w:szCs w:val="28"/>
        </w:rPr>
        <w:t>laintiff</w:t>
      </w:r>
      <w:r w:rsidRPr="00DE63BA">
        <w:rPr>
          <w:szCs w:val="28"/>
        </w:rPr>
        <w:t xml:space="preserve"> in her witness statement averred that minibuses were arranged by her employer to pick her and other staff up after they finished clearing an aircraft.  It is the </w:t>
      </w:r>
      <w:r w:rsidR="005359F2">
        <w:rPr>
          <w:szCs w:val="28"/>
        </w:rPr>
        <w:t>P</w:t>
      </w:r>
      <w:r>
        <w:rPr>
          <w:szCs w:val="28"/>
        </w:rPr>
        <w:t>laintiff</w:t>
      </w:r>
      <w:r w:rsidRPr="00DE63BA">
        <w:rPr>
          <w:szCs w:val="28"/>
        </w:rPr>
        <w:t xml:space="preserve">’s case that owing to the negligent driving of the minibus driver (“the Driver”) who picked her up at around 10:00 pm on 3 July 2017, she suffered personal injuries on the minibus (“the Minibus”) when the Driver allegedly made a sharp and speedy turn before she was seated.  According to the </w:t>
      </w:r>
      <w:r w:rsidR="005359F2">
        <w:rPr>
          <w:szCs w:val="28"/>
        </w:rPr>
        <w:t>P</w:t>
      </w:r>
      <w:r>
        <w:rPr>
          <w:szCs w:val="28"/>
        </w:rPr>
        <w:t>laintiff</w:t>
      </w:r>
      <w:r w:rsidRPr="00DE63BA">
        <w:rPr>
          <w:szCs w:val="28"/>
        </w:rPr>
        <w:t xml:space="preserve">, she fell onto one of the seats with the left side of her back hitting against it (“the Accident”).  </w:t>
      </w:r>
    </w:p>
    <w:p w:rsidR="00DE63BA" w:rsidRPr="00DE63BA" w:rsidRDefault="00DE63BA" w:rsidP="00DE63BA">
      <w:pPr>
        <w:pStyle w:val="ListParagraph"/>
        <w:spacing w:line="360" w:lineRule="auto"/>
        <w:ind w:left="0"/>
        <w:jc w:val="both"/>
        <w:rPr>
          <w:szCs w:val="28"/>
        </w:rPr>
      </w:pPr>
    </w:p>
    <w:p w:rsidR="00DE63BA" w:rsidRPr="00DE63BA" w:rsidRDefault="00DE63BA" w:rsidP="00DE63BA">
      <w:pPr>
        <w:pStyle w:val="ListParagraph"/>
        <w:numPr>
          <w:ilvl w:val="0"/>
          <w:numId w:val="15"/>
        </w:numPr>
        <w:spacing w:line="360" w:lineRule="auto"/>
        <w:ind w:left="0" w:firstLine="0"/>
        <w:jc w:val="both"/>
        <w:rPr>
          <w:szCs w:val="28"/>
        </w:rPr>
      </w:pPr>
      <w:r w:rsidRPr="00DE63BA">
        <w:rPr>
          <w:szCs w:val="28"/>
        </w:rPr>
        <w:t xml:space="preserve">It is not disputed that the </w:t>
      </w:r>
      <w:r w:rsidR="005359F2">
        <w:rPr>
          <w:szCs w:val="28"/>
        </w:rPr>
        <w:t>P</w:t>
      </w:r>
      <w:r>
        <w:rPr>
          <w:szCs w:val="28"/>
        </w:rPr>
        <w:t>laintiff</w:t>
      </w:r>
      <w:r w:rsidRPr="00DE63BA">
        <w:rPr>
          <w:szCs w:val="28"/>
        </w:rPr>
        <w:t xml:space="preserve"> was in the course of her employment with the </w:t>
      </w:r>
      <w:r w:rsidR="005359F2">
        <w:rPr>
          <w:szCs w:val="28"/>
        </w:rPr>
        <w:t>D</w:t>
      </w:r>
      <w:r>
        <w:rPr>
          <w:szCs w:val="28"/>
        </w:rPr>
        <w:t>efendant</w:t>
      </w:r>
      <w:r w:rsidRPr="00DE63BA">
        <w:rPr>
          <w:szCs w:val="28"/>
        </w:rPr>
        <w:t xml:space="preserve"> at the time of the Accident, and as matters </w:t>
      </w:r>
      <w:r w:rsidRPr="00DE63BA">
        <w:rPr>
          <w:szCs w:val="28"/>
        </w:rPr>
        <w:lastRenderedPageBreak/>
        <w:t>transpired, the Minibus was owned by CPCS and driven by one of their employees.</w:t>
      </w:r>
    </w:p>
    <w:p w:rsidR="00DE63BA" w:rsidRPr="00DE63BA" w:rsidRDefault="00DE63BA" w:rsidP="00DE63BA">
      <w:pPr>
        <w:spacing w:line="360" w:lineRule="auto"/>
        <w:jc w:val="both"/>
        <w:rPr>
          <w:szCs w:val="28"/>
        </w:rPr>
      </w:pPr>
    </w:p>
    <w:p w:rsidR="00DE63BA" w:rsidRDefault="00DE63BA" w:rsidP="00DE63BA">
      <w:pPr>
        <w:pStyle w:val="ListParagraph"/>
        <w:spacing w:line="360" w:lineRule="auto"/>
        <w:ind w:left="0"/>
        <w:jc w:val="both"/>
        <w:rPr>
          <w:i/>
          <w:szCs w:val="28"/>
        </w:rPr>
      </w:pPr>
      <w:r w:rsidRPr="00DE63BA">
        <w:rPr>
          <w:i/>
          <w:szCs w:val="28"/>
        </w:rPr>
        <w:t>CHRONOLOGY OF EVENTS</w:t>
      </w:r>
    </w:p>
    <w:p w:rsidR="00DE63BA" w:rsidRPr="00DE63BA" w:rsidRDefault="00DE63BA" w:rsidP="00DE63BA">
      <w:pPr>
        <w:pStyle w:val="ListParagraph"/>
        <w:spacing w:line="360" w:lineRule="auto"/>
        <w:ind w:left="0"/>
        <w:jc w:val="both"/>
        <w:rPr>
          <w:i/>
          <w:szCs w:val="28"/>
        </w:rPr>
      </w:pPr>
    </w:p>
    <w:p w:rsidR="00DE63BA" w:rsidRDefault="00DE63BA" w:rsidP="00DE63BA">
      <w:pPr>
        <w:pStyle w:val="ListParagraph"/>
        <w:numPr>
          <w:ilvl w:val="0"/>
          <w:numId w:val="15"/>
        </w:numPr>
        <w:spacing w:line="360" w:lineRule="auto"/>
        <w:ind w:left="0" w:firstLine="0"/>
        <w:jc w:val="both"/>
        <w:rPr>
          <w:szCs w:val="28"/>
        </w:rPr>
      </w:pPr>
      <w:r w:rsidRPr="00DE63BA">
        <w:rPr>
          <w:szCs w:val="28"/>
        </w:rPr>
        <w:t xml:space="preserve">The </w:t>
      </w:r>
      <w:r w:rsidR="00305B26">
        <w:rPr>
          <w:szCs w:val="28"/>
        </w:rPr>
        <w:t>P</w:t>
      </w:r>
      <w:r>
        <w:rPr>
          <w:szCs w:val="28"/>
        </w:rPr>
        <w:t>laintiff</w:t>
      </w:r>
      <w:r w:rsidRPr="00DE63BA">
        <w:rPr>
          <w:szCs w:val="28"/>
        </w:rPr>
        <w:t>’s solicitors (“</w:t>
      </w:r>
      <w:proofErr w:type="spellStart"/>
      <w:r w:rsidRPr="00DE63BA">
        <w:rPr>
          <w:szCs w:val="28"/>
        </w:rPr>
        <w:t>BMak</w:t>
      </w:r>
      <w:proofErr w:type="spellEnd"/>
      <w:r w:rsidRPr="00DE63BA">
        <w:rPr>
          <w:szCs w:val="28"/>
        </w:rPr>
        <w:t xml:space="preserve">”) have been instructed by the </w:t>
      </w:r>
      <w:r>
        <w:rPr>
          <w:szCs w:val="28"/>
        </w:rPr>
        <w:t>plaintiff</w:t>
      </w:r>
      <w:r w:rsidRPr="00DE63BA">
        <w:rPr>
          <w:szCs w:val="28"/>
        </w:rPr>
        <w:t xml:space="preserve"> since 11 October 2018 to act on behalf of her in both the EC and common law claim.  </w:t>
      </w:r>
      <w:proofErr w:type="spellStart"/>
      <w:r w:rsidRPr="00DE63BA">
        <w:rPr>
          <w:szCs w:val="28"/>
        </w:rPr>
        <w:t>BMak</w:t>
      </w:r>
      <w:proofErr w:type="spellEnd"/>
      <w:r w:rsidRPr="00DE63BA">
        <w:rPr>
          <w:szCs w:val="28"/>
        </w:rPr>
        <w:t xml:space="preserve"> issued a letter before action dated 26 March 2020 (“Letter before Action”) to the </w:t>
      </w:r>
      <w:r>
        <w:rPr>
          <w:szCs w:val="28"/>
        </w:rPr>
        <w:t>defendant</w:t>
      </w:r>
      <w:r w:rsidRPr="00DE63BA">
        <w:rPr>
          <w:szCs w:val="28"/>
        </w:rPr>
        <w:t xml:space="preserve"> setting out some details of the Accident with reference to the Minibus being operated by Cathay Pacific and the name of the Driver.  Three months later, </w:t>
      </w:r>
      <w:proofErr w:type="spellStart"/>
      <w:r w:rsidRPr="00DE63BA">
        <w:rPr>
          <w:szCs w:val="28"/>
        </w:rPr>
        <w:t>ie</w:t>
      </w:r>
      <w:proofErr w:type="spellEnd"/>
      <w:r w:rsidRPr="00DE63BA">
        <w:rPr>
          <w:szCs w:val="28"/>
        </w:rPr>
        <w:t xml:space="preserve"> on 26 June 2020, </w:t>
      </w:r>
      <w:proofErr w:type="spellStart"/>
      <w:r w:rsidRPr="00DE63BA">
        <w:rPr>
          <w:szCs w:val="28"/>
        </w:rPr>
        <w:t>BMak</w:t>
      </w:r>
      <w:proofErr w:type="spellEnd"/>
      <w:r w:rsidRPr="00DE63BA">
        <w:rPr>
          <w:szCs w:val="28"/>
        </w:rPr>
        <w:t xml:space="preserve"> issued a protective Writ of Summons against the </w:t>
      </w:r>
      <w:r w:rsidR="00305B26">
        <w:rPr>
          <w:szCs w:val="28"/>
        </w:rPr>
        <w:t>D</w:t>
      </w:r>
      <w:r>
        <w:rPr>
          <w:szCs w:val="28"/>
        </w:rPr>
        <w:t>efendant</w:t>
      </w:r>
      <w:r w:rsidRPr="00DE63BA">
        <w:rPr>
          <w:szCs w:val="28"/>
        </w:rPr>
        <w:t xml:space="preserve">, and on 3 July 2020, </w:t>
      </w:r>
      <w:proofErr w:type="spellStart"/>
      <w:r w:rsidRPr="00DE63BA">
        <w:rPr>
          <w:szCs w:val="28"/>
        </w:rPr>
        <w:t>ie</w:t>
      </w:r>
      <w:proofErr w:type="spellEnd"/>
      <w:r w:rsidRPr="00DE63BA">
        <w:rPr>
          <w:szCs w:val="28"/>
        </w:rPr>
        <w:t xml:space="preserve"> a day after the </w:t>
      </w:r>
      <w:r w:rsidR="00305B26">
        <w:rPr>
          <w:szCs w:val="28"/>
        </w:rPr>
        <w:t>P</w:t>
      </w:r>
      <w:r>
        <w:rPr>
          <w:szCs w:val="28"/>
        </w:rPr>
        <w:t>laintiff</w:t>
      </w:r>
      <w:r w:rsidRPr="00DE63BA">
        <w:rPr>
          <w:szCs w:val="28"/>
        </w:rPr>
        <w:t xml:space="preserve">’s claim was time-barred under the 3-year-rule, the insurer of the </w:t>
      </w:r>
      <w:r w:rsidR="005C0035">
        <w:rPr>
          <w:szCs w:val="28"/>
        </w:rPr>
        <w:t>D</w:t>
      </w:r>
      <w:r>
        <w:rPr>
          <w:szCs w:val="28"/>
        </w:rPr>
        <w:t>efendant</w:t>
      </w:r>
      <w:r w:rsidRPr="00DE63BA">
        <w:rPr>
          <w:szCs w:val="28"/>
        </w:rPr>
        <w:t xml:space="preserve"> (“Asia Insurance”) wrote to </w:t>
      </w:r>
      <w:proofErr w:type="spellStart"/>
      <w:r w:rsidRPr="00DE63BA">
        <w:rPr>
          <w:szCs w:val="28"/>
        </w:rPr>
        <w:t>BMak</w:t>
      </w:r>
      <w:proofErr w:type="spellEnd"/>
      <w:r w:rsidRPr="00DE63BA">
        <w:rPr>
          <w:szCs w:val="28"/>
        </w:rPr>
        <w:t xml:space="preserve"> (“the Insurer’s Letter”) stating that the </w:t>
      </w:r>
      <w:r w:rsidR="005C0035">
        <w:rPr>
          <w:szCs w:val="28"/>
        </w:rPr>
        <w:t>D</w:t>
      </w:r>
      <w:r>
        <w:rPr>
          <w:szCs w:val="28"/>
        </w:rPr>
        <w:t>efendant</w:t>
      </w:r>
      <w:r w:rsidRPr="00DE63BA">
        <w:rPr>
          <w:szCs w:val="28"/>
        </w:rPr>
        <w:t xml:space="preserve"> shall not be liable for the Accident as the Driver was not their employee and the Minibus was operated by Cathay Pacific.  </w:t>
      </w:r>
    </w:p>
    <w:p w:rsidR="00290836" w:rsidRPr="00DE63BA" w:rsidRDefault="00290836" w:rsidP="00290836">
      <w:pPr>
        <w:pStyle w:val="ListParagraph"/>
        <w:spacing w:line="360" w:lineRule="auto"/>
        <w:ind w:left="0"/>
        <w:jc w:val="both"/>
        <w:rPr>
          <w:szCs w:val="28"/>
        </w:rPr>
      </w:pPr>
    </w:p>
    <w:p w:rsidR="00DE63BA" w:rsidRDefault="00DE63BA" w:rsidP="00DE63BA">
      <w:pPr>
        <w:pStyle w:val="ListParagraph"/>
        <w:numPr>
          <w:ilvl w:val="0"/>
          <w:numId w:val="15"/>
        </w:numPr>
        <w:spacing w:line="360" w:lineRule="auto"/>
        <w:ind w:left="0" w:firstLine="0"/>
        <w:jc w:val="both"/>
        <w:rPr>
          <w:szCs w:val="28"/>
        </w:rPr>
      </w:pPr>
      <w:r w:rsidRPr="00DE63BA">
        <w:rPr>
          <w:szCs w:val="28"/>
        </w:rPr>
        <w:t xml:space="preserve">Notwithstanding the information disclosed in the Insurer’s Letter, </w:t>
      </w:r>
      <w:proofErr w:type="spellStart"/>
      <w:r w:rsidRPr="00DE63BA">
        <w:rPr>
          <w:szCs w:val="28"/>
        </w:rPr>
        <w:t>BMak</w:t>
      </w:r>
      <w:proofErr w:type="spellEnd"/>
      <w:r w:rsidRPr="00DE63BA">
        <w:rPr>
          <w:szCs w:val="28"/>
        </w:rPr>
        <w:t xml:space="preserve"> filed and served the Statement of Claims on the </w:t>
      </w:r>
      <w:r w:rsidR="005C0035">
        <w:rPr>
          <w:szCs w:val="28"/>
        </w:rPr>
        <w:t>D</w:t>
      </w:r>
      <w:r>
        <w:rPr>
          <w:szCs w:val="28"/>
        </w:rPr>
        <w:t>efendant</w:t>
      </w:r>
      <w:r w:rsidRPr="00DE63BA">
        <w:rPr>
          <w:szCs w:val="28"/>
        </w:rPr>
        <w:t xml:space="preserve"> some eight months later, i</w:t>
      </w:r>
      <w:r w:rsidR="00833088">
        <w:rPr>
          <w:szCs w:val="28"/>
        </w:rPr>
        <w:t>.</w:t>
      </w:r>
      <w:r w:rsidRPr="00DE63BA">
        <w:rPr>
          <w:szCs w:val="28"/>
        </w:rPr>
        <w:t>e</w:t>
      </w:r>
      <w:r w:rsidR="00833088">
        <w:rPr>
          <w:szCs w:val="28"/>
        </w:rPr>
        <w:t>.</w:t>
      </w:r>
      <w:r w:rsidRPr="00DE63BA">
        <w:rPr>
          <w:szCs w:val="28"/>
        </w:rPr>
        <w:t xml:space="preserve"> on 15 March 2021.  The solicitors acting for the </w:t>
      </w:r>
      <w:r w:rsidR="005C0035">
        <w:rPr>
          <w:szCs w:val="28"/>
        </w:rPr>
        <w:t>D</w:t>
      </w:r>
      <w:r>
        <w:rPr>
          <w:szCs w:val="28"/>
        </w:rPr>
        <w:t>efendant</w:t>
      </w:r>
      <w:r w:rsidRPr="00DE63BA">
        <w:rPr>
          <w:szCs w:val="28"/>
        </w:rPr>
        <w:t xml:space="preserve"> (“Deacons”) issued a letter to </w:t>
      </w:r>
      <w:proofErr w:type="spellStart"/>
      <w:r w:rsidRPr="00DE63BA">
        <w:rPr>
          <w:szCs w:val="28"/>
        </w:rPr>
        <w:t>BMak</w:t>
      </w:r>
      <w:proofErr w:type="spellEnd"/>
      <w:r w:rsidRPr="00DE63BA">
        <w:rPr>
          <w:szCs w:val="28"/>
        </w:rPr>
        <w:t xml:space="preserve"> on 1 April 2021 (“Deacon’s Letter Apr</w:t>
      </w:r>
      <w:r w:rsidR="003A5E52">
        <w:rPr>
          <w:szCs w:val="28"/>
        </w:rPr>
        <w:t>il</w:t>
      </w:r>
      <w:r w:rsidRPr="00DE63BA">
        <w:rPr>
          <w:szCs w:val="28"/>
        </w:rPr>
        <w:t xml:space="preserve"> 2021”) disclosing the owner of the Minibus was CPCS and thus asking the </w:t>
      </w:r>
      <w:r w:rsidR="005C0035">
        <w:rPr>
          <w:szCs w:val="28"/>
        </w:rPr>
        <w:t>P</w:t>
      </w:r>
      <w:r>
        <w:rPr>
          <w:szCs w:val="28"/>
        </w:rPr>
        <w:t>laintiff</w:t>
      </w:r>
      <w:r w:rsidRPr="00DE63BA">
        <w:rPr>
          <w:szCs w:val="28"/>
        </w:rPr>
        <w:t xml:space="preserve"> to discontinue her action against the </w:t>
      </w:r>
      <w:r w:rsidR="0085661A">
        <w:rPr>
          <w:szCs w:val="28"/>
        </w:rPr>
        <w:t>D</w:t>
      </w:r>
      <w:r>
        <w:rPr>
          <w:szCs w:val="28"/>
        </w:rPr>
        <w:t>efendant</w:t>
      </w:r>
      <w:r w:rsidRPr="00DE63BA">
        <w:rPr>
          <w:szCs w:val="28"/>
        </w:rPr>
        <w:t xml:space="preserve">.  </w:t>
      </w:r>
    </w:p>
    <w:p w:rsidR="00290836" w:rsidRPr="00DE63BA" w:rsidRDefault="00290836" w:rsidP="00290836">
      <w:pPr>
        <w:pStyle w:val="ListParagraph"/>
        <w:spacing w:line="360" w:lineRule="auto"/>
        <w:ind w:left="0"/>
        <w:jc w:val="both"/>
        <w:rPr>
          <w:szCs w:val="28"/>
        </w:rPr>
      </w:pPr>
    </w:p>
    <w:p w:rsidR="00DE63BA" w:rsidRDefault="00DE63BA" w:rsidP="00DE63BA">
      <w:pPr>
        <w:pStyle w:val="ListParagraph"/>
        <w:numPr>
          <w:ilvl w:val="0"/>
          <w:numId w:val="15"/>
        </w:numPr>
        <w:spacing w:line="360" w:lineRule="auto"/>
        <w:ind w:left="0" w:firstLine="0"/>
        <w:jc w:val="both"/>
        <w:rPr>
          <w:szCs w:val="28"/>
        </w:rPr>
      </w:pPr>
      <w:r w:rsidRPr="00DE63BA">
        <w:rPr>
          <w:szCs w:val="28"/>
        </w:rPr>
        <w:t xml:space="preserve">In light of the above, as submitted by the </w:t>
      </w:r>
      <w:r w:rsidR="0085661A">
        <w:rPr>
          <w:szCs w:val="28"/>
        </w:rPr>
        <w:t>P</w:t>
      </w:r>
      <w:r>
        <w:rPr>
          <w:szCs w:val="28"/>
        </w:rPr>
        <w:t>laintiff</w:t>
      </w:r>
      <w:r w:rsidR="00C25B18">
        <w:rPr>
          <w:szCs w:val="28"/>
        </w:rPr>
        <w:t xml:space="preserve">, </w:t>
      </w:r>
      <w:proofErr w:type="spellStart"/>
      <w:r w:rsidR="00C25B18">
        <w:rPr>
          <w:szCs w:val="28"/>
        </w:rPr>
        <w:t>BMak</w:t>
      </w:r>
      <w:proofErr w:type="spellEnd"/>
      <w:r w:rsidR="00C25B18">
        <w:rPr>
          <w:szCs w:val="28"/>
        </w:rPr>
        <w:t xml:space="preserve"> had started a</w:t>
      </w:r>
      <w:r w:rsidRPr="00DE63BA">
        <w:rPr>
          <w:szCs w:val="28"/>
        </w:rPr>
        <w:t xml:space="preserve"> preliminary investigation with a pre-action letter issued to CPCS </w:t>
      </w:r>
      <w:r w:rsidRPr="00DE63BA">
        <w:rPr>
          <w:szCs w:val="28"/>
        </w:rPr>
        <w:lastRenderedPageBreak/>
        <w:t xml:space="preserve">in January 2022.  By way of a letter dated 24 January 2022, </w:t>
      </w:r>
      <w:proofErr w:type="spellStart"/>
      <w:r w:rsidRPr="00DE63BA">
        <w:rPr>
          <w:szCs w:val="28"/>
        </w:rPr>
        <w:t>BMak</w:t>
      </w:r>
      <w:proofErr w:type="spellEnd"/>
      <w:r w:rsidRPr="00DE63BA">
        <w:rPr>
          <w:szCs w:val="28"/>
        </w:rPr>
        <w:t xml:space="preserve"> also informed the </w:t>
      </w:r>
      <w:r w:rsidR="00960A76">
        <w:rPr>
          <w:szCs w:val="28"/>
        </w:rPr>
        <w:t>C</w:t>
      </w:r>
      <w:r w:rsidRPr="00DE63BA">
        <w:rPr>
          <w:szCs w:val="28"/>
        </w:rPr>
        <w:t xml:space="preserve">ourt that first, a mediation conference with the </w:t>
      </w:r>
      <w:r w:rsidR="0085661A">
        <w:rPr>
          <w:szCs w:val="28"/>
        </w:rPr>
        <w:t>D</w:t>
      </w:r>
      <w:r>
        <w:rPr>
          <w:szCs w:val="28"/>
        </w:rPr>
        <w:t>efendant</w:t>
      </w:r>
      <w:r w:rsidRPr="00DE63BA">
        <w:rPr>
          <w:szCs w:val="28"/>
        </w:rPr>
        <w:t xml:space="preserve"> was held on 20 January 2022, and secondly the </w:t>
      </w:r>
      <w:r w:rsidR="0085661A">
        <w:rPr>
          <w:szCs w:val="28"/>
        </w:rPr>
        <w:t>P</w:t>
      </w:r>
      <w:r>
        <w:rPr>
          <w:szCs w:val="28"/>
        </w:rPr>
        <w:t>laintiff</w:t>
      </w:r>
      <w:r w:rsidRPr="00DE63BA">
        <w:rPr>
          <w:szCs w:val="28"/>
        </w:rPr>
        <w:t xml:space="preserve"> was considering to join CPCS as the 2</w:t>
      </w:r>
      <w:r w:rsidRPr="00DE63BA">
        <w:rPr>
          <w:szCs w:val="28"/>
          <w:vertAlign w:val="superscript"/>
        </w:rPr>
        <w:t>nd</w:t>
      </w:r>
      <w:r w:rsidRPr="00DE63BA">
        <w:rPr>
          <w:szCs w:val="28"/>
        </w:rPr>
        <w:t xml:space="preserve"> </w:t>
      </w:r>
      <w:r>
        <w:rPr>
          <w:szCs w:val="28"/>
        </w:rPr>
        <w:t>defendant</w:t>
      </w:r>
      <w:r w:rsidRPr="00DE63BA">
        <w:rPr>
          <w:szCs w:val="28"/>
        </w:rPr>
        <w:t xml:space="preserve"> in this case.  I thereby made directions, </w:t>
      </w:r>
      <w:r w:rsidRPr="00DE63BA">
        <w:rPr>
          <w:i/>
          <w:szCs w:val="28"/>
        </w:rPr>
        <w:t>inter alia</w:t>
      </w:r>
      <w:r w:rsidRPr="00DE63BA">
        <w:rPr>
          <w:szCs w:val="28"/>
        </w:rPr>
        <w:t xml:space="preserve">, that the </w:t>
      </w:r>
      <w:r w:rsidR="0085661A">
        <w:rPr>
          <w:szCs w:val="28"/>
        </w:rPr>
        <w:t>P</w:t>
      </w:r>
      <w:r>
        <w:rPr>
          <w:szCs w:val="28"/>
        </w:rPr>
        <w:t>laintiff</w:t>
      </w:r>
      <w:r w:rsidRPr="00DE63BA">
        <w:rPr>
          <w:szCs w:val="28"/>
        </w:rPr>
        <w:t xml:space="preserve"> do take out an application for joinder on or before 29 April 2022. </w:t>
      </w:r>
    </w:p>
    <w:p w:rsidR="00290836" w:rsidRPr="00DE63BA" w:rsidRDefault="00290836" w:rsidP="00290836">
      <w:pPr>
        <w:pStyle w:val="ListParagraph"/>
        <w:spacing w:line="360" w:lineRule="auto"/>
        <w:ind w:left="0"/>
        <w:jc w:val="both"/>
        <w:rPr>
          <w:szCs w:val="28"/>
        </w:rPr>
      </w:pPr>
    </w:p>
    <w:p w:rsidR="00DE63BA" w:rsidRPr="00DE63BA" w:rsidRDefault="00DE63BA" w:rsidP="00DE63BA">
      <w:pPr>
        <w:pStyle w:val="ListParagraph"/>
        <w:numPr>
          <w:ilvl w:val="0"/>
          <w:numId w:val="15"/>
        </w:numPr>
        <w:spacing w:line="360" w:lineRule="auto"/>
        <w:ind w:left="0" w:firstLine="0"/>
        <w:jc w:val="both"/>
        <w:rPr>
          <w:szCs w:val="28"/>
        </w:rPr>
      </w:pPr>
      <w:r w:rsidRPr="00DE63BA">
        <w:rPr>
          <w:szCs w:val="28"/>
        </w:rPr>
        <w:t xml:space="preserve">Under the circumstances elicited above, the </w:t>
      </w:r>
      <w:r w:rsidR="00D75250">
        <w:rPr>
          <w:szCs w:val="28"/>
        </w:rPr>
        <w:t>P</w:t>
      </w:r>
      <w:r>
        <w:rPr>
          <w:szCs w:val="28"/>
        </w:rPr>
        <w:t>laintiff</w:t>
      </w:r>
      <w:r w:rsidRPr="00DE63BA">
        <w:rPr>
          <w:szCs w:val="28"/>
        </w:rPr>
        <w:t xml:space="preserve"> took out the Joinder Summons on 29 April 2022 for leave to join CPCS as the 2</w:t>
      </w:r>
      <w:r w:rsidRPr="00DE63BA">
        <w:rPr>
          <w:szCs w:val="28"/>
          <w:vertAlign w:val="superscript"/>
        </w:rPr>
        <w:t>nd</w:t>
      </w:r>
      <w:r w:rsidRPr="00DE63BA">
        <w:rPr>
          <w:szCs w:val="28"/>
        </w:rPr>
        <w:t xml:space="preserve"> </w:t>
      </w:r>
      <w:r w:rsidR="00D75250">
        <w:rPr>
          <w:szCs w:val="28"/>
        </w:rPr>
        <w:t>D</w:t>
      </w:r>
      <w:r>
        <w:rPr>
          <w:szCs w:val="28"/>
        </w:rPr>
        <w:t>efendant</w:t>
      </w:r>
      <w:r w:rsidRPr="00DE63BA">
        <w:rPr>
          <w:szCs w:val="28"/>
        </w:rPr>
        <w:t>.</w:t>
      </w:r>
    </w:p>
    <w:p w:rsidR="00DE63BA" w:rsidRPr="00DE63BA" w:rsidRDefault="00DE63BA" w:rsidP="00DE63BA">
      <w:pPr>
        <w:spacing w:line="360" w:lineRule="auto"/>
        <w:jc w:val="both"/>
        <w:rPr>
          <w:szCs w:val="28"/>
        </w:rPr>
      </w:pPr>
    </w:p>
    <w:p w:rsidR="00DE63BA" w:rsidRDefault="00DE63BA" w:rsidP="00290836">
      <w:pPr>
        <w:pStyle w:val="ListParagraph"/>
        <w:spacing w:line="360" w:lineRule="auto"/>
        <w:ind w:left="0"/>
        <w:jc w:val="both"/>
        <w:rPr>
          <w:i/>
          <w:szCs w:val="28"/>
        </w:rPr>
      </w:pPr>
      <w:r w:rsidRPr="00DE63BA">
        <w:rPr>
          <w:i/>
          <w:szCs w:val="28"/>
        </w:rPr>
        <w:t>THE PLAINTIFF’S GROUNDS OF APPLICATION</w:t>
      </w:r>
    </w:p>
    <w:p w:rsidR="00290836" w:rsidRPr="00DE63BA" w:rsidRDefault="00290836" w:rsidP="00290836">
      <w:pPr>
        <w:pStyle w:val="ListParagraph"/>
        <w:spacing w:line="360" w:lineRule="auto"/>
        <w:ind w:left="0"/>
        <w:jc w:val="both"/>
        <w:rPr>
          <w:i/>
          <w:szCs w:val="28"/>
        </w:rPr>
      </w:pPr>
    </w:p>
    <w:p w:rsidR="00DE63BA" w:rsidRDefault="00DE63BA" w:rsidP="00DE63BA">
      <w:pPr>
        <w:pStyle w:val="ListParagraph"/>
        <w:numPr>
          <w:ilvl w:val="0"/>
          <w:numId w:val="15"/>
        </w:numPr>
        <w:spacing w:line="360" w:lineRule="auto"/>
        <w:ind w:left="0" w:firstLine="0"/>
        <w:jc w:val="both"/>
        <w:rPr>
          <w:szCs w:val="28"/>
        </w:rPr>
      </w:pPr>
      <w:r w:rsidRPr="00DE63BA">
        <w:rPr>
          <w:szCs w:val="28"/>
        </w:rPr>
        <w:t xml:space="preserve">The </w:t>
      </w:r>
      <w:r w:rsidR="00D75250">
        <w:rPr>
          <w:szCs w:val="28"/>
        </w:rPr>
        <w:t>P</w:t>
      </w:r>
      <w:r>
        <w:rPr>
          <w:szCs w:val="28"/>
        </w:rPr>
        <w:t>laintiff</w:t>
      </w:r>
      <w:r w:rsidRPr="00DE63BA">
        <w:rPr>
          <w:szCs w:val="28"/>
        </w:rPr>
        <w:t>’s grounds for her application are based on first, the limitation period under Section 27 of the Limitation Ordinance (Cap</w:t>
      </w:r>
      <w:r w:rsidR="00382EDF">
        <w:rPr>
          <w:szCs w:val="28"/>
        </w:rPr>
        <w:t>.</w:t>
      </w:r>
      <w:r w:rsidRPr="00DE63BA">
        <w:rPr>
          <w:szCs w:val="28"/>
        </w:rPr>
        <w:t xml:space="preserve"> 347) (“the LO”) had not expired when the Summons was taken out, or alternatively, the </w:t>
      </w:r>
      <w:r w:rsidR="000B2297">
        <w:rPr>
          <w:szCs w:val="28"/>
        </w:rPr>
        <w:t>C</w:t>
      </w:r>
      <w:r w:rsidRPr="00DE63BA">
        <w:rPr>
          <w:szCs w:val="28"/>
        </w:rPr>
        <w:t>ourt should exercise its discretion pursuant to s</w:t>
      </w:r>
      <w:r w:rsidR="00290836">
        <w:rPr>
          <w:szCs w:val="28"/>
        </w:rPr>
        <w:t xml:space="preserve"> </w:t>
      </w:r>
      <w:r w:rsidRPr="00DE63BA">
        <w:rPr>
          <w:szCs w:val="28"/>
        </w:rPr>
        <w:t xml:space="preserve">30 of the LO to </w:t>
      </w:r>
      <w:proofErr w:type="spellStart"/>
      <w:r w:rsidRPr="00DE63BA">
        <w:rPr>
          <w:szCs w:val="28"/>
        </w:rPr>
        <w:t>disapply</w:t>
      </w:r>
      <w:proofErr w:type="spellEnd"/>
      <w:r w:rsidRPr="00DE63BA">
        <w:rPr>
          <w:szCs w:val="28"/>
        </w:rPr>
        <w:t xml:space="preserve"> the limitation period.</w:t>
      </w:r>
    </w:p>
    <w:p w:rsidR="00290836" w:rsidRPr="00DE63BA" w:rsidRDefault="00290836" w:rsidP="00290836">
      <w:pPr>
        <w:pStyle w:val="ListParagraph"/>
        <w:spacing w:line="360" w:lineRule="auto"/>
        <w:ind w:left="0"/>
        <w:jc w:val="both"/>
        <w:rPr>
          <w:szCs w:val="28"/>
        </w:rPr>
      </w:pPr>
    </w:p>
    <w:p w:rsidR="00DE63BA" w:rsidRDefault="00DE63BA" w:rsidP="00DE63BA">
      <w:pPr>
        <w:pStyle w:val="ListParagraph"/>
        <w:numPr>
          <w:ilvl w:val="0"/>
          <w:numId w:val="15"/>
        </w:numPr>
        <w:spacing w:line="360" w:lineRule="auto"/>
        <w:ind w:left="0" w:firstLine="0"/>
        <w:jc w:val="both"/>
        <w:rPr>
          <w:szCs w:val="28"/>
        </w:rPr>
      </w:pPr>
      <w:r w:rsidRPr="00DE63BA">
        <w:rPr>
          <w:szCs w:val="28"/>
        </w:rPr>
        <w:t xml:space="preserve">For the purpose of this application, the </w:t>
      </w:r>
      <w:r w:rsidR="006631AB">
        <w:rPr>
          <w:szCs w:val="28"/>
        </w:rPr>
        <w:t>P</w:t>
      </w:r>
      <w:r>
        <w:rPr>
          <w:szCs w:val="28"/>
        </w:rPr>
        <w:t>laintiff</w:t>
      </w:r>
      <w:r w:rsidRPr="00DE63BA">
        <w:rPr>
          <w:szCs w:val="28"/>
        </w:rPr>
        <w:t xml:space="preserve"> filed two Affirmations which can be summarized as </w:t>
      </w:r>
      <w:proofErr w:type="gramStart"/>
      <w:r w:rsidRPr="00DE63BA">
        <w:rPr>
          <w:szCs w:val="28"/>
        </w:rPr>
        <w:t>follows:</w:t>
      </w:r>
      <w:r w:rsidR="00290836">
        <w:rPr>
          <w:szCs w:val="28"/>
        </w:rPr>
        <w:t>-</w:t>
      </w:r>
      <w:proofErr w:type="gramEnd"/>
    </w:p>
    <w:p w:rsidR="00290836" w:rsidRPr="00DE63BA" w:rsidRDefault="00290836" w:rsidP="00290836">
      <w:pPr>
        <w:pStyle w:val="ListParagraph"/>
        <w:spacing w:line="360" w:lineRule="auto"/>
        <w:ind w:left="0"/>
        <w:jc w:val="both"/>
        <w:rPr>
          <w:szCs w:val="28"/>
        </w:rPr>
      </w:pPr>
    </w:p>
    <w:p w:rsidR="00DE63BA" w:rsidRDefault="00DE63BA" w:rsidP="00290836">
      <w:pPr>
        <w:pStyle w:val="ListParagraph"/>
        <w:numPr>
          <w:ilvl w:val="0"/>
          <w:numId w:val="16"/>
        </w:numPr>
        <w:spacing w:line="360" w:lineRule="auto"/>
        <w:ind w:left="2160" w:hanging="720"/>
        <w:jc w:val="both"/>
        <w:rPr>
          <w:szCs w:val="28"/>
        </w:rPr>
      </w:pPr>
      <w:r w:rsidRPr="00DE63BA">
        <w:rPr>
          <w:szCs w:val="28"/>
        </w:rPr>
        <w:t xml:space="preserve">The </w:t>
      </w:r>
      <w:r w:rsidR="006631AB">
        <w:rPr>
          <w:szCs w:val="28"/>
        </w:rPr>
        <w:t>D</w:t>
      </w:r>
      <w:r>
        <w:rPr>
          <w:szCs w:val="28"/>
        </w:rPr>
        <w:t>efendant</w:t>
      </w:r>
      <w:r w:rsidRPr="00DE63BA">
        <w:rPr>
          <w:szCs w:val="28"/>
        </w:rPr>
        <w:t xml:space="preserve"> remained silence as to the identity of the owner of the Minibus and employer of the Driver throughout the proceedings;</w:t>
      </w:r>
    </w:p>
    <w:p w:rsidR="00290836" w:rsidRPr="00DE63BA" w:rsidRDefault="00290836" w:rsidP="00290836">
      <w:pPr>
        <w:pStyle w:val="ListParagraph"/>
        <w:spacing w:line="360" w:lineRule="auto"/>
        <w:ind w:left="2160"/>
        <w:jc w:val="both"/>
        <w:rPr>
          <w:szCs w:val="28"/>
        </w:rPr>
      </w:pPr>
    </w:p>
    <w:p w:rsidR="00DE63BA" w:rsidRDefault="00DE63BA" w:rsidP="00290836">
      <w:pPr>
        <w:pStyle w:val="ListParagraph"/>
        <w:numPr>
          <w:ilvl w:val="0"/>
          <w:numId w:val="16"/>
        </w:numPr>
        <w:spacing w:line="360" w:lineRule="auto"/>
        <w:ind w:left="2160" w:hanging="720"/>
        <w:jc w:val="both"/>
        <w:rPr>
          <w:szCs w:val="28"/>
        </w:rPr>
      </w:pPr>
      <w:r w:rsidRPr="00DE63BA">
        <w:rPr>
          <w:szCs w:val="28"/>
        </w:rPr>
        <w:t xml:space="preserve">The </w:t>
      </w:r>
      <w:r w:rsidR="006631AB">
        <w:rPr>
          <w:szCs w:val="28"/>
        </w:rPr>
        <w:t>P</w:t>
      </w:r>
      <w:r>
        <w:rPr>
          <w:szCs w:val="28"/>
        </w:rPr>
        <w:t>laintiff</w:t>
      </w:r>
      <w:r w:rsidRPr="00DE63BA">
        <w:rPr>
          <w:szCs w:val="28"/>
        </w:rPr>
        <w:t xml:space="preserve"> had no and could not have any actual or imputed knowledge as to the owner and employer of </w:t>
      </w:r>
      <w:r w:rsidRPr="00DE63BA">
        <w:rPr>
          <w:szCs w:val="28"/>
        </w:rPr>
        <w:lastRenderedPageBreak/>
        <w:t>the Minibus and Driver until such information was disclosed in the Deacon’s Letter Apr</w:t>
      </w:r>
      <w:r w:rsidR="003A5E52">
        <w:rPr>
          <w:szCs w:val="28"/>
        </w:rPr>
        <w:t>il</w:t>
      </w:r>
      <w:r w:rsidRPr="00DE63BA">
        <w:rPr>
          <w:szCs w:val="28"/>
        </w:rPr>
        <w:t xml:space="preserve"> 2021;</w:t>
      </w:r>
    </w:p>
    <w:p w:rsidR="00290836" w:rsidRPr="00290836" w:rsidRDefault="00290836" w:rsidP="00290836">
      <w:pPr>
        <w:spacing w:line="360" w:lineRule="auto"/>
        <w:jc w:val="both"/>
        <w:rPr>
          <w:szCs w:val="28"/>
        </w:rPr>
      </w:pPr>
    </w:p>
    <w:p w:rsidR="00DE63BA" w:rsidRDefault="00DE63BA" w:rsidP="00290836">
      <w:pPr>
        <w:pStyle w:val="ListParagraph"/>
        <w:numPr>
          <w:ilvl w:val="0"/>
          <w:numId w:val="16"/>
        </w:numPr>
        <w:spacing w:line="360" w:lineRule="auto"/>
        <w:ind w:left="2160" w:hanging="720"/>
        <w:jc w:val="both"/>
        <w:rPr>
          <w:szCs w:val="28"/>
        </w:rPr>
      </w:pPr>
      <w:r w:rsidRPr="00DE63BA">
        <w:rPr>
          <w:szCs w:val="28"/>
        </w:rPr>
        <w:t xml:space="preserve">CPCS’s ability to conduct the </w:t>
      </w:r>
      <w:proofErr w:type="spellStart"/>
      <w:r w:rsidRPr="00DE63BA">
        <w:rPr>
          <w:szCs w:val="28"/>
        </w:rPr>
        <w:t>Defence</w:t>
      </w:r>
      <w:proofErr w:type="spellEnd"/>
      <w:r w:rsidRPr="00DE63BA">
        <w:rPr>
          <w:szCs w:val="28"/>
        </w:rPr>
        <w:t xml:space="preserve"> would not be prejudiced if they are to be joined at this stage;</w:t>
      </w:r>
    </w:p>
    <w:p w:rsidR="00290836" w:rsidRPr="00290836" w:rsidRDefault="00290836" w:rsidP="00290836">
      <w:pPr>
        <w:spacing w:line="360" w:lineRule="auto"/>
        <w:jc w:val="both"/>
        <w:rPr>
          <w:szCs w:val="28"/>
        </w:rPr>
      </w:pPr>
    </w:p>
    <w:p w:rsidR="00DE63BA" w:rsidRPr="00DE63BA" w:rsidRDefault="00DE63BA" w:rsidP="00290836">
      <w:pPr>
        <w:pStyle w:val="ListParagraph"/>
        <w:numPr>
          <w:ilvl w:val="0"/>
          <w:numId w:val="16"/>
        </w:numPr>
        <w:spacing w:line="360" w:lineRule="auto"/>
        <w:ind w:left="2160" w:hanging="720"/>
        <w:jc w:val="both"/>
        <w:rPr>
          <w:szCs w:val="28"/>
        </w:rPr>
      </w:pPr>
      <w:r w:rsidRPr="00DE63BA">
        <w:rPr>
          <w:szCs w:val="28"/>
        </w:rPr>
        <w:t xml:space="preserve">The </w:t>
      </w:r>
      <w:r w:rsidR="00D80E34">
        <w:rPr>
          <w:szCs w:val="28"/>
        </w:rPr>
        <w:t>P</w:t>
      </w:r>
      <w:r>
        <w:rPr>
          <w:szCs w:val="28"/>
        </w:rPr>
        <w:t>laintiff</w:t>
      </w:r>
      <w:r w:rsidRPr="00DE63BA">
        <w:rPr>
          <w:szCs w:val="28"/>
        </w:rPr>
        <w:t xml:space="preserve"> would suffer more prejudicial effect if she is to be denied adding CPCS.</w:t>
      </w:r>
    </w:p>
    <w:p w:rsidR="00DE63BA" w:rsidRPr="00DE63BA" w:rsidRDefault="00DE63BA" w:rsidP="00DE63BA">
      <w:pPr>
        <w:spacing w:line="360" w:lineRule="auto"/>
        <w:jc w:val="both"/>
        <w:rPr>
          <w:szCs w:val="28"/>
        </w:rPr>
      </w:pPr>
    </w:p>
    <w:p w:rsidR="00DE63BA" w:rsidRDefault="00DE63BA" w:rsidP="00290836">
      <w:pPr>
        <w:pStyle w:val="ListParagraph"/>
        <w:spacing w:line="360" w:lineRule="auto"/>
        <w:ind w:left="0"/>
        <w:jc w:val="both"/>
        <w:rPr>
          <w:i/>
          <w:szCs w:val="28"/>
        </w:rPr>
      </w:pPr>
      <w:r w:rsidRPr="00DE63BA">
        <w:rPr>
          <w:i/>
          <w:szCs w:val="28"/>
        </w:rPr>
        <w:t>CPCS’ GROUNDS OF OBJECTION</w:t>
      </w:r>
    </w:p>
    <w:p w:rsidR="00290836" w:rsidRPr="00DE63BA" w:rsidRDefault="00290836" w:rsidP="00290836">
      <w:pPr>
        <w:pStyle w:val="ListParagraph"/>
        <w:spacing w:line="360" w:lineRule="auto"/>
        <w:ind w:left="0"/>
        <w:jc w:val="both"/>
        <w:rPr>
          <w:i/>
          <w:szCs w:val="28"/>
        </w:rPr>
      </w:pPr>
    </w:p>
    <w:p w:rsidR="00DE63BA" w:rsidRDefault="00DE63BA" w:rsidP="00DE63BA">
      <w:pPr>
        <w:pStyle w:val="ListParagraph"/>
        <w:numPr>
          <w:ilvl w:val="0"/>
          <w:numId w:val="15"/>
        </w:numPr>
        <w:spacing w:line="360" w:lineRule="auto"/>
        <w:ind w:left="0" w:firstLine="0"/>
        <w:jc w:val="both"/>
        <w:rPr>
          <w:szCs w:val="28"/>
        </w:rPr>
      </w:pPr>
      <w:r w:rsidRPr="00DE63BA">
        <w:rPr>
          <w:szCs w:val="28"/>
        </w:rPr>
        <w:t xml:space="preserve">It is contended by the CPCS that the </w:t>
      </w:r>
      <w:r w:rsidR="00D80E34">
        <w:rPr>
          <w:szCs w:val="28"/>
        </w:rPr>
        <w:t>P</w:t>
      </w:r>
      <w:r>
        <w:rPr>
          <w:szCs w:val="28"/>
        </w:rPr>
        <w:t>laintiff</w:t>
      </w:r>
      <w:r w:rsidRPr="00DE63BA">
        <w:rPr>
          <w:szCs w:val="28"/>
        </w:rPr>
        <w:t xml:space="preserve"> ought to have actual or constructive knowledge of the identity of CPCS being the owner and employer of the Minibus and driver right from the time of the Accident. </w:t>
      </w:r>
      <w:r w:rsidR="00290836">
        <w:rPr>
          <w:szCs w:val="28"/>
        </w:rPr>
        <w:t xml:space="preserve"> </w:t>
      </w:r>
      <w:r w:rsidRPr="00DE63BA">
        <w:rPr>
          <w:szCs w:val="28"/>
        </w:rPr>
        <w:t xml:space="preserve">As such the secondary limitation period should not be started to run, as suggested by the </w:t>
      </w:r>
      <w:r w:rsidR="008048B1">
        <w:rPr>
          <w:szCs w:val="28"/>
        </w:rPr>
        <w:t>P</w:t>
      </w:r>
      <w:r>
        <w:rPr>
          <w:szCs w:val="28"/>
        </w:rPr>
        <w:t>laintiff</w:t>
      </w:r>
      <w:r w:rsidRPr="00DE63BA">
        <w:rPr>
          <w:szCs w:val="28"/>
        </w:rPr>
        <w:t>, on the date when her solicitors received the Deacon’s Letter Apr</w:t>
      </w:r>
      <w:r w:rsidR="003A5E52">
        <w:rPr>
          <w:szCs w:val="28"/>
        </w:rPr>
        <w:t>il</w:t>
      </w:r>
      <w:r w:rsidRPr="00DE63BA">
        <w:rPr>
          <w:szCs w:val="28"/>
        </w:rPr>
        <w:t xml:space="preserve"> 2021.  </w:t>
      </w:r>
    </w:p>
    <w:p w:rsidR="00290836" w:rsidRPr="00DE63BA" w:rsidRDefault="00290836" w:rsidP="00290836">
      <w:pPr>
        <w:pStyle w:val="ListParagraph"/>
        <w:spacing w:line="360" w:lineRule="auto"/>
        <w:ind w:left="0"/>
        <w:jc w:val="both"/>
        <w:rPr>
          <w:szCs w:val="28"/>
        </w:rPr>
      </w:pPr>
    </w:p>
    <w:p w:rsidR="00DE63BA" w:rsidRDefault="00DE63BA" w:rsidP="00DE63BA">
      <w:pPr>
        <w:pStyle w:val="ListParagraph"/>
        <w:numPr>
          <w:ilvl w:val="0"/>
          <w:numId w:val="15"/>
        </w:numPr>
        <w:spacing w:line="360" w:lineRule="auto"/>
        <w:ind w:left="0" w:firstLine="0"/>
        <w:jc w:val="both"/>
        <w:rPr>
          <w:szCs w:val="28"/>
        </w:rPr>
      </w:pPr>
      <w:r w:rsidRPr="00DE63BA">
        <w:rPr>
          <w:szCs w:val="28"/>
        </w:rPr>
        <w:t xml:space="preserve">CPCS also resisted the </w:t>
      </w:r>
      <w:r w:rsidR="008048B1">
        <w:rPr>
          <w:szCs w:val="28"/>
        </w:rPr>
        <w:t>P</w:t>
      </w:r>
      <w:r>
        <w:rPr>
          <w:szCs w:val="28"/>
        </w:rPr>
        <w:t>laintiff</w:t>
      </w:r>
      <w:r w:rsidRPr="00DE63BA">
        <w:rPr>
          <w:szCs w:val="28"/>
        </w:rPr>
        <w:t xml:space="preserve">’s suggestion that the </w:t>
      </w:r>
      <w:r w:rsidR="000B2297">
        <w:rPr>
          <w:szCs w:val="28"/>
        </w:rPr>
        <w:t>C</w:t>
      </w:r>
      <w:r w:rsidRPr="00DE63BA">
        <w:rPr>
          <w:szCs w:val="28"/>
        </w:rPr>
        <w:t xml:space="preserve">ourt could use its discretion to </w:t>
      </w:r>
      <w:proofErr w:type="spellStart"/>
      <w:r w:rsidRPr="00DE63BA">
        <w:rPr>
          <w:szCs w:val="28"/>
        </w:rPr>
        <w:t>disapply</w:t>
      </w:r>
      <w:proofErr w:type="spellEnd"/>
      <w:r w:rsidRPr="00DE63BA">
        <w:rPr>
          <w:szCs w:val="28"/>
        </w:rPr>
        <w:t xml:space="preserve"> time limits under section 30 of the LO as there could be no credible explanation for the </w:t>
      </w:r>
      <w:r w:rsidR="008048B1">
        <w:rPr>
          <w:szCs w:val="28"/>
        </w:rPr>
        <w:t>P</w:t>
      </w:r>
      <w:r>
        <w:rPr>
          <w:szCs w:val="28"/>
        </w:rPr>
        <w:t>laintiff</w:t>
      </w:r>
      <w:r w:rsidRPr="00DE63BA">
        <w:rPr>
          <w:szCs w:val="28"/>
        </w:rPr>
        <w:t xml:space="preserve">’s delay in joining CPCS and the </w:t>
      </w:r>
      <w:r>
        <w:rPr>
          <w:szCs w:val="28"/>
        </w:rPr>
        <w:t>plaintiff</w:t>
      </w:r>
      <w:r w:rsidRPr="00DE63BA">
        <w:rPr>
          <w:szCs w:val="28"/>
        </w:rPr>
        <w:t xml:space="preserve">, in any event, does not have any real prospect of success against the CPCS under common law.    </w:t>
      </w:r>
    </w:p>
    <w:p w:rsidR="00290836" w:rsidRPr="00DE63BA" w:rsidRDefault="00290836" w:rsidP="00290836">
      <w:pPr>
        <w:pStyle w:val="ListParagraph"/>
        <w:spacing w:line="360" w:lineRule="auto"/>
        <w:ind w:left="0"/>
        <w:jc w:val="both"/>
        <w:rPr>
          <w:szCs w:val="28"/>
        </w:rPr>
      </w:pPr>
    </w:p>
    <w:p w:rsidR="00DE63BA" w:rsidRDefault="00DE63BA" w:rsidP="00DE63BA">
      <w:pPr>
        <w:pStyle w:val="ListParagraph"/>
        <w:numPr>
          <w:ilvl w:val="0"/>
          <w:numId w:val="15"/>
        </w:numPr>
        <w:spacing w:line="360" w:lineRule="auto"/>
        <w:ind w:left="0" w:firstLine="0"/>
        <w:jc w:val="both"/>
        <w:rPr>
          <w:szCs w:val="28"/>
        </w:rPr>
      </w:pPr>
      <w:r w:rsidRPr="00DE63BA">
        <w:rPr>
          <w:szCs w:val="28"/>
        </w:rPr>
        <w:t xml:space="preserve">An affirmation of Edwin </w:t>
      </w:r>
      <w:proofErr w:type="spellStart"/>
      <w:r w:rsidRPr="00DE63BA">
        <w:rPr>
          <w:szCs w:val="28"/>
        </w:rPr>
        <w:t>Chim</w:t>
      </w:r>
      <w:proofErr w:type="spellEnd"/>
      <w:r w:rsidRPr="00DE63BA">
        <w:rPr>
          <w:szCs w:val="28"/>
        </w:rPr>
        <w:t xml:space="preserve"> (“</w:t>
      </w:r>
      <w:proofErr w:type="spellStart"/>
      <w:r w:rsidRPr="00DE63BA">
        <w:rPr>
          <w:szCs w:val="28"/>
        </w:rPr>
        <w:t>Mr</w:t>
      </w:r>
      <w:proofErr w:type="spellEnd"/>
      <w:r w:rsidRPr="00DE63BA">
        <w:rPr>
          <w:szCs w:val="28"/>
        </w:rPr>
        <w:t xml:space="preserve"> </w:t>
      </w:r>
      <w:proofErr w:type="spellStart"/>
      <w:r w:rsidRPr="00DE63BA">
        <w:rPr>
          <w:szCs w:val="28"/>
        </w:rPr>
        <w:t>Chim</w:t>
      </w:r>
      <w:proofErr w:type="spellEnd"/>
      <w:r w:rsidRPr="00DE63BA">
        <w:rPr>
          <w:szCs w:val="28"/>
        </w:rPr>
        <w:t xml:space="preserve">”) who is the financial controller of the CPCS was filed on 22 June 2022 in support of the CPCS’s opposition.  He gave a detailed account of the </w:t>
      </w:r>
      <w:r w:rsidR="008048B1">
        <w:rPr>
          <w:szCs w:val="28"/>
        </w:rPr>
        <w:t>P</w:t>
      </w:r>
      <w:r>
        <w:rPr>
          <w:szCs w:val="28"/>
        </w:rPr>
        <w:t>laintiff</w:t>
      </w:r>
      <w:r w:rsidRPr="00DE63BA">
        <w:rPr>
          <w:szCs w:val="28"/>
        </w:rPr>
        <w:t xml:space="preserve">’s work arrangement at the airport and CPCS building (with photos attached), the </w:t>
      </w:r>
      <w:r w:rsidRPr="00DE63BA">
        <w:rPr>
          <w:szCs w:val="28"/>
        </w:rPr>
        <w:lastRenderedPageBreak/>
        <w:t xml:space="preserve">operation of all CPCS minibuses that are assigned to pick up </w:t>
      </w:r>
      <w:r>
        <w:rPr>
          <w:szCs w:val="28"/>
        </w:rPr>
        <w:t>plaintiff</w:t>
      </w:r>
      <w:r w:rsidRPr="00DE63BA">
        <w:rPr>
          <w:szCs w:val="28"/>
        </w:rPr>
        <w:t xml:space="preserve"> and other service attendants, as well as some background information of the Driver who was retired in 2019.  </w:t>
      </w:r>
    </w:p>
    <w:p w:rsidR="00290836" w:rsidRPr="00DE63BA" w:rsidRDefault="00290836" w:rsidP="00290836">
      <w:pPr>
        <w:pStyle w:val="ListParagraph"/>
        <w:spacing w:line="360" w:lineRule="auto"/>
        <w:ind w:left="0"/>
        <w:jc w:val="both"/>
        <w:rPr>
          <w:szCs w:val="28"/>
        </w:rPr>
      </w:pPr>
    </w:p>
    <w:p w:rsidR="00DE63BA" w:rsidRPr="00DE63BA" w:rsidRDefault="00DE63BA" w:rsidP="00DE63BA">
      <w:pPr>
        <w:pStyle w:val="ListParagraph"/>
        <w:numPr>
          <w:ilvl w:val="0"/>
          <w:numId w:val="15"/>
        </w:numPr>
        <w:spacing w:line="360" w:lineRule="auto"/>
        <w:ind w:left="0" w:firstLine="0"/>
        <w:jc w:val="both"/>
        <w:rPr>
          <w:szCs w:val="28"/>
        </w:rPr>
      </w:pPr>
      <w:r w:rsidRPr="00DE63BA">
        <w:rPr>
          <w:szCs w:val="28"/>
        </w:rPr>
        <w:t xml:space="preserve">The credibility and the weight be given to both </w:t>
      </w:r>
      <w:r w:rsidR="008048B1">
        <w:rPr>
          <w:szCs w:val="28"/>
        </w:rPr>
        <w:t>t</w:t>
      </w:r>
      <w:r w:rsidR="007B4362">
        <w:rPr>
          <w:szCs w:val="28"/>
        </w:rPr>
        <w:t>he P</w:t>
      </w:r>
      <w:r>
        <w:rPr>
          <w:szCs w:val="28"/>
        </w:rPr>
        <w:t>laintiff</w:t>
      </w:r>
      <w:r w:rsidRPr="00DE63BA">
        <w:rPr>
          <w:szCs w:val="28"/>
        </w:rPr>
        <w:t xml:space="preserve"> and </w:t>
      </w:r>
      <w:r w:rsidR="007B4362">
        <w:rPr>
          <w:szCs w:val="28"/>
        </w:rPr>
        <w:t>the D</w:t>
      </w:r>
      <w:r>
        <w:rPr>
          <w:szCs w:val="28"/>
        </w:rPr>
        <w:t>efendant</w:t>
      </w:r>
      <w:r w:rsidRPr="00DE63BA">
        <w:rPr>
          <w:szCs w:val="28"/>
        </w:rPr>
        <w:t>’s evidence would be discussed in the forthcoming paragraphs.</w:t>
      </w:r>
    </w:p>
    <w:p w:rsidR="00DE63BA" w:rsidRPr="00DE63BA" w:rsidRDefault="00DE63BA" w:rsidP="00DE63BA">
      <w:pPr>
        <w:spacing w:line="360" w:lineRule="auto"/>
        <w:jc w:val="both"/>
        <w:rPr>
          <w:szCs w:val="28"/>
        </w:rPr>
      </w:pPr>
    </w:p>
    <w:p w:rsidR="00DE63BA" w:rsidRDefault="00DE63BA" w:rsidP="00290836">
      <w:pPr>
        <w:pStyle w:val="ListParagraph"/>
        <w:spacing w:line="360" w:lineRule="auto"/>
        <w:ind w:left="0"/>
        <w:jc w:val="both"/>
        <w:rPr>
          <w:i/>
          <w:szCs w:val="28"/>
        </w:rPr>
      </w:pPr>
      <w:r w:rsidRPr="00DE63BA">
        <w:rPr>
          <w:i/>
          <w:szCs w:val="28"/>
        </w:rPr>
        <w:t xml:space="preserve">APPLICABLE PRINCIPLES AND LIST OF ISSUES </w:t>
      </w:r>
    </w:p>
    <w:p w:rsidR="00290836" w:rsidRPr="00DE63BA" w:rsidRDefault="00290836" w:rsidP="00290836">
      <w:pPr>
        <w:pStyle w:val="ListParagraph"/>
        <w:spacing w:line="360" w:lineRule="auto"/>
        <w:ind w:left="0"/>
        <w:jc w:val="both"/>
        <w:rPr>
          <w:i/>
          <w:szCs w:val="28"/>
        </w:rPr>
      </w:pPr>
    </w:p>
    <w:p w:rsidR="00DE63BA" w:rsidRDefault="00DE63BA" w:rsidP="00DE63BA">
      <w:pPr>
        <w:pStyle w:val="ListParagraph"/>
        <w:numPr>
          <w:ilvl w:val="0"/>
          <w:numId w:val="15"/>
        </w:numPr>
        <w:spacing w:line="360" w:lineRule="auto"/>
        <w:ind w:left="0" w:firstLine="0"/>
        <w:jc w:val="both"/>
        <w:rPr>
          <w:szCs w:val="28"/>
        </w:rPr>
      </w:pPr>
      <w:r w:rsidRPr="00DE63BA">
        <w:rPr>
          <w:szCs w:val="28"/>
        </w:rPr>
        <w:t>Section 27(3) &amp; (4) of the LO provides that subject to section 30, an action for</w:t>
      </w:r>
      <w:r w:rsidR="00290836">
        <w:rPr>
          <w:szCs w:val="28"/>
        </w:rPr>
        <w:t xml:space="preserve"> </w:t>
      </w:r>
      <w:r w:rsidRPr="00DE63BA">
        <w:rPr>
          <w:szCs w:val="28"/>
        </w:rPr>
        <w:t>personal</w:t>
      </w:r>
      <w:r w:rsidR="00290836">
        <w:rPr>
          <w:szCs w:val="28"/>
        </w:rPr>
        <w:t xml:space="preserve"> </w:t>
      </w:r>
      <w:r w:rsidRPr="00DE63BA">
        <w:rPr>
          <w:szCs w:val="28"/>
        </w:rPr>
        <w:t>injuries</w:t>
      </w:r>
      <w:r w:rsidR="00290836">
        <w:rPr>
          <w:szCs w:val="28"/>
        </w:rPr>
        <w:t xml:space="preserve"> </w:t>
      </w:r>
      <w:r w:rsidRPr="00DE63BA">
        <w:rPr>
          <w:szCs w:val="28"/>
        </w:rPr>
        <w:t>claim should not be brought after the period of 3 years from (a) the date on which the cause of action accrued; or (b) the date (if later) of the plaintiff’s</w:t>
      </w:r>
      <w:r w:rsidR="00290836">
        <w:rPr>
          <w:szCs w:val="28"/>
        </w:rPr>
        <w:t xml:space="preserve"> </w:t>
      </w:r>
      <w:r w:rsidRPr="00DE63BA">
        <w:rPr>
          <w:szCs w:val="28"/>
        </w:rPr>
        <w:t>knowledge.</w:t>
      </w:r>
    </w:p>
    <w:p w:rsidR="00290836" w:rsidRPr="00DE63BA" w:rsidRDefault="00290836" w:rsidP="00290836">
      <w:pPr>
        <w:pStyle w:val="ListParagraph"/>
        <w:spacing w:line="360" w:lineRule="auto"/>
        <w:ind w:left="0"/>
        <w:jc w:val="both"/>
        <w:rPr>
          <w:szCs w:val="28"/>
        </w:rPr>
      </w:pPr>
    </w:p>
    <w:p w:rsidR="00DE63BA" w:rsidRDefault="00DE63BA" w:rsidP="00DE63BA">
      <w:pPr>
        <w:pStyle w:val="ListParagraph"/>
        <w:numPr>
          <w:ilvl w:val="0"/>
          <w:numId w:val="15"/>
        </w:numPr>
        <w:spacing w:line="360" w:lineRule="auto"/>
        <w:ind w:left="0" w:firstLine="0"/>
        <w:jc w:val="both"/>
        <w:rPr>
          <w:szCs w:val="28"/>
        </w:rPr>
      </w:pPr>
      <w:r w:rsidRPr="00DE63BA">
        <w:rPr>
          <w:szCs w:val="28"/>
        </w:rPr>
        <w:t xml:space="preserve">Such ‘date’ of knowledge is defined in section 27(6) and could be date on which the plaintiff first had knowledge of, </w:t>
      </w:r>
      <w:r w:rsidRPr="00DE63BA">
        <w:rPr>
          <w:i/>
          <w:szCs w:val="28"/>
        </w:rPr>
        <w:t xml:space="preserve">inter </w:t>
      </w:r>
      <w:r w:rsidRPr="00DE63BA">
        <w:rPr>
          <w:szCs w:val="28"/>
        </w:rPr>
        <w:t>alia, the identity of the defendant.  As to the ‘knowledge’ of the plaintiff, section 27(8) provides that a person’s knowledge includes knowledge which he might reasonably have been expected to acquire (a) from facts observable or ascertainable by him; or (b) from facts ascertainable by him with the help of medical or other appropriate expert advice which it is reasonable for him to seek.</w:t>
      </w:r>
    </w:p>
    <w:p w:rsidR="00290836" w:rsidRPr="00DE63BA" w:rsidRDefault="00290836" w:rsidP="00290836">
      <w:pPr>
        <w:pStyle w:val="ListParagraph"/>
        <w:spacing w:line="360" w:lineRule="auto"/>
        <w:ind w:left="0"/>
        <w:jc w:val="both"/>
        <w:rPr>
          <w:szCs w:val="28"/>
        </w:rPr>
      </w:pPr>
    </w:p>
    <w:p w:rsidR="00DE63BA" w:rsidRDefault="00DE63BA" w:rsidP="00DE63BA">
      <w:pPr>
        <w:pStyle w:val="ListParagraph"/>
        <w:numPr>
          <w:ilvl w:val="0"/>
          <w:numId w:val="15"/>
        </w:numPr>
        <w:spacing w:line="360" w:lineRule="auto"/>
        <w:ind w:left="0" w:firstLine="0"/>
        <w:jc w:val="both"/>
        <w:rPr>
          <w:szCs w:val="28"/>
        </w:rPr>
      </w:pPr>
      <w:r w:rsidRPr="00DE63BA">
        <w:rPr>
          <w:szCs w:val="28"/>
        </w:rPr>
        <w:t xml:space="preserve">In the event that the </w:t>
      </w:r>
      <w:r w:rsidR="00F946C4">
        <w:rPr>
          <w:szCs w:val="28"/>
        </w:rPr>
        <w:t>C</w:t>
      </w:r>
      <w:r w:rsidRPr="00DE63BA">
        <w:rPr>
          <w:szCs w:val="28"/>
        </w:rPr>
        <w:t xml:space="preserve">ourt decides that the </w:t>
      </w:r>
      <w:r w:rsidR="0053500D">
        <w:rPr>
          <w:szCs w:val="28"/>
        </w:rPr>
        <w:t>P</w:t>
      </w:r>
      <w:r>
        <w:rPr>
          <w:szCs w:val="28"/>
        </w:rPr>
        <w:t>laintiff</w:t>
      </w:r>
      <w:r w:rsidRPr="00DE63BA">
        <w:rPr>
          <w:szCs w:val="28"/>
        </w:rPr>
        <w:t xml:space="preserve">’s claim been time-barred under both the primary and secondary limitation period in section 27(4), the </w:t>
      </w:r>
      <w:r w:rsidR="00F946C4">
        <w:rPr>
          <w:szCs w:val="28"/>
        </w:rPr>
        <w:t>C</w:t>
      </w:r>
      <w:r w:rsidRPr="00DE63BA">
        <w:rPr>
          <w:szCs w:val="28"/>
        </w:rPr>
        <w:t xml:space="preserve">ourt is tasked to consider whether such time-barred </w:t>
      </w:r>
      <w:r w:rsidRPr="00DE63BA">
        <w:rPr>
          <w:szCs w:val="28"/>
        </w:rPr>
        <w:lastRenderedPageBreak/>
        <w:t xml:space="preserve">claim should be allowed to proceed under section 30(1) of the LO, which provides as </w:t>
      </w:r>
      <w:proofErr w:type="gramStart"/>
      <w:r w:rsidRPr="00DE63BA">
        <w:rPr>
          <w:szCs w:val="28"/>
        </w:rPr>
        <w:t>follows:-</w:t>
      </w:r>
      <w:proofErr w:type="gramEnd"/>
    </w:p>
    <w:p w:rsidR="00290836" w:rsidRPr="00DE63BA" w:rsidRDefault="00290836" w:rsidP="00290836">
      <w:pPr>
        <w:pStyle w:val="ListParagraph"/>
        <w:spacing w:line="360" w:lineRule="auto"/>
        <w:ind w:left="0"/>
        <w:jc w:val="both"/>
        <w:rPr>
          <w:szCs w:val="28"/>
        </w:rPr>
      </w:pPr>
    </w:p>
    <w:p w:rsidR="00DE63BA" w:rsidRDefault="00DE63BA" w:rsidP="00F946C4">
      <w:pPr>
        <w:pStyle w:val="ListParagraph"/>
        <w:tabs>
          <w:tab w:val="left" w:pos="2160"/>
        </w:tabs>
        <w:ind w:left="1440" w:right="746"/>
        <w:jc w:val="both"/>
        <w:rPr>
          <w:sz w:val="24"/>
          <w:szCs w:val="24"/>
        </w:rPr>
      </w:pPr>
      <w:r w:rsidRPr="00290836">
        <w:rPr>
          <w:sz w:val="24"/>
          <w:szCs w:val="24"/>
        </w:rPr>
        <w:t>“If it appears to the court that it would be equitable to allow an action to proceed having regard to the degree to which: -</w:t>
      </w:r>
    </w:p>
    <w:p w:rsidR="00F946C4" w:rsidRPr="00290836" w:rsidRDefault="00F946C4" w:rsidP="00F946C4">
      <w:pPr>
        <w:pStyle w:val="ListParagraph"/>
        <w:tabs>
          <w:tab w:val="left" w:pos="2160"/>
        </w:tabs>
        <w:ind w:left="1440" w:right="746"/>
        <w:jc w:val="both"/>
        <w:rPr>
          <w:sz w:val="24"/>
          <w:szCs w:val="24"/>
        </w:rPr>
      </w:pPr>
    </w:p>
    <w:p w:rsidR="00290836" w:rsidRPr="00F946C4" w:rsidRDefault="00DE63BA" w:rsidP="00F946C4">
      <w:pPr>
        <w:pStyle w:val="ListParagraph"/>
        <w:numPr>
          <w:ilvl w:val="1"/>
          <w:numId w:val="15"/>
        </w:numPr>
        <w:tabs>
          <w:tab w:val="left" w:pos="2160"/>
        </w:tabs>
        <w:ind w:left="2160" w:right="746" w:hanging="720"/>
        <w:jc w:val="both"/>
        <w:rPr>
          <w:sz w:val="24"/>
          <w:szCs w:val="24"/>
        </w:rPr>
      </w:pPr>
      <w:r w:rsidRPr="00290836">
        <w:rPr>
          <w:sz w:val="24"/>
          <w:szCs w:val="24"/>
        </w:rPr>
        <w:t>the provisions of section 27 and 28 prejudice the plaintiff or any person whom he represents; and</w:t>
      </w:r>
    </w:p>
    <w:p w:rsidR="00290836" w:rsidRDefault="00DE63BA" w:rsidP="00290836">
      <w:pPr>
        <w:pStyle w:val="ListParagraph"/>
        <w:numPr>
          <w:ilvl w:val="1"/>
          <w:numId w:val="15"/>
        </w:numPr>
        <w:tabs>
          <w:tab w:val="left" w:pos="2160"/>
        </w:tabs>
        <w:ind w:left="2160" w:right="746" w:hanging="720"/>
        <w:jc w:val="both"/>
        <w:rPr>
          <w:sz w:val="24"/>
          <w:szCs w:val="24"/>
        </w:rPr>
      </w:pPr>
      <w:r w:rsidRPr="00290836">
        <w:rPr>
          <w:sz w:val="24"/>
          <w:szCs w:val="24"/>
        </w:rPr>
        <w:t>any decision of the court under this subsection would prejudice the defendant or any person whom he represents,</w:t>
      </w:r>
    </w:p>
    <w:p w:rsidR="00F946C4" w:rsidRPr="00F946C4" w:rsidRDefault="00F946C4" w:rsidP="00F946C4">
      <w:pPr>
        <w:tabs>
          <w:tab w:val="left" w:pos="2160"/>
        </w:tabs>
        <w:ind w:left="1440" w:right="746"/>
        <w:jc w:val="both"/>
        <w:rPr>
          <w:sz w:val="24"/>
          <w:szCs w:val="24"/>
        </w:rPr>
      </w:pPr>
    </w:p>
    <w:p w:rsidR="00DE63BA" w:rsidRPr="00290836" w:rsidRDefault="00DE63BA" w:rsidP="00290836">
      <w:pPr>
        <w:pStyle w:val="ListParagraph"/>
        <w:tabs>
          <w:tab w:val="left" w:pos="2160"/>
        </w:tabs>
        <w:ind w:left="1440" w:right="746"/>
        <w:jc w:val="both"/>
        <w:rPr>
          <w:sz w:val="24"/>
          <w:szCs w:val="24"/>
        </w:rPr>
      </w:pPr>
      <w:r w:rsidRPr="00290836">
        <w:rPr>
          <w:sz w:val="24"/>
          <w:szCs w:val="24"/>
        </w:rPr>
        <w:t>the court may direct that those provisions should not apply to the action, or shall not apply to any specified cause of action to which the action relates.”</w:t>
      </w:r>
    </w:p>
    <w:p w:rsidR="00DE63BA" w:rsidRPr="00DE63BA" w:rsidRDefault="00DE63BA" w:rsidP="00DE63BA">
      <w:pPr>
        <w:spacing w:line="360" w:lineRule="auto"/>
        <w:jc w:val="both"/>
        <w:rPr>
          <w:szCs w:val="28"/>
        </w:rPr>
      </w:pPr>
    </w:p>
    <w:p w:rsidR="00DE63BA" w:rsidRDefault="00DE63BA" w:rsidP="00DE63BA">
      <w:pPr>
        <w:pStyle w:val="ListParagraph"/>
        <w:numPr>
          <w:ilvl w:val="0"/>
          <w:numId w:val="15"/>
        </w:numPr>
        <w:spacing w:line="360" w:lineRule="auto"/>
        <w:ind w:left="0" w:firstLine="0"/>
        <w:jc w:val="both"/>
        <w:rPr>
          <w:szCs w:val="28"/>
        </w:rPr>
      </w:pPr>
      <w:r w:rsidRPr="00DE63BA">
        <w:rPr>
          <w:color w:val="000000"/>
          <w:szCs w:val="28"/>
        </w:rPr>
        <w:t xml:space="preserve">The </w:t>
      </w:r>
      <w:r w:rsidRPr="00DE63BA">
        <w:rPr>
          <w:szCs w:val="28"/>
        </w:rPr>
        <w:t xml:space="preserve">discretion to </w:t>
      </w:r>
      <w:proofErr w:type="spellStart"/>
      <w:r w:rsidRPr="00DE63BA">
        <w:rPr>
          <w:szCs w:val="28"/>
        </w:rPr>
        <w:t>disapply</w:t>
      </w:r>
      <w:proofErr w:type="spellEnd"/>
      <w:r w:rsidRPr="00DE63BA">
        <w:rPr>
          <w:szCs w:val="28"/>
        </w:rPr>
        <w:t xml:space="preserve"> the limitation period is entirely unfettered.  The onus is on the plaintiff to show that in the particular circumstances of the case, it would be equitable to allow the claim to proceed having regard to the possible prejudice to be suffered by each party.  The court is to perform a balancing exercise by looking into (1) the balance of prejudice to each party; (2) the six specific but non-exhaustive factors contained in section 30(3); and (3) all the circumstances of the case.</w:t>
      </w:r>
    </w:p>
    <w:p w:rsidR="00290836" w:rsidRPr="00DE63BA" w:rsidRDefault="00290836" w:rsidP="00290836">
      <w:pPr>
        <w:pStyle w:val="ListParagraph"/>
        <w:spacing w:line="360" w:lineRule="auto"/>
        <w:ind w:left="0"/>
        <w:jc w:val="both"/>
        <w:rPr>
          <w:szCs w:val="28"/>
        </w:rPr>
      </w:pPr>
    </w:p>
    <w:p w:rsidR="00DE63BA" w:rsidRDefault="00DE63BA" w:rsidP="00DE63BA">
      <w:pPr>
        <w:pStyle w:val="ListParagraph"/>
        <w:numPr>
          <w:ilvl w:val="0"/>
          <w:numId w:val="15"/>
        </w:numPr>
        <w:spacing w:line="360" w:lineRule="auto"/>
        <w:ind w:left="0" w:firstLine="0"/>
        <w:jc w:val="both"/>
        <w:rPr>
          <w:szCs w:val="28"/>
        </w:rPr>
      </w:pPr>
      <w:r w:rsidRPr="00DE63BA">
        <w:rPr>
          <w:szCs w:val="28"/>
        </w:rPr>
        <w:t xml:space="preserve">The six factors set out in section 30(3) </w:t>
      </w:r>
      <w:proofErr w:type="gramStart"/>
      <w:r w:rsidRPr="00DE63BA">
        <w:rPr>
          <w:szCs w:val="28"/>
        </w:rPr>
        <w:t>are:</w:t>
      </w:r>
      <w:r w:rsidR="00290836">
        <w:rPr>
          <w:szCs w:val="28"/>
        </w:rPr>
        <w:t>-</w:t>
      </w:r>
      <w:proofErr w:type="gramEnd"/>
    </w:p>
    <w:p w:rsidR="00290836" w:rsidRPr="00DE63BA" w:rsidRDefault="00290836" w:rsidP="00290836">
      <w:pPr>
        <w:pStyle w:val="ListParagraph"/>
        <w:spacing w:line="360" w:lineRule="auto"/>
        <w:ind w:left="0"/>
        <w:jc w:val="both"/>
        <w:rPr>
          <w:szCs w:val="28"/>
        </w:rPr>
      </w:pPr>
    </w:p>
    <w:p w:rsidR="00DE63BA" w:rsidRPr="00290836" w:rsidRDefault="00DE63BA" w:rsidP="00290836">
      <w:pPr>
        <w:pStyle w:val="ListParagraph"/>
        <w:numPr>
          <w:ilvl w:val="0"/>
          <w:numId w:val="17"/>
        </w:numPr>
        <w:spacing w:line="360" w:lineRule="auto"/>
        <w:ind w:left="2160" w:hanging="720"/>
        <w:jc w:val="both"/>
        <w:rPr>
          <w:rFonts w:eastAsia="等线"/>
          <w:color w:val="000000"/>
          <w:szCs w:val="28"/>
        </w:rPr>
      </w:pPr>
      <w:r w:rsidRPr="00DE63BA">
        <w:rPr>
          <w:rFonts w:eastAsia="Times New Roman"/>
          <w:color w:val="000000"/>
          <w:szCs w:val="28"/>
        </w:rPr>
        <w:t>the length of, and the reasons for, the delay on the part of the plaintiff;</w:t>
      </w:r>
    </w:p>
    <w:p w:rsidR="00290836" w:rsidRPr="00DE63BA" w:rsidRDefault="00290836" w:rsidP="00290836">
      <w:pPr>
        <w:pStyle w:val="ListParagraph"/>
        <w:spacing w:line="360" w:lineRule="auto"/>
        <w:ind w:left="2160"/>
        <w:jc w:val="both"/>
        <w:rPr>
          <w:rFonts w:eastAsia="等线"/>
          <w:color w:val="000000"/>
          <w:szCs w:val="28"/>
        </w:rPr>
      </w:pPr>
    </w:p>
    <w:p w:rsidR="00DE63BA" w:rsidRDefault="00DE63BA" w:rsidP="00290836">
      <w:pPr>
        <w:pStyle w:val="ListParagraph"/>
        <w:numPr>
          <w:ilvl w:val="0"/>
          <w:numId w:val="17"/>
        </w:numPr>
        <w:spacing w:line="360" w:lineRule="auto"/>
        <w:ind w:left="2160" w:hanging="720"/>
        <w:jc w:val="both"/>
        <w:rPr>
          <w:rFonts w:eastAsia="Times New Roman"/>
          <w:color w:val="000000"/>
          <w:szCs w:val="28"/>
        </w:rPr>
      </w:pPr>
      <w:r w:rsidRPr="00DE63BA">
        <w:rPr>
          <w:rFonts w:eastAsia="Times New Roman"/>
          <w:color w:val="000000"/>
          <w:szCs w:val="28"/>
        </w:rPr>
        <w:t xml:space="preserve">the extent to which, having regard to the delay, the evidence adduced or likely to be adduced by the plaintiff or the defendant is or is likely to be less cogent </w:t>
      </w:r>
      <w:r w:rsidRPr="00DE63BA">
        <w:rPr>
          <w:rFonts w:eastAsia="Times New Roman"/>
          <w:color w:val="000000"/>
          <w:szCs w:val="28"/>
        </w:rPr>
        <w:lastRenderedPageBreak/>
        <w:t>than if the action had been brought within the time allowed by section</w:t>
      </w:r>
      <w:r w:rsidR="00770802">
        <w:rPr>
          <w:rFonts w:eastAsia="Times New Roman"/>
          <w:color w:val="000000"/>
          <w:szCs w:val="28"/>
        </w:rPr>
        <w:t>s</w:t>
      </w:r>
      <w:r w:rsidRPr="00DE63BA">
        <w:rPr>
          <w:rFonts w:eastAsia="Times New Roman"/>
          <w:color w:val="000000"/>
          <w:szCs w:val="28"/>
        </w:rPr>
        <w:t xml:space="preserve"> 27 or 28, as the case may be;</w:t>
      </w:r>
    </w:p>
    <w:p w:rsidR="00290836" w:rsidRPr="00290836" w:rsidRDefault="00290836" w:rsidP="00290836">
      <w:pPr>
        <w:spacing w:line="360" w:lineRule="auto"/>
        <w:jc w:val="both"/>
        <w:rPr>
          <w:rFonts w:eastAsia="Times New Roman"/>
          <w:color w:val="000000"/>
          <w:szCs w:val="28"/>
        </w:rPr>
      </w:pPr>
    </w:p>
    <w:p w:rsidR="00DE63BA" w:rsidRDefault="00DE63BA" w:rsidP="00290836">
      <w:pPr>
        <w:pStyle w:val="ListParagraph"/>
        <w:numPr>
          <w:ilvl w:val="0"/>
          <w:numId w:val="17"/>
        </w:numPr>
        <w:spacing w:line="360" w:lineRule="auto"/>
        <w:ind w:left="2160" w:hanging="720"/>
        <w:jc w:val="both"/>
        <w:rPr>
          <w:rFonts w:eastAsia="Times New Roman"/>
          <w:color w:val="000000"/>
          <w:szCs w:val="28"/>
        </w:rPr>
      </w:pPr>
      <w:r w:rsidRPr="00DE63BA">
        <w:rPr>
          <w:rFonts w:eastAsia="Times New Roman"/>
          <w:color w:val="000000"/>
          <w:szCs w:val="28"/>
        </w:rPr>
        <w:t>the conduct of the defendant after the cause of action arose, including the extent, if any, to which he responded to requests reasonably made by the plaintiff for information or inspection for the purpose of ascertaining facts which were or might be relevant to the plaintiff's cause of action against the defendant;</w:t>
      </w:r>
    </w:p>
    <w:p w:rsidR="00290836" w:rsidRPr="00290836" w:rsidRDefault="00290836" w:rsidP="00290836">
      <w:pPr>
        <w:spacing w:line="360" w:lineRule="auto"/>
        <w:jc w:val="both"/>
        <w:rPr>
          <w:rFonts w:eastAsia="Times New Roman"/>
          <w:color w:val="000000"/>
          <w:szCs w:val="28"/>
        </w:rPr>
      </w:pPr>
    </w:p>
    <w:p w:rsidR="00DE63BA" w:rsidRDefault="00DE63BA" w:rsidP="00290836">
      <w:pPr>
        <w:pStyle w:val="ListParagraph"/>
        <w:numPr>
          <w:ilvl w:val="0"/>
          <w:numId w:val="17"/>
        </w:numPr>
        <w:spacing w:line="360" w:lineRule="auto"/>
        <w:ind w:left="2160" w:hanging="720"/>
        <w:jc w:val="both"/>
        <w:rPr>
          <w:rFonts w:eastAsia="Times New Roman"/>
          <w:color w:val="000000"/>
          <w:szCs w:val="28"/>
        </w:rPr>
      </w:pPr>
      <w:r w:rsidRPr="00DE63BA">
        <w:rPr>
          <w:rFonts w:eastAsia="Times New Roman"/>
          <w:color w:val="000000"/>
          <w:szCs w:val="28"/>
        </w:rPr>
        <w:t>the duration of any disability of the plaintiff arising after the date of the accrual of the cause of action;</w:t>
      </w:r>
    </w:p>
    <w:p w:rsidR="00290836" w:rsidRPr="00290836" w:rsidRDefault="00290836" w:rsidP="00290836">
      <w:pPr>
        <w:spacing w:line="360" w:lineRule="auto"/>
        <w:jc w:val="both"/>
        <w:rPr>
          <w:rFonts w:eastAsia="Times New Roman"/>
          <w:color w:val="000000"/>
          <w:szCs w:val="28"/>
        </w:rPr>
      </w:pPr>
    </w:p>
    <w:p w:rsidR="00DE63BA" w:rsidRDefault="00DE63BA" w:rsidP="00290836">
      <w:pPr>
        <w:pStyle w:val="ListParagraph"/>
        <w:numPr>
          <w:ilvl w:val="0"/>
          <w:numId w:val="17"/>
        </w:numPr>
        <w:spacing w:line="360" w:lineRule="auto"/>
        <w:ind w:left="2160" w:hanging="720"/>
        <w:jc w:val="both"/>
        <w:rPr>
          <w:rFonts w:eastAsia="Times New Roman"/>
          <w:color w:val="000000"/>
          <w:szCs w:val="28"/>
        </w:rPr>
      </w:pPr>
      <w:r w:rsidRPr="00DE63BA">
        <w:rPr>
          <w:rFonts w:eastAsia="Times New Roman"/>
          <w:color w:val="000000"/>
          <w:szCs w:val="28"/>
        </w:rPr>
        <w:t>the extent to which the plaintiff acted promptly and reasonably once he knew whether or not the act or omission of the defendant, to which the injury was attributable, might be capable at that time of giving rise to an action for damages;</w:t>
      </w:r>
    </w:p>
    <w:p w:rsidR="00290836" w:rsidRPr="00290836" w:rsidRDefault="00290836" w:rsidP="00290836">
      <w:pPr>
        <w:spacing w:line="360" w:lineRule="auto"/>
        <w:jc w:val="both"/>
        <w:rPr>
          <w:rFonts w:eastAsia="Times New Roman"/>
          <w:color w:val="000000"/>
          <w:szCs w:val="28"/>
        </w:rPr>
      </w:pPr>
    </w:p>
    <w:p w:rsidR="00DE63BA" w:rsidRPr="00DE63BA" w:rsidRDefault="00DE63BA" w:rsidP="00290836">
      <w:pPr>
        <w:pStyle w:val="ListParagraph"/>
        <w:numPr>
          <w:ilvl w:val="0"/>
          <w:numId w:val="17"/>
        </w:numPr>
        <w:spacing w:line="360" w:lineRule="auto"/>
        <w:ind w:left="2160" w:hanging="720"/>
        <w:jc w:val="both"/>
        <w:rPr>
          <w:rFonts w:eastAsia="Times New Roman"/>
          <w:color w:val="000000"/>
          <w:szCs w:val="28"/>
        </w:rPr>
      </w:pPr>
      <w:r w:rsidRPr="00DE63BA">
        <w:rPr>
          <w:rFonts w:eastAsia="Times New Roman"/>
          <w:color w:val="000000"/>
          <w:szCs w:val="28"/>
        </w:rPr>
        <w:t>the steps, if any taken by the plaintiff to obtain medical, legal or other expert advice and the nature of any such advice he may have received.</w:t>
      </w:r>
    </w:p>
    <w:p w:rsidR="00DE63BA" w:rsidRPr="00DE63BA" w:rsidRDefault="00DE63BA" w:rsidP="00DE63BA">
      <w:pPr>
        <w:spacing w:line="360" w:lineRule="auto"/>
        <w:jc w:val="both"/>
        <w:rPr>
          <w:rFonts w:eastAsia="Times New Roman"/>
          <w:color w:val="000000"/>
          <w:szCs w:val="28"/>
        </w:rPr>
      </w:pPr>
    </w:p>
    <w:p w:rsidR="00DE63BA" w:rsidRPr="00BD4545" w:rsidRDefault="00DE63BA" w:rsidP="00290836">
      <w:pPr>
        <w:pStyle w:val="ListParagraph"/>
        <w:spacing w:line="360" w:lineRule="auto"/>
        <w:ind w:left="0"/>
        <w:jc w:val="both"/>
        <w:rPr>
          <w:rFonts w:eastAsia="Times New Roman"/>
          <w:b/>
          <w:i/>
          <w:color w:val="000000"/>
          <w:szCs w:val="28"/>
        </w:rPr>
      </w:pPr>
      <w:r w:rsidRPr="00BD4545">
        <w:rPr>
          <w:rFonts w:eastAsia="Times New Roman"/>
          <w:b/>
          <w:i/>
          <w:color w:val="000000"/>
          <w:szCs w:val="28"/>
        </w:rPr>
        <w:t>Issues</w:t>
      </w:r>
    </w:p>
    <w:p w:rsidR="00290836" w:rsidRPr="00290836" w:rsidRDefault="00290836" w:rsidP="00290836">
      <w:pPr>
        <w:pStyle w:val="ListParagraph"/>
        <w:spacing w:line="360" w:lineRule="auto"/>
        <w:ind w:left="0"/>
        <w:jc w:val="both"/>
        <w:rPr>
          <w:rFonts w:eastAsia="Times New Roman"/>
          <w:i/>
          <w:color w:val="000000"/>
          <w:szCs w:val="28"/>
        </w:rPr>
      </w:pPr>
    </w:p>
    <w:p w:rsidR="00DE63BA" w:rsidRPr="00290836" w:rsidRDefault="00DE63BA" w:rsidP="00DE63BA">
      <w:pPr>
        <w:pStyle w:val="ListParagraph"/>
        <w:numPr>
          <w:ilvl w:val="0"/>
          <w:numId w:val="15"/>
        </w:numPr>
        <w:spacing w:line="360" w:lineRule="auto"/>
        <w:ind w:left="0" w:firstLine="0"/>
        <w:jc w:val="both"/>
        <w:rPr>
          <w:szCs w:val="28"/>
        </w:rPr>
      </w:pPr>
      <w:r w:rsidRPr="00DE63BA">
        <w:rPr>
          <w:szCs w:val="28"/>
        </w:rPr>
        <w:t xml:space="preserve">It is not disputed that the primary limitation period has expired.  The </w:t>
      </w:r>
      <w:r w:rsidRPr="00DE63BA">
        <w:rPr>
          <w:color w:val="000000"/>
          <w:szCs w:val="28"/>
        </w:rPr>
        <w:t xml:space="preserve">relevant issues are therefore as </w:t>
      </w:r>
      <w:proofErr w:type="gramStart"/>
      <w:r w:rsidRPr="00DE63BA">
        <w:rPr>
          <w:color w:val="000000"/>
          <w:szCs w:val="28"/>
        </w:rPr>
        <w:t>follows:</w:t>
      </w:r>
      <w:r w:rsidR="00290836">
        <w:rPr>
          <w:color w:val="000000"/>
          <w:szCs w:val="28"/>
        </w:rPr>
        <w:t>-</w:t>
      </w:r>
      <w:proofErr w:type="gramEnd"/>
    </w:p>
    <w:p w:rsidR="00290836" w:rsidRPr="00DE63BA" w:rsidRDefault="00290836" w:rsidP="00290836">
      <w:pPr>
        <w:pStyle w:val="ListParagraph"/>
        <w:spacing w:line="360" w:lineRule="auto"/>
        <w:ind w:left="0"/>
        <w:jc w:val="both"/>
        <w:rPr>
          <w:szCs w:val="28"/>
        </w:rPr>
      </w:pPr>
    </w:p>
    <w:p w:rsidR="00DE63BA" w:rsidRDefault="00DE63BA" w:rsidP="00290836">
      <w:pPr>
        <w:pStyle w:val="ListParagraph"/>
        <w:numPr>
          <w:ilvl w:val="1"/>
          <w:numId w:val="15"/>
        </w:numPr>
        <w:spacing w:line="360" w:lineRule="auto"/>
        <w:ind w:left="2160" w:hanging="720"/>
        <w:jc w:val="both"/>
        <w:rPr>
          <w:color w:val="000000"/>
          <w:szCs w:val="28"/>
        </w:rPr>
      </w:pPr>
      <w:r w:rsidRPr="00DE63BA">
        <w:rPr>
          <w:color w:val="000000"/>
          <w:szCs w:val="28"/>
        </w:rPr>
        <w:lastRenderedPageBreak/>
        <w:t xml:space="preserve">whether the </w:t>
      </w:r>
      <w:r w:rsidR="00302E1E">
        <w:rPr>
          <w:color w:val="000000"/>
          <w:szCs w:val="28"/>
        </w:rPr>
        <w:t>P</w:t>
      </w:r>
      <w:r>
        <w:rPr>
          <w:color w:val="000000"/>
          <w:szCs w:val="28"/>
        </w:rPr>
        <w:t>laintiff</w:t>
      </w:r>
      <w:r w:rsidRPr="00DE63BA">
        <w:rPr>
          <w:color w:val="000000"/>
          <w:szCs w:val="28"/>
        </w:rPr>
        <w:t>’s claim against CPCS has been time-barred under the secondary limitation period in section 27(4)(b);</w:t>
      </w:r>
    </w:p>
    <w:p w:rsidR="00290836" w:rsidRPr="00DE63BA" w:rsidRDefault="00290836" w:rsidP="00290836">
      <w:pPr>
        <w:pStyle w:val="ListParagraph"/>
        <w:spacing w:line="360" w:lineRule="auto"/>
        <w:ind w:left="2160"/>
        <w:jc w:val="both"/>
        <w:rPr>
          <w:color w:val="000000"/>
          <w:szCs w:val="28"/>
        </w:rPr>
      </w:pPr>
    </w:p>
    <w:p w:rsidR="00DE63BA" w:rsidRPr="00DE63BA" w:rsidRDefault="00DE63BA" w:rsidP="00290836">
      <w:pPr>
        <w:pStyle w:val="ListParagraph"/>
        <w:numPr>
          <w:ilvl w:val="1"/>
          <w:numId w:val="15"/>
        </w:numPr>
        <w:spacing w:line="360" w:lineRule="auto"/>
        <w:ind w:left="2160" w:hanging="720"/>
        <w:jc w:val="both"/>
        <w:rPr>
          <w:color w:val="000000"/>
          <w:szCs w:val="28"/>
        </w:rPr>
      </w:pPr>
      <w:r w:rsidRPr="00DE63BA">
        <w:rPr>
          <w:color w:val="000000"/>
          <w:szCs w:val="28"/>
        </w:rPr>
        <w:t xml:space="preserve">if the primary and secondary limitation periods have expired, whether section 27 should be </w:t>
      </w:r>
      <w:proofErr w:type="spellStart"/>
      <w:r w:rsidRPr="00DE63BA">
        <w:rPr>
          <w:color w:val="000000"/>
          <w:szCs w:val="28"/>
        </w:rPr>
        <w:t>disapplied</w:t>
      </w:r>
      <w:proofErr w:type="spellEnd"/>
      <w:r w:rsidRPr="00DE63BA">
        <w:rPr>
          <w:color w:val="000000"/>
          <w:szCs w:val="28"/>
        </w:rPr>
        <w:t xml:space="preserve"> pursuant to section 30.</w:t>
      </w:r>
    </w:p>
    <w:p w:rsidR="00DE63BA" w:rsidRPr="00DE63BA" w:rsidRDefault="00DE63BA" w:rsidP="00DE63BA">
      <w:pPr>
        <w:spacing w:line="360" w:lineRule="auto"/>
        <w:jc w:val="both"/>
        <w:rPr>
          <w:color w:val="000000"/>
          <w:szCs w:val="28"/>
        </w:rPr>
      </w:pPr>
    </w:p>
    <w:p w:rsidR="00DE63BA" w:rsidRPr="00DE63BA" w:rsidRDefault="00DE63BA" w:rsidP="00290836">
      <w:pPr>
        <w:pStyle w:val="ListParagraph"/>
        <w:spacing w:line="360" w:lineRule="auto"/>
        <w:ind w:left="0"/>
        <w:jc w:val="both"/>
        <w:rPr>
          <w:i/>
          <w:color w:val="000000"/>
          <w:szCs w:val="28"/>
        </w:rPr>
      </w:pPr>
      <w:r w:rsidRPr="00DE63BA">
        <w:rPr>
          <w:i/>
          <w:color w:val="000000"/>
          <w:szCs w:val="28"/>
        </w:rPr>
        <w:t>SECONDARY LIMITATION PERIOD</w:t>
      </w:r>
    </w:p>
    <w:p w:rsidR="00DE63BA" w:rsidRPr="00DE63BA" w:rsidRDefault="00DE63BA" w:rsidP="00DE63BA">
      <w:pPr>
        <w:spacing w:line="360" w:lineRule="auto"/>
        <w:jc w:val="both"/>
        <w:rPr>
          <w:b/>
          <w:i/>
          <w:szCs w:val="28"/>
        </w:rPr>
      </w:pPr>
    </w:p>
    <w:p w:rsidR="00DE63BA" w:rsidRPr="00302E1E" w:rsidRDefault="00DE63BA" w:rsidP="00290836">
      <w:pPr>
        <w:pStyle w:val="ListParagraph"/>
        <w:spacing w:line="360" w:lineRule="auto"/>
        <w:ind w:left="0"/>
        <w:jc w:val="both"/>
        <w:rPr>
          <w:b/>
          <w:i/>
          <w:szCs w:val="28"/>
        </w:rPr>
      </w:pPr>
      <w:r w:rsidRPr="00302E1E">
        <w:rPr>
          <w:b/>
          <w:i/>
          <w:szCs w:val="28"/>
        </w:rPr>
        <w:t>Analysis of evidence</w:t>
      </w:r>
    </w:p>
    <w:p w:rsidR="00290836" w:rsidRPr="00290836" w:rsidRDefault="00290836" w:rsidP="00290836">
      <w:pPr>
        <w:pStyle w:val="ListParagraph"/>
        <w:spacing w:line="360" w:lineRule="auto"/>
        <w:ind w:left="0"/>
        <w:jc w:val="both"/>
        <w:rPr>
          <w:i/>
          <w:szCs w:val="28"/>
        </w:rPr>
      </w:pPr>
    </w:p>
    <w:p w:rsidR="00DE63BA" w:rsidRDefault="00DE63BA" w:rsidP="00DE63BA">
      <w:pPr>
        <w:pStyle w:val="ListParagraph"/>
        <w:numPr>
          <w:ilvl w:val="0"/>
          <w:numId w:val="15"/>
        </w:numPr>
        <w:spacing w:line="360" w:lineRule="auto"/>
        <w:ind w:left="0" w:firstLine="0"/>
        <w:jc w:val="both"/>
        <w:rPr>
          <w:szCs w:val="28"/>
        </w:rPr>
      </w:pPr>
      <w:r w:rsidRPr="00DE63BA">
        <w:rPr>
          <w:szCs w:val="28"/>
        </w:rPr>
        <w:t xml:space="preserve">The </w:t>
      </w:r>
      <w:r w:rsidR="00BD6DD8">
        <w:rPr>
          <w:szCs w:val="28"/>
        </w:rPr>
        <w:t>P</w:t>
      </w:r>
      <w:r>
        <w:rPr>
          <w:szCs w:val="28"/>
        </w:rPr>
        <w:t>laintiff</w:t>
      </w:r>
      <w:r w:rsidRPr="00DE63BA">
        <w:rPr>
          <w:szCs w:val="28"/>
        </w:rPr>
        <w:t xml:space="preserve"> claimed that she only gained knowledge of the identity of CPCS from the Deacon’s Letter Apr</w:t>
      </w:r>
      <w:r w:rsidR="00770802">
        <w:rPr>
          <w:szCs w:val="28"/>
        </w:rPr>
        <w:t>il</w:t>
      </w:r>
      <w:r w:rsidRPr="00DE63BA">
        <w:rPr>
          <w:szCs w:val="28"/>
        </w:rPr>
        <w:t xml:space="preserve"> 2021.  The burden of proving constructive knowledge is on CPCS, and the test is objective.</w:t>
      </w:r>
    </w:p>
    <w:p w:rsidR="00290836" w:rsidRPr="00DE63BA" w:rsidRDefault="00290836" w:rsidP="00290836">
      <w:pPr>
        <w:pStyle w:val="ListParagraph"/>
        <w:spacing w:line="360" w:lineRule="auto"/>
        <w:ind w:left="0"/>
        <w:jc w:val="both"/>
        <w:rPr>
          <w:szCs w:val="28"/>
        </w:rPr>
      </w:pPr>
    </w:p>
    <w:p w:rsidR="00DE63BA" w:rsidRDefault="00DE63BA" w:rsidP="00DE63BA">
      <w:pPr>
        <w:pStyle w:val="ListParagraph"/>
        <w:numPr>
          <w:ilvl w:val="0"/>
          <w:numId w:val="15"/>
        </w:numPr>
        <w:spacing w:line="360" w:lineRule="auto"/>
        <w:ind w:left="0" w:firstLine="0"/>
        <w:jc w:val="both"/>
        <w:rPr>
          <w:szCs w:val="28"/>
        </w:rPr>
      </w:pPr>
      <w:r w:rsidRPr="00DE63BA">
        <w:rPr>
          <w:szCs w:val="28"/>
        </w:rPr>
        <w:t xml:space="preserve">CPCS submitted that the </w:t>
      </w:r>
      <w:r w:rsidR="00BD6DD8">
        <w:rPr>
          <w:szCs w:val="28"/>
        </w:rPr>
        <w:t>P</w:t>
      </w:r>
      <w:r>
        <w:rPr>
          <w:szCs w:val="28"/>
        </w:rPr>
        <w:t>laintiff</w:t>
      </w:r>
      <w:r w:rsidRPr="00DE63BA">
        <w:rPr>
          <w:szCs w:val="28"/>
        </w:rPr>
        <w:t xml:space="preserve"> ought to have constructive, if not actual knowledge of CPCS’ identity at the time of the Accident, or the latest by the time she instructed </w:t>
      </w:r>
      <w:proofErr w:type="spellStart"/>
      <w:r w:rsidRPr="00DE63BA">
        <w:rPr>
          <w:szCs w:val="28"/>
        </w:rPr>
        <w:t>BMak</w:t>
      </w:r>
      <w:proofErr w:type="spellEnd"/>
      <w:r w:rsidRPr="00DE63BA">
        <w:rPr>
          <w:szCs w:val="28"/>
        </w:rPr>
        <w:t xml:space="preserve"> in or around October 2018.  Their argument relies on two types of evidence; the first would be some circumstantial evidence from the </w:t>
      </w:r>
      <w:r w:rsidR="00BD6DD8">
        <w:rPr>
          <w:szCs w:val="28"/>
        </w:rPr>
        <w:t>P</w:t>
      </w:r>
      <w:r>
        <w:rPr>
          <w:szCs w:val="28"/>
        </w:rPr>
        <w:t>laintiff</w:t>
      </w:r>
      <w:r w:rsidRPr="00DE63BA">
        <w:rPr>
          <w:szCs w:val="28"/>
        </w:rPr>
        <w:t xml:space="preserve">’s working arrangement, which demonstrates that the identity of CPCS were either observable or readily ascertainable by the </w:t>
      </w:r>
      <w:r w:rsidR="00BD6DD8">
        <w:rPr>
          <w:szCs w:val="28"/>
        </w:rPr>
        <w:t>P</w:t>
      </w:r>
      <w:r>
        <w:rPr>
          <w:szCs w:val="28"/>
        </w:rPr>
        <w:t>laintiff</w:t>
      </w:r>
      <w:r w:rsidRPr="00DE63BA">
        <w:rPr>
          <w:szCs w:val="28"/>
        </w:rPr>
        <w:t xml:space="preserve"> at the time of the Accident.  The second type of evidence would be various statements made by the </w:t>
      </w:r>
      <w:r w:rsidR="00BD6DD8">
        <w:rPr>
          <w:szCs w:val="28"/>
        </w:rPr>
        <w:t>P</w:t>
      </w:r>
      <w:r>
        <w:rPr>
          <w:szCs w:val="28"/>
        </w:rPr>
        <w:t>laintiff</w:t>
      </w:r>
      <w:r w:rsidRPr="00DE63BA">
        <w:rPr>
          <w:szCs w:val="28"/>
        </w:rPr>
        <w:t xml:space="preserve"> after the Accident (including the </w:t>
      </w:r>
      <w:r w:rsidR="00BD6DD8">
        <w:rPr>
          <w:szCs w:val="28"/>
        </w:rPr>
        <w:t>P</w:t>
      </w:r>
      <w:r>
        <w:rPr>
          <w:szCs w:val="28"/>
        </w:rPr>
        <w:t>laintiff</w:t>
      </w:r>
      <w:r w:rsidRPr="00DE63BA">
        <w:rPr>
          <w:szCs w:val="28"/>
        </w:rPr>
        <w:t>’s two affirmations for this application) confirming her actual knowledge of the involvement of Cathay Pacific, and thus constructive knowledge of CPCS at the time of the Accident.</w:t>
      </w:r>
    </w:p>
    <w:p w:rsidR="004D4916" w:rsidRPr="00DE63BA" w:rsidRDefault="004D4916" w:rsidP="004D4916">
      <w:pPr>
        <w:pStyle w:val="ListParagraph"/>
        <w:spacing w:line="360" w:lineRule="auto"/>
        <w:ind w:left="0"/>
        <w:jc w:val="both"/>
        <w:rPr>
          <w:szCs w:val="28"/>
        </w:rPr>
      </w:pPr>
    </w:p>
    <w:p w:rsidR="00DE63BA" w:rsidRDefault="00DE63BA" w:rsidP="00DE63BA">
      <w:pPr>
        <w:pStyle w:val="ListParagraph"/>
        <w:numPr>
          <w:ilvl w:val="0"/>
          <w:numId w:val="15"/>
        </w:numPr>
        <w:spacing w:line="360" w:lineRule="auto"/>
        <w:ind w:left="0" w:firstLine="0"/>
        <w:jc w:val="both"/>
        <w:rPr>
          <w:szCs w:val="28"/>
        </w:rPr>
      </w:pPr>
      <w:r w:rsidRPr="00DE63BA">
        <w:rPr>
          <w:szCs w:val="28"/>
        </w:rPr>
        <w:lastRenderedPageBreak/>
        <w:t xml:space="preserve">CPCS averred and the </w:t>
      </w:r>
      <w:r w:rsidR="009F520F">
        <w:rPr>
          <w:szCs w:val="28"/>
        </w:rPr>
        <w:t>P</w:t>
      </w:r>
      <w:r>
        <w:rPr>
          <w:szCs w:val="28"/>
        </w:rPr>
        <w:t>laintiff</w:t>
      </w:r>
      <w:r w:rsidRPr="00DE63BA">
        <w:rPr>
          <w:szCs w:val="28"/>
        </w:rPr>
        <w:t xml:space="preserve"> agreed that she had served Cathay Pacific aircrafts during her 2 years’ employment with the </w:t>
      </w:r>
      <w:r w:rsidR="009F520F">
        <w:rPr>
          <w:szCs w:val="28"/>
        </w:rPr>
        <w:t>D</w:t>
      </w:r>
      <w:r>
        <w:rPr>
          <w:szCs w:val="28"/>
        </w:rPr>
        <w:t>efendant</w:t>
      </w:r>
      <w:r w:rsidRPr="00DE63BA">
        <w:rPr>
          <w:szCs w:val="28"/>
        </w:rPr>
        <w:t xml:space="preserve">.  Her daily work arrangement revolved around the CPCS building and its operation so much so that she was given a CPCS staff access card for the clock-in-clock-out system, a changing locker inside the CPCS office and was picked up and dropped off by minibuses operated by CPCS outside the building.  </w:t>
      </w:r>
    </w:p>
    <w:p w:rsidR="004D4916" w:rsidRPr="00DE63BA" w:rsidRDefault="004D4916" w:rsidP="004D4916">
      <w:pPr>
        <w:pStyle w:val="ListParagraph"/>
        <w:spacing w:line="360" w:lineRule="auto"/>
        <w:ind w:left="0"/>
        <w:jc w:val="both"/>
        <w:rPr>
          <w:szCs w:val="28"/>
        </w:rPr>
      </w:pPr>
    </w:p>
    <w:p w:rsidR="00DE63BA" w:rsidRDefault="00DE63BA" w:rsidP="00DE63BA">
      <w:pPr>
        <w:pStyle w:val="ListParagraph"/>
        <w:numPr>
          <w:ilvl w:val="0"/>
          <w:numId w:val="15"/>
        </w:numPr>
        <w:spacing w:line="360" w:lineRule="auto"/>
        <w:ind w:left="0" w:firstLine="0"/>
        <w:jc w:val="both"/>
        <w:rPr>
          <w:szCs w:val="28"/>
        </w:rPr>
      </w:pPr>
      <w:r w:rsidRPr="00DE63BA">
        <w:rPr>
          <w:szCs w:val="28"/>
        </w:rPr>
        <w:t>Mr</w:t>
      </w:r>
      <w:r w:rsidR="009F520F">
        <w:rPr>
          <w:szCs w:val="28"/>
        </w:rPr>
        <w:t>.</w:t>
      </w:r>
      <w:r w:rsidRPr="00DE63BA">
        <w:rPr>
          <w:szCs w:val="28"/>
        </w:rPr>
        <w:t xml:space="preserve"> </w:t>
      </w:r>
      <w:proofErr w:type="spellStart"/>
      <w:r w:rsidRPr="00DE63BA">
        <w:rPr>
          <w:szCs w:val="28"/>
        </w:rPr>
        <w:t>Chim</w:t>
      </w:r>
      <w:proofErr w:type="spellEnd"/>
      <w:r w:rsidRPr="00DE63BA">
        <w:rPr>
          <w:szCs w:val="28"/>
        </w:rPr>
        <w:t xml:space="preserve"> also averred that there were signs of “Cathay Pacific Catering Services” displaying at the entrance of the CPCS building and on the minibuses.</w:t>
      </w:r>
      <w:r w:rsidR="004D4916">
        <w:rPr>
          <w:szCs w:val="28"/>
        </w:rPr>
        <w:t xml:space="preserve"> </w:t>
      </w:r>
      <w:r w:rsidRPr="00DE63BA">
        <w:rPr>
          <w:szCs w:val="28"/>
        </w:rPr>
        <w:t xml:space="preserve"> It is further averred that the uniform for CPCS staff, including the Driver was in red </w:t>
      </w:r>
      <w:proofErr w:type="spellStart"/>
      <w:r w:rsidRPr="00DE63BA">
        <w:rPr>
          <w:szCs w:val="28"/>
        </w:rPr>
        <w:t>colour</w:t>
      </w:r>
      <w:proofErr w:type="spellEnd"/>
      <w:r w:rsidRPr="00DE63BA">
        <w:rPr>
          <w:szCs w:val="28"/>
        </w:rPr>
        <w:t xml:space="preserve"> whereas the </w:t>
      </w:r>
      <w:r w:rsidR="009F520F">
        <w:rPr>
          <w:szCs w:val="28"/>
        </w:rPr>
        <w:t>P</w:t>
      </w:r>
      <w:r>
        <w:rPr>
          <w:szCs w:val="28"/>
        </w:rPr>
        <w:t>laintiff</w:t>
      </w:r>
      <w:r w:rsidRPr="00DE63BA">
        <w:rPr>
          <w:szCs w:val="28"/>
        </w:rPr>
        <w:t xml:space="preserve">’s uniform was in green as she was an employee of the </w:t>
      </w:r>
      <w:r w:rsidR="009F520F">
        <w:rPr>
          <w:szCs w:val="28"/>
        </w:rPr>
        <w:t>D</w:t>
      </w:r>
      <w:r>
        <w:rPr>
          <w:szCs w:val="28"/>
        </w:rPr>
        <w:t>efendant</w:t>
      </w:r>
      <w:r w:rsidRPr="00DE63BA">
        <w:rPr>
          <w:szCs w:val="28"/>
        </w:rPr>
        <w:t xml:space="preserve">, as such the </w:t>
      </w:r>
      <w:r w:rsidR="009F520F">
        <w:rPr>
          <w:szCs w:val="28"/>
        </w:rPr>
        <w:t>P</w:t>
      </w:r>
      <w:r>
        <w:rPr>
          <w:szCs w:val="28"/>
        </w:rPr>
        <w:t>laintiff</w:t>
      </w:r>
      <w:r w:rsidRPr="00DE63BA">
        <w:rPr>
          <w:szCs w:val="28"/>
        </w:rPr>
        <w:t xml:space="preserve"> ought to know the Driver was employed by CPCS.</w:t>
      </w:r>
    </w:p>
    <w:p w:rsidR="004D4916" w:rsidRPr="00DE63BA" w:rsidRDefault="004D4916" w:rsidP="004D4916">
      <w:pPr>
        <w:pStyle w:val="ListParagraph"/>
        <w:spacing w:line="360" w:lineRule="auto"/>
        <w:ind w:left="0"/>
        <w:jc w:val="both"/>
        <w:rPr>
          <w:szCs w:val="28"/>
        </w:rPr>
      </w:pPr>
    </w:p>
    <w:p w:rsidR="00DE63BA" w:rsidRDefault="00DE63BA" w:rsidP="00DE63BA">
      <w:pPr>
        <w:pStyle w:val="ListParagraph"/>
        <w:numPr>
          <w:ilvl w:val="0"/>
          <w:numId w:val="15"/>
        </w:numPr>
        <w:spacing w:line="360" w:lineRule="auto"/>
        <w:ind w:left="0" w:firstLine="0"/>
        <w:jc w:val="both"/>
        <w:rPr>
          <w:szCs w:val="28"/>
        </w:rPr>
      </w:pPr>
      <w:r w:rsidRPr="00DE63BA">
        <w:rPr>
          <w:szCs w:val="28"/>
        </w:rPr>
        <w:t xml:space="preserve">In respect of the </w:t>
      </w:r>
      <w:r w:rsidR="005959A5">
        <w:rPr>
          <w:szCs w:val="28"/>
        </w:rPr>
        <w:t>P</w:t>
      </w:r>
      <w:r>
        <w:rPr>
          <w:szCs w:val="28"/>
        </w:rPr>
        <w:t>laintiff</w:t>
      </w:r>
      <w:r w:rsidRPr="00DE63BA">
        <w:rPr>
          <w:szCs w:val="28"/>
        </w:rPr>
        <w:t xml:space="preserve">’s statements, the </w:t>
      </w:r>
      <w:r w:rsidR="005348D6">
        <w:rPr>
          <w:szCs w:val="28"/>
        </w:rPr>
        <w:t>C</w:t>
      </w:r>
      <w:r w:rsidRPr="00DE63BA">
        <w:rPr>
          <w:szCs w:val="28"/>
        </w:rPr>
        <w:t xml:space="preserve">ourt was referred to (1) the Form 2 of the ECC (“Form 2”) and (2) the Incident Report which was prepared by the </w:t>
      </w:r>
      <w:r w:rsidR="005959A5">
        <w:rPr>
          <w:szCs w:val="28"/>
        </w:rPr>
        <w:t>D</w:t>
      </w:r>
      <w:r>
        <w:rPr>
          <w:szCs w:val="28"/>
        </w:rPr>
        <w:t>efendant</w:t>
      </w:r>
      <w:r w:rsidRPr="00DE63BA">
        <w:rPr>
          <w:szCs w:val="28"/>
        </w:rPr>
        <w:t xml:space="preserve"> and signed by the </w:t>
      </w:r>
      <w:r w:rsidR="005959A5">
        <w:rPr>
          <w:szCs w:val="28"/>
        </w:rPr>
        <w:t>P</w:t>
      </w:r>
      <w:r>
        <w:rPr>
          <w:szCs w:val="28"/>
        </w:rPr>
        <w:t>laintiff</w:t>
      </w:r>
      <w:r w:rsidRPr="00DE63BA">
        <w:rPr>
          <w:szCs w:val="28"/>
        </w:rPr>
        <w:t xml:space="preserve"> shortly after the Accident (“the Incident Report”).  These two sets of document</w:t>
      </w:r>
      <w:r w:rsidR="00C25B18">
        <w:rPr>
          <w:szCs w:val="28"/>
        </w:rPr>
        <w:t>s</w:t>
      </w:r>
      <w:r w:rsidRPr="00DE63BA">
        <w:rPr>
          <w:szCs w:val="28"/>
        </w:rPr>
        <w:t xml:space="preserve"> invariably </w:t>
      </w:r>
      <w:r w:rsidR="00C25B18">
        <w:rPr>
          <w:szCs w:val="28"/>
        </w:rPr>
        <w:t xml:space="preserve">show </w:t>
      </w:r>
      <w:r w:rsidRPr="00DE63BA">
        <w:rPr>
          <w:szCs w:val="28"/>
        </w:rPr>
        <w:t xml:space="preserve">how the </w:t>
      </w:r>
      <w:r w:rsidR="00C25B18">
        <w:rPr>
          <w:szCs w:val="28"/>
        </w:rPr>
        <w:t>P</w:t>
      </w:r>
      <w:r>
        <w:rPr>
          <w:szCs w:val="28"/>
        </w:rPr>
        <w:t>laintiff</w:t>
      </w:r>
      <w:r w:rsidRPr="00DE63BA">
        <w:rPr>
          <w:szCs w:val="28"/>
        </w:rPr>
        <w:t xml:space="preserve"> referred to the Minibus as</w:t>
      </w:r>
      <w:r w:rsidRPr="004D4916">
        <w:rPr>
          <w:rFonts w:ascii="PMingLiU" w:eastAsia="PMingLiU" w:hAnsi="PMingLiU"/>
          <w:szCs w:val="28"/>
        </w:rPr>
        <w:t>國泰巴士/小巴</w:t>
      </w:r>
      <w:r w:rsidRPr="00DE63BA">
        <w:rPr>
          <w:szCs w:val="28"/>
        </w:rPr>
        <w:t>and the driver as</w:t>
      </w:r>
      <w:r w:rsidRPr="004D4916">
        <w:rPr>
          <w:rFonts w:ascii="PMingLiU" w:eastAsia="PMingLiU" w:hAnsi="PMingLiU"/>
          <w:szCs w:val="28"/>
        </w:rPr>
        <w:t>國泰司機</w:t>
      </w:r>
      <w:r w:rsidRPr="00DE63BA">
        <w:rPr>
          <w:szCs w:val="28"/>
        </w:rPr>
        <w:t xml:space="preserve">.  The </w:t>
      </w:r>
      <w:r w:rsidR="005959A5">
        <w:rPr>
          <w:szCs w:val="28"/>
        </w:rPr>
        <w:t>C</w:t>
      </w:r>
      <w:r w:rsidRPr="00DE63BA">
        <w:rPr>
          <w:szCs w:val="28"/>
        </w:rPr>
        <w:t xml:space="preserve">ourt was further referred to first, the Letter before Action which the name of the Driver was disclosed therein, and secondly to paragraph 7 of the </w:t>
      </w:r>
      <w:r w:rsidR="00964366">
        <w:rPr>
          <w:szCs w:val="28"/>
        </w:rPr>
        <w:t>P</w:t>
      </w:r>
      <w:r>
        <w:rPr>
          <w:szCs w:val="28"/>
        </w:rPr>
        <w:t>laintiff</w:t>
      </w:r>
      <w:r w:rsidRPr="00DE63BA">
        <w:rPr>
          <w:szCs w:val="28"/>
        </w:rPr>
        <w:t xml:space="preserve">’s witness statement dated 16 August 2021 where she </w:t>
      </w:r>
      <w:proofErr w:type="gramStart"/>
      <w:r w:rsidRPr="00DE63BA">
        <w:rPr>
          <w:szCs w:val="28"/>
        </w:rPr>
        <w:t>said:</w:t>
      </w:r>
      <w:r w:rsidR="004D4916">
        <w:rPr>
          <w:szCs w:val="28"/>
        </w:rPr>
        <w:t>-</w:t>
      </w:r>
      <w:proofErr w:type="gramEnd"/>
    </w:p>
    <w:p w:rsidR="004D4916" w:rsidRPr="00DE63BA" w:rsidRDefault="004D4916" w:rsidP="004D4916">
      <w:pPr>
        <w:pStyle w:val="ListParagraph"/>
        <w:spacing w:line="360" w:lineRule="auto"/>
        <w:ind w:left="0"/>
        <w:jc w:val="both"/>
        <w:rPr>
          <w:szCs w:val="28"/>
        </w:rPr>
      </w:pPr>
    </w:p>
    <w:p w:rsidR="00DE63BA" w:rsidRPr="004D4916" w:rsidRDefault="004D4916" w:rsidP="004D4916">
      <w:pPr>
        <w:pStyle w:val="ListParagraph"/>
        <w:ind w:left="1440" w:right="746"/>
        <w:jc w:val="both"/>
        <w:rPr>
          <w:rFonts w:ascii="PMingLiU" w:eastAsiaTheme="minorEastAsia" w:hAnsi="PMingLiU"/>
          <w:color w:val="222222"/>
          <w:sz w:val="24"/>
          <w:szCs w:val="24"/>
          <w:shd w:val="clear" w:color="auto" w:fill="FFFFFF"/>
        </w:rPr>
      </w:pPr>
      <w:r w:rsidRPr="004D4916">
        <w:rPr>
          <w:rFonts w:ascii="PMingLiU" w:eastAsiaTheme="minorEastAsia" w:hAnsi="PMingLiU"/>
          <w:color w:val="222222"/>
          <w:sz w:val="24"/>
          <w:szCs w:val="24"/>
          <w:shd w:val="clear" w:color="auto" w:fill="FFFFFF"/>
          <w:lang w:eastAsia="zh-TW"/>
        </w:rPr>
        <w:t>“</w:t>
      </w:r>
      <w:r w:rsidR="00DE63BA" w:rsidRPr="004D4916">
        <w:rPr>
          <w:rFonts w:ascii="PMingLiU" w:eastAsia="PMingLiU" w:hAnsi="PMingLiU"/>
          <w:color w:val="222222"/>
          <w:sz w:val="24"/>
          <w:szCs w:val="24"/>
          <w:shd w:val="clear" w:color="auto" w:fill="FFFFFF"/>
          <w:lang w:eastAsia="zh-TW"/>
        </w:rPr>
        <w:t>意外前我亦經常乘坐該小巴，除了休息日外，該小巴一直都是由一位姓</w:t>
      </w:r>
      <w:r w:rsidR="00DE63BA" w:rsidRPr="004D4916">
        <w:rPr>
          <w:rFonts w:ascii="PMingLiU" w:eastAsia="PMingLiU" w:hAnsi="PMingLiU"/>
          <w:color w:val="222222"/>
          <w:sz w:val="24"/>
          <w:szCs w:val="24"/>
          <w:u w:val="single"/>
          <w:shd w:val="clear" w:color="auto" w:fill="FFFFFF"/>
          <w:lang w:eastAsia="zh-TW"/>
        </w:rPr>
        <w:t>李</w:t>
      </w:r>
      <w:r w:rsidR="00DE63BA" w:rsidRPr="004D4916">
        <w:rPr>
          <w:rFonts w:ascii="PMingLiU" w:eastAsia="PMingLiU" w:hAnsi="PMingLiU"/>
          <w:color w:val="222222"/>
          <w:sz w:val="24"/>
          <w:szCs w:val="24"/>
          <w:shd w:val="clear" w:color="auto" w:fill="FFFFFF"/>
          <w:lang w:eastAsia="zh-TW"/>
        </w:rPr>
        <w:t>的男司機駕駛。而意外當日亦是由該姓</w:t>
      </w:r>
      <w:r w:rsidR="00DE63BA" w:rsidRPr="004D4916">
        <w:rPr>
          <w:rFonts w:ascii="PMingLiU" w:eastAsia="PMingLiU" w:hAnsi="PMingLiU"/>
          <w:color w:val="222222"/>
          <w:sz w:val="24"/>
          <w:szCs w:val="24"/>
          <w:u w:val="single"/>
          <w:shd w:val="clear" w:color="auto" w:fill="FFFFFF"/>
          <w:lang w:eastAsia="zh-TW"/>
        </w:rPr>
        <w:t>李</w:t>
      </w:r>
      <w:r w:rsidR="00DE63BA" w:rsidRPr="004D4916">
        <w:rPr>
          <w:rFonts w:ascii="PMingLiU" w:eastAsia="PMingLiU" w:hAnsi="PMingLiU"/>
          <w:color w:val="222222"/>
          <w:sz w:val="24"/>
          <w:szCs w:val="24"/>
          <w:shd w:val="clear" w:color="auto" w:fill="FFFFFF"/>
          <w:lang w:eastAsia="zh-TW"/>
        </w:rPr>
        <w:t>的男司機駕駛該小巴。</w:t>
      </w:r>
      <w:r w:rsidRPr="004D4916">
        <w:rPr>
          <w:rFonts w:ascii="PMingLiU" w:eastAsiaTheme="minorEastAsia" w:hAnsi="PMingLiU"/>
          <w:color w:val="222222"/>
          <w:sz w:val="24"/>
          <w:szCs w:val="24"/>
          <w:shd w:val="clear" w:color="auto" w:fill="FFFFFF"/>
        </w:rPr>
        <w:t>”</w:t>
      </w:r>
    </w:p>
    <w:p w:rsidR="004D4916" w:rsidRPr="004D4916" w:rsidRDefault="004D4916" w:rsidP="004D4916">
      <w:pPr>
        <w:pStyle w:val="ListParagraph"/>
        <w:spacing w:line="360" w:lineRule="auto"/>
        <w:ind w:left="0"/>
        <w:jc w:val="both"/>
        <w:rPr>
          <w:rFonts w:ascii="PMingLiU" w:eastAsiaTheme="minorEastAsia" w:hAnsi="PMingLiU"/>
          <w:szCs w:val="28"/>
        </w:rPr>
      </w:pPr>
    </w:p>
    <w:p w:rsidR="00DE63BA" w:rsidRDefault="00DE63BA" w:rsidP="00DE63BA">
      <w:pPr>
        <w:pStyle w:val="ListParagraph"/>
        <w:numPr>
          <w:ilvl w:val="0"/>
          <w:numId w:val="15"/>
        </w:numPr>
        <w:spacing w:line="360" w:lineRule="auto"/>
        <w:ind w:left="0" w:firstLine="0"/>
        <w:jc w:val="both"/>
        <w:rPr>
          <w:szCs w:val="28"/>
        </w:rPr>
      </w:pPr>
      <w:r w:rsidRPr="00DE63BA">
        <w:rPr>
          <w:szCs w:val="28"/>
        </w:rPr>
        <w:lastRenderedPageBreak/>
        <w:t xml:space="preserve">It is submitted by CPCS that the </w:t>
      </w:r>
      <w:r w:rsidR="00964366">
        <w:rPr>
          <w:szCs w:val="28"/>
        </w:rPr>
        <w:t>P</w:t>
      </w:r>
      <w:r>
        <w:rPr>
          <w:szCs w:val="28"/>
        </w:rPr>
        <w:t>laintiff</w:t>
      </w:r>
      <w:r w:rsidRPr="00DE63BA">
        <w:rPr>
          <w:szCs w:val="28"/>
        </w:rPr>
        <w:t xml:space="preserve"> must all along been able to identify the Driver and given her actual knowledge that the Minibus was operated by Cathay Pacific, the identity of the owner of the minibus could have revealed if proper enquiries were made by her and/or her lawyers.</w:t>
      </w:r>
    </w:p>
    <w:p w:rsidR="004D4916" w:rsidRPr="00DE63BA" w:rsidRDefault="004D4916" w:rsidP="004D4916">
      <w:pPr>
        <w:pStyle w:val="ListParagraph"/>
        <w:spacing w:line="360" w:lineRule="auto"/>
        <w:ind w:left="0"/>
        <w:jc w:val="both"/>
        <w:rPr>
          <w:szCs w:val="28"/>
        </w:rPr>
      </w:pPr>
    </w:p>
    <w:p w:rsidR="00DE63BA" w:rsidRDefault="00DE63BA" w:rsidP="00DE63BA">
      <w:pPr>
        <w:pStyle w:val="ListParagraph"/>
        <w:numPr>
          <w:ilvl w:val="0"/>
          <w:numId w:val="15"/>
        </w:numPr>
        <w:spacing w:line="360" w:lineRule="auto"/>
        <w:ind w:left="0" w:firstLine="0"/>
        <w:jc w:val="both"/>
        <w:rPr>
          <w:szCs w:val="28"/>
        </w:rPr>
      </w:pPr>
      <w:r w:rsidRPr="00DE63BA">
        <w:rPr>
          <w:szCs w:val="28"/>
        </w:rPr>
        <w:t xml:space="preserve">On the other hand, the </w:t>
      </w:r>
      <w:r w:rsidR="00964366">
        <w:rPr>
          <w:szCs w:val="28"/>
        </w:rPr>
        <w:t>P</w:t>
      </w:r>
      <w:r>
        <w:rPr>
          <w:szCs w:val="28"/>
        </w:rPr>
        <w:t>laintiff</w:t>
      </w:r>
      <w:r w:rsidRPr="00DE63BA">
        <w:rPr>
          <w:szCs w:val="28"/>
        </w:rPr>
        <w:t xml:space="preserve"> maintained her stance in both of her affirmations that she had no knowledge that the Minibus and Driver was owned and employed by CPCS.  She referred those minibuses as</w:t>
      </w:r>
      <w:r w:rsidRPr="004D4916">
        <w:rPr>
          <w:rFonts w:ascii="PMingLiU" w:eastAsia="PMingLiU" w:hAnsi="PMingLiU"/>
          <w:szCs w:val="28"/>
        </w:rPr>
        <w:t>國泰巴士</w:t>
      </w:r>
      <w:r w:rsidRPr="00DE63BA">
        <w:rPr>
          <w:szCs w:val="28"/>
        </w:rPr>
        <w:t xml:space="preserve">because she knew the </w:t>
      </w:r>
      <w:r>
        <w:rPr>
          <w:szCs w:val="28"/>
        </w:rPr>
        <w:t>defendant</w:t>
      </w:r>
      <w:r w:rsidRPr="00DE63BA">
        <w:rPr>
          <w:szCs w:val="28"/>
        </w:rPr>
        <w:t xml:space="preserve"> only provided services for Cathay Pacific and those minibuses sent them to Cathay Pacific aircrafts exclusively.</w:t>
      </w:r>
    </w:p>
    <w:p w:rsidR="004D4916" w:rsidRPr="00DE63BA" w:rsidRDefault="004D4916" w:rsidP="004D4916">
      <w:pPr>
        <w:pStyle w:val="ListParagraph"/>
        <w:spacing w:line="360" w:lineRule="auto"/>
        <w:ind w:left="0"/>
        <w:jc w:val="both"/>
        <w:rPr>
          <w:szCs w:val="28"/>
        </w:rPr>
      </w:pPr>
    </w:p>
    <w:p w:rsidR="00DE63BA" w:rsidRDefault="00DE63BA" w:rsidP="00DE63BA">
      <w:pPr>
        <w:pStyle w:val="ListParagraph"/>
        <w:numPr>
          <w:ilvl w:val="0"/>
          <w:numId w:val="15"/>
        </w:numPr>
        <w:spacing w:line="360" w:lineRule="auto"/>
        <w:ind w:left="0" w:firstLine="0"/>
        <w:jc w:val="both"/>
        <w:rPr>
          <w:szCs w:val="28"/>
        </w:rPr>
      </w:pPr>
      <w:r w:rsidRPr="00DE63BA">
        <w:rPr>
          <w:szCs w:val="28"/>
        </w:rPr>
        <w:t xml:space="preserve">The </w:t>
      </w:r>
      <w:r w:rsidR="00964366">
        <w:rPr>
          <w:szCs w:val="28"/>
        </w:rPr>
        <w:t>P</w:t>
      </w:r>
      <w:r>
        <w:rPr>
          <w:szCs w:val="28"/>
        </w:rPr>
        <w:t>laintiff</w:t>
      </w:r>
      <w:r w:rsidRPr="00DE63BA">
        <w:rPr>
          <w:szCs w:val="28"/>
        </w:rPr>
        <w:t xml:space="preserve"> also submitted that she only received education up to primary school in Mainland China and thus unable to understand the sign “Cathay Pacific Catering Service” or “CPCS” as printed on her access card.</w:t>
      </w:r>
    </w:p>
    <w:p w:rsidR="004D4916" w:rsidRPr="00DE63BA" w:rsidRDefault="004D4916" w:rsidP="004D4916">
      <w:pPr>
        <w:pStyle w:val="ListParagraph"/>
        <w:spacing w:line="360" w:lineRule="auto"/>
        <w:ind w:left="0"/>
        <w:jc w:val="both"/>
        <w:rPr>
          <w:szCs w:val="28"/>
        </w:rPr>
      </w:pPr>
    </w:p>
    <w:p w:rsidR="00DE63BA" w:rsidRDefault="00DE63BA" w:rsidP="00DE63BA">
      <w:pPr>
        <w:pStyle w:val="ListParagraph"/>
        <w:numPr>
          <w:ilvl w:val="0"/>
          <w:numId w:val="15"/>
        </w:numPr>
        <w:spacing w:line="360" w:lineRule="auto"/>
        <w:ind w:left="0" w:firstLine="0"/>
        <w:jc w:val="both"/>
        <w:rPr>
          <w:szCs w:val="28"/>
        </w:rPr>
      </w:pPr>
      <w:r w:rsidRPr="00DE63BA">
        <w:rPr>
          <w:szCs w:val="28"/>
        </w:rPr>
        <w:t>Mr</w:t>
      </w:r>
      <w:r w:rsidR="00964366">
        <w:rPr>
          <w:szCs w:val="28"/>
        </w:rPr>
        <w:t>.</w:t>
      </w:r>
      <w:r w:rsidRPr="00DE63BA">
        <w:rPr>
          <w:szCs w:val="28"/>
        </w:rPr>
        <w:t xml:space="preserve"> Nip, counsel for the </w:t>
      </w:r>
      <w:r w:rsidR="00964366">
        <w:rPr>
          <w:szCs w:val="28"/>
        </w:rPr>
        <w:t>P</w:t>
      </w:r>
      <w:r>
        <w:rPr>
          <w:szCs w:val="28"/>
        </w:rPr>
        <w:t>laintiff</w:t>
      </w:r>
      <w:r w:rsidRPr="00DE63BA">
        <w:rPr>
          <w:szCs w:val="28"/>
        </w:rPr>
        <w:t xml:space="preserve">, submitted that the </w:t>
      </w:r>
      <w:r>
        <w:rPr>
          <w:szCs w:val="28"/>
        </w:rPr>
        <w:t>plaintiff</w:t>
      </w:r>
      <w:r w:rsidRPr="00DE63BA">
        <w:rPr>
          <w:szCs w:val="28"/>
        </w:rPr>
        <w:t>’s reference to</w:t>
      </w:r>
      <w:r w:rsidRPr="004D4916">
        <w:rPr>
          <w:rFonts w:ascii="PMingLiU" w:eastAsia="PMingLiU" w:hAnsi="PMingLiU"/>
          <w:szCs w:val="28"/>
        </w:rPr>
        <w:t>國泰巴士</w:t>
      </w:r>
      <w:r w:rsidRPr="00DE63BA">
        <w:rPr>
          <w:szCs w:val="28"/>
        </w:rPr>
        <w:t xml:space="preserve">in her Form 2 and Incident Report could not prove her knowledge about who owned or operated the Minibus.  He further argued that Cathay Pacific and CPCS are clearly two separate entities.  </w:t>
      </w:r>
    </w:p>
    <w:p w:rsidR="004D4916" w:rsidRPr="00DE63BA" w:rsidRDefault="004D4916" w:rsidP="004D4916">
      <w:pPr>
        <w:pStyle w:val="ListParagraph"/>
        <w:spacing w:line="360" w:lineRule="auto"/>
        <w:ind w:left="0"/>
        <w:jc w:val="both"/>
        <w:rPr>
          <w:szCs w:val="28"/>
        </w:rPr>
      </w:pPr>
    </w:p>
    <w:p w:rsidR="00DE63BA" w:rsidRPr="00DE63BA" w:rsidRDefault="00DE63BA" w:rsidP="00DE63BA">
      <w:pPr>
        <w:pStyle w:val="ListParagraph"/>
        <w:numPr>
          <w:ilvl w:val="0"/>
          <w:numId w:val="15"/>
        </w:numPr>
        <w:spacing w:line="360" w:lineRule="auto"/>
        <w:ind w:left="0" w:firstLine="0"/>
        <w:jc w:val="both"/>
        <w:rPr>
          <w:szCs w:val="28"/>
        </w:rPr>
      </w:pPr>
      <w:r w:rsidRPr="00DE63BA">
        <w:rPr>
          <w:szCs w:val="28"/>
        </w:rPr>
        <w:t xml:space="preserve">Conversely, the </w:t>
      </w:r>
      <w:r w:rsidR="00964366">
        <w:rPr>
          <w:szCs w:val="28"/>
        </w:rPr>
        <w:t>P</w:t>
      </w:r>
      <w:r>
        <w:rPr>
          <w:szCs w:val="28"/>
        </w:rPr>
        <w:t>laintiff</w:t>
      </w:r>
      <w:r w:rsidRPr="00DE63BA">
        <w:rPr>
          <w:szCs w:val="28"/>
        </w:rPr>
        <w:t xml:space="preserve"> contended that </w:t>
      </w:r>
      <w:proofErr w:type="spellStart"/>
      <w:r w:rsidRPr="00DE63BA">
        <w:rPr>
          <w:szCs w:val="28"/>
        </w:rPr>
        <w:t>BMak</w:t>
      </w:r>
      <w:proofErr w:type="spellEnd"/>
      <w:r w:rsidRPr="00DE63BA">
        <w:rPr>
          <w:szCs w:val="28"/>
        </w:rPr>
        <w:t xml:space="preserve">, being the </w:t>
      </w:r>
      <w:r w:rsidR="00760732">
        <w:rPr>
          <w:szCs w:val="28"/>
        </w:rPr>
        <w:t>P</w:t>
      </w:r>
      <w:r>
        <w:rPr>
          <w:szCs w:val="28"/>
        </w:rPr>
        <w:t>laintiff</w:t>
      </w:r>
      <w:r w:rsidRPr="00DE63BA">
        <w:rPr>
          <w:szCs w:val="28"/>
        </w:rPr>
        <w:t xml:space="preserve">’s solicitors, did ask the </w:t>
      </w:r>
      <w:r>
        <w:rPr>
          <w:szCs w:val="28"/>
        </w:rPr>
        <w:t>defendant</w:t>
      </w:r>
      <w:r w:rsidRPr="00DE63BA">
        <w:rPr>
          <w:szCs w:val="28"/>
        </w:rPr>
        <w:t xml:space="preserve"> in the Letter before Action to provide information if they know there was or were any other party at fault.  It is submitted that the </w:t>
      </w:r>
      <w:r>
        <w:rPr>
          <w:szCs w:val="28"/>
        </w:rPr>
        <w:t>defendant</w:t>
      </w:r>
      <w:r w:rsidRPr="00DE63BA">
        <w:rPr>
          <w:szCs w:val="28"/>
        </w:rPr>
        <w:t xml:space="preserve">, while knowing the identity of CPCS all along, deliberately chose to conceal this piece of information from the </w:t>
      </w:r>
      <w:r w:rsidR="00760732">
        <w:rPr>
          <w:szCs w:val="28"/>
        </w:rPr>
        <w:lastRenderedPageBreak/>
        <w:t>P</w:t>
      </w:r>
      <w:r>
        <w:rPr>
          <w:szCs w:val="28"/>
        </w:rPr>
        <w:t>laintiff</w:t>
      </w:r>
      <w:r w:rsidRPr="00DE63BA">
        <w:rPr>
          <w:szCs w:val="28"/>
        </w:rPr>
        <w:t xml:space="preserve">, and thus the latter could not be blamed for not taking adequate steps in ascertaining the identity of potential </w:t>
      </w:r>
      <w:proofErr w:type="spellStart"/>
      <w:r w:rsidRPr="00DE63BA">
        <w:rPr>
          <w:szCs w:val="28"/>
        </w:rPr>
        <w:t>tortfeasors</w:t>
      </w:r>
      <w:proofErr w:type="spellEnd"/>
      <w:r w:rsidRPr="00DE63BA">
        <w:rPr>
          <w:szCs w:val="28"/>
        </w:rPr>
        <w:t>.</w:t>
      </w:r>
    </w:p>
    <w:p w:rsidR="00DE63BA" w:rsidRPr="00DE63BA" w:rsidRDefault="00DE63BA" w:rsidP="00DE63BA">
      <w:pPr>
        <w:spacing w:line="360" w:lineRule="auto"/>
        <w:jc w:val="both"/>
        <w:rPr>
          <w:szCs w:val="28"/>
        </w:rPr>
      </w:pPr>
    </w:p>
    <w:p w:rsidR="00DE63BA" w:rsidRPr="00760732" w:rsidRDefault="00DE63BA" w:rsidP="004D4916">
      <w:pPr>
        <w:pStyle w:val="ListParagraph"/>
        <w:spacing w:line="360" w:lineRule="auto"/>
        <w:ind w:left="0"/>
        <w:jc w:val="both"/>
        <w:rPr>
          <w:b/>
          <w:i/>
          <w:szCs w:val="28"/>
        </w:rPr>
      </w:pPr>
      <w:r w:rsidRPr="00760732">
        <w:rPr>
          <w:b/>
          <w:i/>
          <w:szCs w:val="28"/>
        </w:rPr>
        <w:t>Whether the identity of CPCS is knowledge that the plaintiff ‘might reasonably be expected to acquire’ from facts observable or ascertainable by her?</w:t>
      </w:r>
    </w:p>
    <w:p w:rsidR="004D4916" w:rsidRPr="004D4916" w:rsidRDefault="004D4916" w:rsidP="004D4916">
      <w:pPr>
        <w:pStyle w:val="ListParagraph"/>
        <w:spacing w:line="360" w:lineRule="auto"/>
        <w:ind w:left="0"/>
        <w:jc w:val="both"/>
        <w:rPr>
          <w:i/>
          <w:szCs w:val="28"/>
        </w:rPr>
      </w:pPr>
    </w:p>
    <w:p w:rsidR="004D4916" w:rsidRDefault="00DE63BA" w:rsidP="004D4916">
      <w:pPr>
        <w:pStyle w:val="ListParagraph"/>
        <w:numPr>
          <w:ilvl w:val="0"/>
          <w:numId w:val="15"/>
        </w:numPr>
        <w:spacing w:line="360" w:lineRule="auto"/>
        <w:ind w:left="0" w:firstLine="0"/>
        <w:jc w:val="both"/>
        <w:rPr>
          <w:szCs w:val="28"/>
        </w:rPr>
      </w:pPr>
      <w:r w:rsidRPr="00DE63BA">
        <w:rPr>
          <w:szCs w:val="28"/>
        </w:rPr>
        <w:t>As held by Purchas LJ in</w:t>
      </w:r>
      <w:r w:rsidR="004D4916">
        <w:rPr>
          <w:szCs w:val="28"/>
        </w:rPr>
        <w:t xml:space="preserve"> </w:t>
      </w:r>
      <w:r w:rsidRPr="00507B60">
        <w:rPr>
          <w:b/>
          <w:i/>
          <w:szCs w:val="28"/>
        </w:rPr>
        <w:t>Nash v Eli Lilly &amp; Co</w:t>
      </w:r>
      <w:r w:rsidR="004D4916">
        <w:rPr>
          <w:i/>
          <w:szCs w:val="28"/>
        </w:rPr>
        <w:t xml:space="preserve"> </w:t>
      </w:r>
      <w:r w:rsidRPr="00DE63BA">
        <w:rPr>
          <w:szCs w:val="28"/>
        </w:rPr>
        <w:t>[1993] 4 All ER 383, at 392, the required</w:t>
      </w:r>
      <w:r w:rsidR="004D4916">
        <w:rPr>
          <w:szCs w:val="28"/>
        </w:rPr>
        <w:t xml:space="preserve"> </w:t>
      </w:r>
      <w:bookmarkStart w:id="0" w:name="ctx99"/>
      <w:r w:rsidRPr="00DE63BA">
        <w:rPr>
          <w:szCs w:val="28"/>
        </w:rPr>
        <w:t>knowledge</w:t>
      </w:r>
      <w:bookmarkEnd w:id="0"/>
      <w:r w:rsidR="004D4916">
        <w:rPr>
          <w:szCs w:val="28"/>
        </w:rPr>
        <w:t xml:space="preserve"> </w:t>
      </w:r>
      <w:r w:rsidRPr="00DE63BA">
        <w:rPr>
          <w:szCs w:val="28"/>
        </w:rPr>
        <w:t>is a condition of mind that imports a degree of certainty which may reasonably be regarded as sufficient to justify the claimant embarking upon preliminaries to the making of a claim, such as taking legal or other advice.</w:t>
      </w:r>
      <w:r w:rsidR="004D4916">
        <w:rPr>
          <w:szCs w:val="28"/>
        </w:rPr>
        <w:t xml:space="preserve">  </w:t>
      </w:r>
      <w:bookmarkStart w:id="1" w:name="ctx100"/>
      <w:r w:rsidRPr="00DE63BA">
        <w:rPr>
          <w:szCs w:val="28"/>
        </w:rPr>
        <w:t>Knowledge</w:t>
      </w:r>
      <w:bookmarkEnd w:id="1"/>
      <w:r w:rsidR="00770802">
        <w:rPr>
          <w:szCs w:val="28"/>
        </w:rPr>
        <w:t xml:space="preserve"> </w:t>
      </w:r>
      <w:r w:rsidRPr="00DE63BA">
        <w:rPr>
          <w:szCs w:val="28"/>
        </w:rPr>
        <w:t>does not mean knowing for certain, but may mean a reasonably firmly held belief that warrants a claimant taking steps to investigate the claim.</w:t>
      </w:r>
      <w:r w:rsidR="004D4916">
        <w:rPr>
          <w:szCs w:val="28"/>
        </w:rPr>
        <w:t xml:space="preserve">  </w:t>
      </w:r>
      <w:r w:rsidRPr="00DE63BA">
        <w:rPr>
          <w:szCs w:val="28"/>
        </w:rPr>
        <w:t>The court must assess the intelligence of the plaintiff in understanding the information obtained and consider as a matter of fact whether he comprehended such information.</w:t>
      </w:r>
    </w:p>
    <w:p w:rsidR="004D4916" w:rsidRPr="004D4916" w:rsidRDefault="004D4916" w:rsidP="004D4916">
      <w:pPr>
        <w:pStyle w:val="ListParagraph"/>
        <w:spacing w:line="360" w:lineRule="auto"/>
        <w:ind w:left="0"/>
        <w:jc w:val="both"/>
        <w:rPr>
          <w:szCs w:val="28"/>
        </w:rPr>
      </w:pPr>
    </w:p>
    <w:p w:rsidR="00DE63BA" w:rsidRDefault="00DE63BA" w:rsidP="00DE63BA">
      <w:pPr>
        <w:pStyle w:val="ListParagraph"/>
        <w:numPr>
          <w:ilvl w:val="0"/>
          <w:numId w:val="15"/>
        </w:numPr>
        <w:spacing w:line="360" w:lineRule="auto"/>
        <w:ind w:left="0" w:firstLine="0"/>
        <w:jc w:val="both"/>
        <w:rPr>
          <w:szCs w:val="28"/>
        </w:rPr>
      </w:pPr>
      <w:r w:rsidRPr="00DE63BA">
        <w:rPr>
          <w:szCs w:val="28"/>
        </w:rPr>
        <w:t xml:space="preserve">Whilst accepting the </w:t>
      </w:r>
      <w:r w:rsidR="00507B60">
        <w:rPr>
          <w:szCs w:val="28"/>
        </w:rPr>
        <w:t>P</w:t>
      </w:r>
      <w:r>
        <w:rPr>
          <w:szCs w:val="28"/>
        </w:rPr>
        <w:t>laintiff</w:t>
      </w:r>
      <w:r w:rsidRPr="00DE63BA">
        <w:rPr>
          <w:szCs w:val="28"/>
        </w:rPr>
        <w:t xml:space="preserve"> may not understand the words “Cathay Pacific Catering Services/CPCS” and its significance, the intelligence or educational level of the </w:t>
      </w:r>
      <w:r w:rsidR="00136E6B">
        <w:rPr>
          <w:szCs w:val="28"/>
        </w:rPr>
        <w:t>P</w:t>
      </w:r>
      <w:r>
        <w:rPr>
          <w:szCs w:val="28"/>
        </w:rPr>
        <w:t>laintiff</w:t>
      </w:r>
      <w:r w:rsidRPr="00DE63BA">
        <w:rPr>
          <w:szCs w:val="28"/>
        </w:rPr>
        <w:t>, however, must not be the only factor the</w:t>
      </w:r>
      <w:r w:rsidR="004D4916">
        <w:rPr>
          <w:szCs w:val="28"/>
        </w:rPr>
        <w:t xml:space="preserve"> </w:t>
      </w:r>
      <w:r w:rsidR="00507B60">
        <w:rPr>
          <w:szCs w:val="28"/>
        </w:rPr>
        <w:t>C</w:t>
      </w:r>
      <w:r w:rsidRPr="00DE63BA">
        <w:rPr>
          <w:szCs w:val="28"/>
        </w:rPr>
        <w:t xml:space="preserve">ourt would have to consider, especially in cases like the present one where the </w:t>
      </w:r>
      <w:r w:rsidR="004F3E9C">
        <w:rPr>
          <w:szCs w:val="28"/>
        </w:rPr>
        <w:t>P</w:t>
      </w:r>
      <w:r>
        <w:rPr>
          <w:szCs w:val="28"/>
        </w:rPr>
        <w:t>laintiff</w:t>
      </w:r>
      <w:r w:rsidRPr="00DE63BA">
        <w:rPr>
          <w:szCs w:val="28"/>
        </w:rPr>
        <w:t xml:space="preserve"> has been legally represented from the start of the ECC proceedings.  A vast amount of plaintiffs, especially in personal injuries cases, come from humble backgrounds with limited education; should the </w:t>
      </w:r>
      <w:r w:rsidR="004F7AC7">
        <w:rPr>
          <w:szCs w:val="28"/>
        </w:rPr>
        <w:t>C</w:t>
      </w:r>
      <w:r w:rsidRPr="00DE63BA">
        <w:rPr>
          <w:szCs w:val="28"/>
        </w:rPr>
        <w:t>ourt is to consider merely the personal background of the plaintiffs in isolation of their legal representatives’ involvement, I view this would only encourage lawyers to act less conscientious</w:t>
      </w:r>
      <w:r w:rsidR="00C25B18">
        <w:rPr>
          <w:szCs w:val="28"/>
        </w:rPr>
        <w:t>ly</w:t>
      </w:r>
      <w:r w:rsidRPr="00DE63BA">
        <w:rPr>
          <w:szCs w:val="28"/>
        </w:rPr>
        <w:t xml:space="preserve"> than they ought to be as the ignorance of their clients could always act as their shield. </w:t>
      </w:r>
    </w:p>
    <w:p w:rsidR="00DE63BA" w:rsidRDefault="004D4916" w:rsidP="00DE63BA">
      <w:pPr>
        <w:pStyle w:val="ListParagraph"/>
        <w:numPr>
          <w:ilvl w:val="0"/>
          <w:numId w:val="15"/>
        </w:numPr>
        <w:spacing w:line="360" w:lineRule="auto"/>
        <w:ind w:left="0" w:firstLine="0"/>
        <w:jc w:val="both"/>
        <w:rPr>
          <w:szCs w:val="28"/>
        </w:rPr>
      </w:pPr>
      <w:r>
        <w:rPr>
          <w:szCs w:val="28"/>
        </w:rPr>
        <w:lastRenderedPageBreak/>
        <w:t>Mr</w:t>
      </w:r>
      <w:r w:rsidR="004F7AC7">
        <w:rPr>
          <w:szCs w:val="28"/>
        </w:rPr>
        <w:t>.</w:t>
      </w:r>
      <w:r w:rsidR="00DE63BA" w:rsidRPr="00DE63BA">
        <w:rPr>
          <w:szCs w:val="28"/>
        </w:rPr>
        <w:t xml:space="preserve"> Nip contended that </w:t>
      </w:r>
      <w:proofErr w:type="spellStart"/>
      <w:r w:rsidR="00DE63BA" w:rsidRPr="00DE63BA">
        <w:rPr>
          <w:szCs w:val="28"/>
        </w:rPr>
        <w:t>BMak</w:t>
      </w:r>
      <w:proofErr w:type="spellEnd"/>
      <w:r w:rsidR="00DE63BA" w:rsidRPr="00DE63BA">
        <w:rPr>
          <w:szCs w:val="28"/>
        </w:rPr>
        <w:t xml:space="preserve"> has made reasonable enquiries by asking the </w:t>
      </w:r>
      <w:r w:rsidR="00311FBF">
        <w:rPr>
          <w:szCs w:val="28"/>
        </w:rPr>
        <w:t>D</w:t>
      </w:r>
      <w:r w:rsidR="00DE63BA">
        <w:rPr>
          <w:szCs w:val="28"/>
        </w:rPr>
        <w:t>efendant</w:t>
      </w:r>
      <w:r w:rsidR="00DE63BA" w:rsidRPr="00DE63BA">
        <w:rPr>
          <w:szCs w:val="28"/>
        </w:rPr>
        <w:t xml:space="preserve"> at the pre-action stage to disclose the identity of other potential </w:t>
      </w:r>
      <w:proofErr w:type="spellStart"/>
      <w:r w:rsidR="00DE63BA" w:rsidRPr="00DE63BA">
        <w:rPr>
          <w:szCs w:val="28"/>
        </w:rPr>
        <w:t>tortfeasors</w:t>
      </w:r>
      <w:proofErr w:type="spellEnd"/>
      <w:r w:rsidR="00DE63BA" w:rsidRPr="00DE63BA">
        <w:rPr>
          <w:szCs w:val="28"/>
        </w:rPr>
        <w:t xml:space="preserve"> and the particulars of their alleged wrongdoing.  The </w:t>
      </w:r>
      <w:r w:rsidR="00311FBF">
        <w:rPr>
          <w:szCs w:val="28"/>
        </w:rPr>
        <w:t>C</w:t>
      </w:r>
      <w:r w:rsidR="00DE63BA" w:rsidRPr="00DE63BA">
        <w:rPr>
          <w:szCs w:val="28"/>
        </w:rPr>
        <w:t xml:space="preserve">ourt views that this could not be seen as a disclaimer intending to limit the scope of </w:t>
      </w:r>
      <w:proofErr w:type="spellStart"/>
      <w:r w:rsidR="00DE63BA" w:rsidRPr="00DE63BA">
        <w:rPr>
          <w:szCs w:val="28"/>
        </w:rPr>
        <w:t>BMak’s</w:t>
      </w:r>
      <w:proofErr w:type="spellEnd"/>
      <w:r w:rsidR="00DE63BA" w:rsidRPr="00DE63BA">
        <w:rPr>
          <w:szCs w:val="28"/>
        </w:rPr>
        <w:t xml:space="preserve"> obligations to act professionally and reasonably in identifying other apparent </w:t>
      </w:r>
      <w:proofErr w:type="spellStart"/>
      <w:r w:rsidR="00DE63BA" w:rsidRPr="00DE63BA">
        <w:rPr>
          <w:szCs w:val="28"/>
        </w:rPr>
        <w:t>tortfeasors</w:t>
      </w:r>
      <w:proofErr w:type="spellEnd"/>
      <w:r w:rsidR="00DE63BA" w:rsidRPr="00DE63BA">
        <w:rPr>
          <w:szCs w:val="28"/>
        </w:rPr>
        <w:t xml:space="preserve">.      </w:t>
      </w:r>
    </w:p>
    <w:p w:rsidR="004D4916" w:rsidRPr="00DE63BA" w:rsidRDefault="004D4916" w:rsidP="004D4916">
      <w:pPr>
        <w:pStyle w:val="ListParagraph"/>
        <w:spacing w:line="360" w:lineRule="auto"/>
        <w:ind w:left="0"/>
        <w:jc w:val="both"/>
        <w:rPr>
          <w:szCs w:val="28"/>
        </w:rPr>
      </w:pPr>
    </w:p>
    <w:p w:rsidR="00DE63BA" w:rsidRPr="004D4916" w:rsidRDefault="00DE63BA" w:rsidP="00DE63BA">
      <w:pPr>
        <w:pStyle w:val="ListParagraph"/>
        <w:numPr>
          <w:ilvl w:val="0"/>
          <w:numId w:val="15"/>
        </w:numPr>
        <w:spacing w:line="360" w:lineRule="auto"/>
        <w:ind w:left="0" w:firstLine="0"/>
        <w:jc w:val="both"/>
        <w:rPr>
          <w:szCs w:val="28"/>
        </w:rPr>
      </w:pPr>
      <w:r w:rsidRPr="00DE63BA">
        <w:rPr>
          <w:szCs w:val="28"/>
        </w:rPr>
        <w:t xml:space="preserve">The </w:t>
      </w:r>
      <w:r w:rsidR="00311FBF">
        <w:rPr>
          <w:szCs w:val="28"/>
        </w:rPr>
        <w:t>D</w:t>
      </w:r>
      <w:r>
        <w:rPr>
          <w:szCs w:val="28"/>
        </w:rPr>
        <w:t>efendant</w:t>
      </w:r>
      <w:r w:rsidRPr="00DE63BA">
        <w:rPr>
          <w:szCs w:val="28"/>
        </w:rPr>
        <w:t xml:space="preserve"> in fact has no general duty to assist the </w:t>
      </w:r>
      <w:r>
        <w:rPr>
          <w:szCs w:val="28"/>
        </w:rPr>
        <w:t>plaintiff</w:t>
      </w:r>
      <w:r w:rsidRPr="00DE63BA">
        <w:rPr>
          <w:szCs w:val="28"/>
        </w:rPr>
        <w:t xml:space="preserve"> in identifying potential defendants.  In </w:t>
      </w:r>
      <w:r w:rsidRPr="00311FBF">
        <w:rPr>
          <w:b/>
          <w:i/>
          <w:szCs w:val="28"/>
        </w:rPr>
        <w:t xml:space="preserve">Chan </w:t>
      </w:r>
      <w:proofErr w:type="spellStart"/>
      <w:r w:rsidRPr="00311FBF">
        <w:rPr>
          <w:b/>
          <w:i/>
          <w:szCs w:val="28"/>
        </w:rPr>
        <w:t>Ngan</w:t>
      </w:r>
      <w:proofErr w:type="spellEnd"/>
      <w:r w:rsidRPr="00311FBF">
        <w:rPr>
          <w:b/>
          <w:i/>
          <w:szCs w:val="28"/>
        </w:rPr>
        <w:t xml:space="preserve"> Fa v Cui You Jun and Yan Zhao </w:t>
      </w:r>
      <w:proofErr w:type="spellStart"/>
      <w:r w:rsidRPr="00311FBF">
        <w:rPr>
          <w:b/>
          <w:i/>
          <w:szCs w:val="28"/>
        </w:rPr>
        <w:t>Jia</w:t>
      </w:r>
      <w:proofErr w:type="spellEnd"/>
      <w:r w:rsidRPr="00311FBF">
        <w:rPr>
          <w:b/>
          <w:i/>
          <w:szCs w:val="28"/>
        </w:rPr>
        <w:t>, Robert both formerly trading as China Venture International &amp; Anor</w:t>
      </w:r>
      <w:r w:rsidRPr="00DE63BA">
        <w:rPr>
          <w:i/>
          <w:szCs w:val="28"/>
        </w:rPr>
        <w:t xml:space="preserve">, </w:t>
      </w:r>
      <w:r w:rsidRPr="00DE63BA">
        <w:rPr>
          <w:szCs w:val="28"/>
        </w:rPr>
        <w:t xml:space="preserve">DCPI 832/2002 (unreported, 2 March 2009), HH Judge </w:t>
      </w:r>
      <w:proofErr w:type="spellStart"/>
      <w:r w:rsidRPr="00DE63BA">
        <w:rPr>
          <w:szCs w:val="28"/>
        </w:rPr>
        <w:t>Mimmie</w:t>
      </w:r>
      <w:proofErr w:type="spellEnd"/>
      <w:r w:rsidRPr="00DE63BA">
        <w:rPr>
          <w:szCs w:val="28"/>
        </w:rPr>
        <w:t xml:space="preserve"> Chan in paragraph 18 of her judgment said </w:t>
      </w:r>
      <w:r w:rsidRPr="00DE63BA">
        <w:rPr>
          <w:i/>
          <w:color w:val="000000"/>
          <w:szCs w:val="28"/>
        </w:rPr>
        <w:t xml:space="preserve">“defendants or prospective defendants cannot be expected to readily assist a prospective plaintiff in pursuing his/her claim, and to volunteer information or evidence.”  </w:t>
      </w:r>
      <w:r w:rsidRPr="00DE63BA">
        <w:rPr>
          <w:color w:val="000000"/>
          <w:szCs w:val="28"/>
        </w:rPr>
        <w:t>That passage was cited in a post-CJR decision of</w:t>
      </w:r>
      <w:r w:rsidRPr="00DE63BA">
        <w:rPr>
          <w:i/>
          <w:color w:val="000000"/>
          <w:szCs w:val="28"/>
        </w:rPr>
        <w:t xml:space="preserve"> </w:t>
      </w:r>
      <w:r w:rsidRPr="00774E81">
        <w:rPr>
          <w:b/>
          <w:i/>
          <w:color w:val="000000"/>
          <w:szCs w:val="28"/>
        </w:rPr>
        <w:t>Cheung Yin Heung v Hang Lung Real Estate Agency Limited</w:t>
      </w:r>
      <w:r w:rsidRPr="00DE63BA">
        <w:rPr>
          <w:i/>
          <w:color w:val="000000"/>
          <w:szCs w:val="28"/>
        </w:rPr>
        <w:t xml:space="preserve">, </w:t>
      </w:r>
      <w:r w:rsidRPr="00DE63BA">
        <w:rPr>
          <w:color w:val="000000"/>
          <w:szCs w:val="28"/>
        </w:rPr>
        <w:t>HCPI 421/2009 (unreported, 30 April 2010).</w:t>
      </w:r>
    </w:p>
    <w:p w:rsidR="004D4916" w:rsidRPr="00DE63BA" w:rsidRDefault="004D4916" w:rsidP="004D4916">
      <w:pPr>
        <w:pStyle w:val="ListParagraph"/>
        <w:spacing w:line="360" w:lineRule="auto"/>
        <w:ind w:left="0"/>
        <w:jc w:val="both"/>
        <w:rPr>
          <w:szCs w:val="28"/>
        </w:rPr>
      </w:pPr>
    </w:p>
    <w:p w:rsidR="00DE63BA" w:rsidRPr="004D4916" w:rsidRDefault="004D4916" w:rsidP="00DE63BA">
      <w:pPr>
        <w:pStyle w:val="ListParagraph"/>
        <w:numPr>
          <w:ilvl w:val="0"/>
          <w:numId w:val="15"/>
        </w:numPr>
        <w:spacing w:line="360" w:lineRule="auto"/>
        <w:ind w:left="0" w:firstLine="0"/>
        <w:jc w:val="both"/>
        <w:rPr>
          <w:szCs w:val="28"/>
        </w:rPr>
      </w:pPr>
      <w:r>
        <w:rPr>
          <w:color w:val="000000"/>
          <w:szCs w:val="28"/>
        </w:rPr>
        <w:t>Mr</w:t>
      </w:r>
      <w:r w:rsidR="00774E81">
        <w:rPr>
          <w:color w:val="000000"/>
          <w:szCs w:val="28"/>
        </w:rPr>
        <w:t>.</w:t>
      </w:r>
      <w:r w:rsidR="00DE63BA" w:rsidRPr="00DE63BA">
        <w:rPr>
          <w:color w:val="000000"/>
          <w:szCs w:val="28"/>
        </w:rPr>
        <w:t xml:space="preserve"> Nip in his submissions relied on </w:t>
      </w:r>
      <w:r w:rsidR="00DE63BA" w:rsidRPr="00774E81">
        <w:rPr>
          <w:b/>
          <w:i/>
          <w:color w:val="000000"/>
          <w:szCs w:val="28"/>
        </w:rPr>
        <w:t xml:space="preserve">Chu Gregory v. </w:t>
      </w:r>
      <w:proofErr w:type="spellStart"/>
      <w:r w:rsidR="00DE63BA" w:rsidRPr="00774E81">
        <w:rPr>
          <w:b/>
          <w:i/>
          <w:color w:val="000000"/>
          <w:szCs w:val="28"/>
        </w:rPr>
        <w:t>Yick</w:t>
      </w:r>
      <w:proofErr w:type="spellEnd"/>
      <w:r w:rsidR="00DE63BA" w:rsidRPr="00774E81">
        <w:rPr>
          <w:b/>
          <w:i/>
          <w:color w:val="000000"/>
          <w:szCs w:val="28"/>
        </w:rPr>
        <w:t xml:space="preserve"> Ngai Logistics (HK) Company Limited and River Trade Terminal Co Ltd and Anor</w:t>
      </w:r>
      <w:r w:rsidR="00DE63BA" w:rsidRPr="004D4916">
        <w:rPr>
          <w:color w:val="000000"/>
          <w:szCs w:val="28"/>
        </w:rPr>
        <w:t>,</w:t>
      </w:r>
      <w:r w:rsidR="00DE63BA" w:rsidRPr="00DE63BA">
        <w:rPr>
          <w:b/>
          <w:color w:val="000000"/>
          <w:szCs w:val="28"/>
        </w:rPr>
        <w:t xml:space="preserve"> </w:t>
      </w:r>
      <w:r w:rsidR="00DE63BA" w:rsidRPr="00DE63BA">
        <w:rPr>
          <w:color w:val="000000"/>
          <w:szCs w:val="28"/>
        </w:rPr>
        <w:t xml:space="preserve">DCPI 110/2020 [2021] HKDC 463 where Master Matthew Leung considered the parties’ duties to provide mutual disclosure of information and documents with respect to issues of liability prior to the commencement of proceedings stage under paragraphs 19 and 20 of the Practice Directions 18.1.  He further considered Order 1A, rule 1 and 4 of the Rules of District Court which empowers the </w:t>
      </w:r>
      <w:r w:rsidR="00774E81">
        <w:rPr>
          <w:color w:val="000000"/>
          <w:szCs w:val="28"/>
        </w:rPr>
        <w:t>C</w:t>
      </w:r>
      <w:r w:rsidR="00DE63BA" w:rsidRPr="00DE63BA">
        <w:rPr>
          <w:color w:val="000000"/>
          <w:szCs w:val="28"/>
        </w:rPr>
        <w:t xml:space="preserve">ourt to make orders ensuring, </w:t>
      </w:r>
      <w:r w:rsidR="00DE63BA" w:rsidRPr="00DE63BA">
        <w:rPr>
          <w:i/>
          <w:color w:val="000000"/>
          <w:szCs w:val="28"/>
        </w:rPr>
        <w:t>inter alia</w:t>
      </w:r>
      <w:r w:rsidR="00DE63BA" w:rsidRPr="00DE63BA">
        <w:rPr>
          <w:color w:val="000000"/>
          <w:szCs w:val="28"/>
        </w:rPr>
        <w:t xml:space="preserve">, that the litigation be dealt with expeditiously with a </w:t>
      </w:r>
      <w:r w:rsidR="00DE63BA" w:rsidRPr="00DE63BA">
        <w:rPr>
          <w:color w:val="000000"/>
          <w:szCs w:val="28"/>
        </w:rPr>
        <w:lastRenderedPageBreak/>
        <w:t xml:space="preserve">sense of reasonable proportion and procedural economy, and have the parties to co-operate in the conduct of the proceedings.  </w:t>
      </w:r>
    </w:p>
    <w:p w:rsidR="004D4916" w:rsidRPr="00DE63BA" w:rsidRDefault="004D4916" w:rsidP="004D4916">
      <w:pPr>
        <w:pStyle w:val="ListParagraph"/>
        <w:spacing w:line="360" w:lineRule="auto"/>
        <w:ind w:left="0"/>
        <w:jc w:val="both"/>
        <w:rPr>
          <w:szCs w:val="28"/>
        </w:rPr>
      </w:pPr>
    </w:p>
    <w:p w:rsidR="00DE63BA" w:rsidRPr="004D4916" w:rsidRDefault="00DE63BA" w:rsidP="00DE63BA">
      <w:pPr>
        <w:pStyle w:val="ListParagraph"/>
        <w:numPr>
          <w:ilvl w:val="0"/>
          <w:numId w:val="15"/>
        </w:numPr>
        <w:spacing w:line="360" w:lineRule="auto"/>
        <w:ind w:left="0" w:firstLine="0"/>
        <w:jc w:val="both"/>
        <w:rPr>
          <w:szCs w:val="28"/>
        </w:rPr>
      </w:pPr>
      <w:r w:rsidRPr="00DE63BA">
        <w:rPr>
          <w:color w:val="000000"/>
          <w:szCs w:val="28"/>
        </w:rPr>
        <w:t xml:space="preserve">In reconciling the above principles, one should not take a restrictive view that defendants or prospective defendants are obliged to disclose all information to the other side in pursing their claims.  It would be an incorrect and impractical expectation on any defendants to volunteer evidence so to assist or advance their opponents’ case.  Each case will have to be looked into their own context and the </w:t>
      </w:r>
      <w:r w:rsidR="006A5E30">
        <w:rPr>
          <w:color w:val="000000"/>
          <w:szCs w:val="28"/>
        </w:rPr>
        <w:t>C</w:t>
      </w:r>
      <w:r w:rsidRPr="00DE63BA">
        <w:rPr>
          <w:color w:val="000000"/>
          <w:szCs w:val="28"/>
        </w:rPr>
        <w:t>ourt is to examine whether the parties’ conducts being reasonable.</w:t>
      </w:r>
    </w:p>
    <w:p w:rsidR="004D4916" w:rsidRPr="00DE63BA" w:rsidRDefault="004D4916" w:rsidP="004D4916">
      <w:pPr>
        <w:pStyle w:val="ListParagraph"/>
        <w:spacing w:line="360" w:lineRule="auto"/>
        <w:ind w:left="0"/>
        <w:jc w:val="both"/>
        <w:rPr>
          <w:szCs w:val="28"/>
        </w:rPr>
      </w:pPr>
    </w:p>
    <w:p w:rsidR="00DE63BA" w:rsidRDefault="00DE63BA" w:rsidP="00DE63BA">
      <w:pPr>
        <w:pStyle w:val="ListParagraph"/>
        <w:numPr>
          <w:ilvl w:val="0"/>
          <w:numId w:val="15"/>
        </w:numPr>
        <w:spacing w:line="360" w:lineRule="auto"/>
        <w:ind w:left="0" w:firstLine="0"/>
        <w:jc w:val="both"/>
        <w:rPr>
          <w:szCs w:val="28"/>
        </w:rPr>
      </w:pPr>
      <w:r w:rsidRPr="00DE63BA">
        <w:rPr>
          <w:color w:val="000000"/>
          <w:szCs w:val="28"/>
        </w:rPr>
        <w:t xml:space="preserve">Indeed, contrary to the plaintiff in </w:t>
      </w:r>
      <w:r w:rsidRPr="00DE63BA">
        <w:rPr>
          <w:i/>
          <w:color w:val="000000"/>
          <w:szCs w:val="28"/>
        </w:rPr>
        <w:t>Chu Gregory</w:t>
      </w:r>
      <w:r w:rsidRPr="00DE63BA">
        <w:rPr>
          <w:color w:val="000000"/>
          <w:szCs w:val="28"/>
        </w:rPr>
        <w:t xml:space="preserve"> who had only worked at the site of the Accident for less than a month, the </w:t>
      </w:r>
      <w:r>
        <w:rPr>
          <w:color w:val="000000"/>
          <w:szCs w:val="28"/>
        </w:rPr>
        <w:t>plaintiff</w:t>
      </w:r>
      <w:r w:rsidRPr="00DE63BA">
        <w:rPr>
          <w:color w:val="000000"/>
          <w:szCs w:val="28"/>
        </w:rPr>
        <w:t xml:space="preserve"> in this present case was employed by the </w:t>
      </w:r>
      <w:r w:rsidR="002662B8">
        <w:rPr>
          <w:color w:val="000000"/>
          <w:szCs w:val="28"/>
        </w:rPr>
        <w:t>D</w:t>
      </w:r>
      <w:r>
        <w:rPr>
          <w:color w:val="000000"/>
          <w:szCs w:val="28"/>
        </w:rPr>
        <w:t>efendant</w:t>
      </w:r>
      <w:r w:rsidRPr="00DE63BA">
        <w:rPr>
          <w:color w:val="000000"/>
          <w:szCs w:val="28"/>
        </w:rPr>
        <w:t xml:space="preserve"> for more than 2 years at the time of the Accident and she would certainly have more insight of the operation at her work site.  Although I accept the possibility that the </w:t>
      </w:r>
      <w:r>
        <w:rPr>
          <w:color w:val="000000"/>
          <w:szCs w:val="28"/>
        </w:rPr>
        <w:t>plaintiff</w:t>
      </w:r>
      <w:r w:rsidRPr="00DE63BA">
        <w:rPr>
          <w:color w:val="000000"/>
          <w:szCs w:val="28"/>
        </w:rPr>
        <w:t xml:space="preserve"> did not understand the words “Cathay Pacific Catering Service”, she conceded that the site she reported to work being part of Cathay Pacific, her employer served Cathay Pacific exclusively and was able to describe the Minibus as a</w:t>
      </w:r>
      <w:r w:rsidRPr="004D4916">
        <w:rPr>
          <w:rFonts w:ascii="PMingLiU" w:eastAsia="PMingLiU" w:hAnsi="PMingLiU"/>
          <w:szCs w:val="28"/>
        </w:rPr>
        <w:t>國泰巴士</w:t>
      </w:r>
      <w:r w:rsidRPr="00DE63BA">
        <w:rPr>
          <w:szCs w:val="28"/>
        </w:rPr>
        <w:t xml:space="preserve">in her Form 2 and Incident Report. </w:t>
      </w:r>
    </w:p>
    <w:p w:rsidR="004D4916" w:rsidRPr="00DE63BA" w:rsidRDefault="004D4916" w:rsidP="004D4916">
      <w:pPr>
        <w:pStyle w:val="ListParagraph"/>
        <w:spacing w:line="360" w:lineRule="auto"/>
        <w:ind w:left="0"/>
        <w:jc w:val="both"/>
        <w:rPr>
          <w:szCs w:val="28"/>
        </w:rPr>
      </w:pPr>
    </w:p>
    <w:p w:rsidR="00DE63BA" w:rsidRDefault="00DE63BA" w:rsidP="00C25B18">
      <w:pPr>
        <w:pStyle w:val="ListParagraph"/>
        <w:numPr>
          <w:ilvl w:val="0"/>
          <w:numId w:val="15"/>
        </w:numPr>
        <w:spacing w:line="360" w:lineRule="auto"/>
        <w:jc w:val="both"/>
        <w:rPr>
          <w:szCs w:val="28"/>
        </w:rPr>
      </w:pPr>
      <w:r w:rsidRPr="00DE63BA">
        <w:rPr>
          <w:szCs w:val="28"/>
        </w:rPr>
        <w:t xml:space="preserve">It is less than likely for the </w:t>
      </w:r>
      <w:r w:rsidR="002662B8">
        <w:rPr>
          <w:szCs w:val="28"/>
        </w:rPr>
        <w:t>P</w:t>
      </w:r>
      <w:r>
        <w:rPr>
          <w:szCs w:val="28"/>
        </w:rPr>
        <w:t>laintiff</w:t>
      </w:r>
      <w:r w:rsidRPr="00DE63BA">
        <w:rPr>
          <w:szCs w:val="28"/>
        </w:rPr>
        <w:t xml:space="preserve"> to appreciate the </w:t>
      </w:r>
      <w:r w:rsidRPr="00DE63BA">
        <w:rPr>
          <w:i/>
          <w:szCs w:val="28"/>
        </w:rPr>
        <w:t>legal</w:t>
      </w:r>
      <w:r w:rsidRPr="00DE63BA">
        <w:rPr>
          <w:szCs w:val="28"/>
        </w:rPr>
        <w:t xml:space="preserve"> significance of Cathay Pacific being the operator of the Minibus as her primary concern at that time would probably be her employees’ compensation claim.  Despite the </w:t>
      </w:r>
      <w:r w:rsidR="002662B8">
        <w:rPr>
          <w:szCs w:val="28"/>
        </w:rPr>
        <w:t>P</w:t>
      </w:r>
      <w:r>
        <w:rPr>
          <w:szCs w:val="28"/>
        </w:rPr>
        <w:t>laintiff</w:t>
      </w:r>
      <w:r w:rsidRPr="00DE63BA">
        <w:rPr>
          <w:szCs w:val="28"/>
        </w:rPr>
        <w:t xml:space="preserve"> in her 2</w:t>
      </w:r>
      <w:r w:rsidRPr="00DE63BA">
        <w:rPr>
          <w:szCs w:val="28"/>
          <w:vertAlign w:val="superscript"/>
        </w:rPr>
        <w:t>nd</w:t>
      </w:r>
      <w:r w:rsidRPr="00DE63BA">
        <w:rPr>
          <w:szCs w:val="28"/>
        </w:rPr>
        <w:t xml:space="preserve"> affirmation claimed that </w:t>
      </w:r>
      <w:proofErr w:type="spellStart"/>
      <w:r w:rsidRPr="00DE63BA">
        <w:rPr>
          <w:szCs w:val="28"/>
        </w:rPr>
        <w:t>BMak</w:t>
      </w:r>
      <w:proofErr w:type="spellEnd"/>
      <w:r w:rsidRPr="00DE63BA">
        <w:rPr>
          <w:szCs w:val="28"/>
        </w:rPr>
        <w:t xml:space="preserve"> did not obtain the Incident Report for the ‘current proceedings’ (</w:t>
      </w:r>
      <w:proofErr w:type="spellStart"/>
      <w:r w:rsidRPr="00DE63BA">
        <w:rPr>
          <w:szCs w:val="28"/>
        </w:rPr>
        <w:t>ie</w:t>
      </w:r>
      <w:proofErr w:type="spellEnd"/>
      <w:r w:rsidRPr="00DE63BA">
        <w:rPr>
          <w:szCs w:val="28"/>
        </w:rPr>
        <w:t xml:space="preserve"> the Common Law claim) until </w:t>
      </w:r>
      <w:r w:rsidR="00C25B18">
        <w:rPr>
          <w:szCs w:val="28"/>
        </w:rPr>
        <w:t>11 May 2022</w:t>
      </w:r>
      <w:r w:rsidRPr="002662B8">
        <w:rPr>
          <w:szCs w:val="28"/>
        </w:rPr>
        <w:t>,</w:t>
      </w:r>
      <w:r w:rsidRPr="00DE63BA">
        <w:rPr>
          <w:szCs w:val="28"/>
        </w:rPr>
        <w:t xml:space="preserve"> the </w:t>
      </w:r>
      <w:r w:rsidR="005348D6">
        <w:rPr>
          <w:szCs w:val="28"/>
        </w:rPr>
        <w:t>C</w:t>
      </w:r>
      <w:r w:rsidRPr="00DE63BA">
        <w:rPr>
          <w:szCs w:val="28"/>
        </w:rPr>
        <w:t xml:space="preserve">ourt bears in mind that </w:t>
      </w:r>
      <w:proofErr w:type="spellStart"/>
      <w:r w:rsidRPr="00DE63BA">
        <w:rPr>
          <w:szCs w:val="28"/>
        </w:rPr>
        <w:t>BMak</w:t>
      </w:r>
      <w:proofErr w:type="spellEnd"/>
      <w:r w:rsidRPr="00DE63BA">
        <w:rPr>
          <w:szCs w:val="28"/>
        </w:rPr>
        <w:t xml:space="preserve">, as the legal representative for the </w:t>
      </w:r>
      <w:r>
        <w:rPr>
          <w:szCs w:val="28"/>
        </w:rPr>
        <w:lastRenderedPageBreak/>
        <w:t>plaintiff</w:t>
      </w:r>
      <w:r w:rsidRPr="00DE63BA">
        <w:rPr>
          <w:szCs w:val="28"/>
        </w:rPr>
        <w:t xml:space="preserve">’s EC Claim, would have access to both the Form 2 and Incident Report at the time of instruction which would be around October 2018.  </w:t>
      </w:r>
      <w:r w:rsidR="00C25B18">
        <w:rPr>
          <w:szCs w:val="28"/>
        </w:rPr>
        <w:t xml:space="preserve">And even if the Incident Report was “not discoverable” as </w:t>
      </w:r>
      <w:proofErr w:type="spellStart"/>
      <w:r w:rsidR="00C25B18">
        <w:rPr>
          <w:szCs w:val="28"/>
        </w:rPr>
        <w:t>BMak</w:t>
      </w:r>
      <w:proofErr w:type="spellEnd"/>
      <w:r w:rsidR="00C25B18">
        <w:rPr>
          <w:szCs w:val="28"/>
        </w:rPr>
        <w:t xml:space="preserve"> alleged, the Form 2 nonetheless disclosed the fact that the Accident happened when the Plaintiff was on a Cathay Pacific Staff Bus (</w:t>
      </w:r>
      <w:r w:rsidR="00C25B18" w:rsidRPr="00C25B18">
        <w:rPr>
          <w:rFonts w:hint="eastAsia"/>
          <w:szCs w:val="28"/>
        </w:rPr>
        <w:t>國泰地勤巴士</w:t>
      </w:r>
      <w:r w:rsidR="00C25B18">
        <w:rPr>
          <w:rFonts w:hint="eastAsia"/>
          <w:szCs w:val="28"/>
        </w:rPr>
        <w:t xml:space="preserve">). </w:t>
      </w:r>
      <w:r w:rsidR="00C25B18">
        <w:rPr>
          <w:szCs w:val="28"/>
        </w:rPr>
        <w:t xml:space="preserve"> </w:t>
      </w:r>
      <w:r w:rsidRPr="00DE63BA">
        <w:rPr>
          <w:szCs w:val="28"/>
        </w:rPr>
        <w:t xml:space="preserve">On reading those two statements, I am of the view that there should be reasonable suspicion as to whether any relevant </w:t>
      </w:r>
      <w:proofErr w:type="spellStart"/>
      <w:r w:rsidRPr="00DE63BA">
        <w:rPr>
          <w:szCs w:val="28"/>
        </w:rPr>
        <w:t>tortfeasor</w:t>
      </w:r>
      <w:proofErr w:type="spellEnd"/>
      <w:r w:rsidRPr="00DE63BA">
        <w:rPr>
          <w:szCs w:val="28"/>
        </w:rPr>
        <w:t xml:space="preserve"> other than the </w:t>
      </w:r>
      <w:r>
        <w:rPr>
          <w:szCs w:val="28"/>
        </w:rPr>
        <w:t>defendant</w:t>
      </w:r>
      <w:r w:rsidRPr="00DE63BA">
        <w:rPr>
          <w:szCs w:val="28"/>
        </w:rPr>
        <w:t xml:space="preserve"> be involved.  Despite </w:t>
      </w:r>
      <w:proofErr w:type="spellStart"/>
      <w:r w:rsidRPr="00DE63BA">
        <w:rPr>
          <w:szCs w:val="28"/>
        </w:rPr>
        <w:t>BMak</w:t>
      </w:r>
      <w:proofErr w:type="spellEnd"/>
      <w:r w:rsidRPr="00DE63BA">
        <w:rPr>
          <w:szCs w:val="28"/>
        </w:rPr>
        <w:t xml:space="preserve"> could not been fixed with knowledge of the involvement of CPCS at such point, it would be reasonable to expect the </w:t>
      </w:r>
      <w:r w:rsidR="002662B8">
        <w:rPr>
          <w:szCs w:val="28"/>
        </w:rPr>
        <w:t>P</w:t>
      </w:r>
      <w:r>
        <w:rPr>
          <w:szCs w:val="28"/>
        </w:rPr>
        <w:t>laintiff</w:t>
      </w:r>
      <w:r w:rsidRPr="00DE63BA">
        <w:rPr>
          <w:szCs w:val="28"/>
        </w:rPr>
        <w:t xml:space="preserve"> or her lawyers to embark on the preliminaries to the making of a claim against </w:t>
      </w:r>
      <w:r w:rsidR="00C25B18">
        <w:rPr>
          <w:szCs w:val="28"/>
        </w:rPr>
        <w:t>Cathay Pacific and its affiliates</w:t>
      </w:r>
      <w:r w:rsidRPr="00DE63BA">
        <w:rPr>
          <w:szCs w:val="28"/>
        </w:rPr>
        <w:t xml:space="preserve">.   </w:t>
      </w:r>
    </w:p>
    <w:p w:rsidR="00363F56" w:rsidRPr="00DE63BA" w:rsidRDefault="00363F56" w:rsidP="00363F56">
      <w:pPr>
        <w:pStyle w:val="ListParagraph"/>
        <w:spacing w:line="360" w:lineRule="auto"/>
        <w:ind w:left="0"/>
        <w:jc w:val="both"/>
        <w:rPr>
          <w:szCs w:val="28"/>
        </w:rPr>
      </w:pPr>
    </w:p>
    <w:p w:rsidR="00DE63BA" w:rsidRPr="00363F56" w:rsidRDefault="00DE63BA" w:rsidP="00DE63BA">
      <w:pPr>
        <w:pStyle w:val="ListParagraph"/>
        <w:numPr>
          <w:ilvl w:val="0"/>
          <w:numId w:val="15"/>
        </w:numPr>
        <w:spacing w:line="360" w:lineRule="auto"/>
        <w:ind w:left="0" w:firstLine="0"/>
        <w:jc w:val="both"/>
        <w:rPr>
          <w:szCs w:val="28"/>
        </w:rPr>
      </w:pPr>
      <w:r w:rsidRPr="00DE63BA">
        <w:rPr>
          <w:szCs w:val="28"/>
        </w:rPr>
        <w:t xml:space="preserve">No evidence before me showing any action in relation to this common law claim was taken by the </w:t>
      </w:r>
      <w:r w:rsidR="002662B8">
        <w:rPr>
          <w:szCs w:val="28"/>
        </w:rPr>
        <w:t>P</w:t>
      </w:r>
      <w:r>
        <w:rPr>
          <w:szCs w:val="28"/>
        </w:rPr>
        <w:t>laintiff</w:t>
      </w:r>
      <w:r w:rsidRPr="00DE63BA">
        <w:rPr>
          <w:szCs w:val="28"/>
        </w:rPr>
        <w:t xml:space="preserve"> or </w:t>
      </w:r>
      <w:proofErr w:type="spellStart"/>
      <w:r w:rsidRPr="00DE63BA">
        <w:rPr>
          <w:szCs w:val="28"/>
        </w:rPr>
        <w:t>BMak</w:t>
      </w:r>
      <w:proofErr w:type="spellEnd"/>
      <w:r w:rsidRPr="00DE63BA">
        <w:rPr>
          <w:szCs w:val="28"/>
        </w:rPr>
        <w:t xml:space="preserve"> until almost 18 months later by way of</w:t>
      </w:r>
      <w:r w:rsidRPr="00DE63BA">
        <w:rPr>
          <w:color w:val="000000"/>
          <w:szCs w:val="28"/>
        </w:rPr>
        <w:t xml:space="preserve"> the Letter before Action, just 3 months away from the end of the limitation period.  Asia Insurance wrote back to </w:t>
      </w:r>
      <w:proofErr w:type="spellStart"/>
      <w:r w:rsidRPr="00DE63BA">
        <w:rPr>
          <w:color w:val="000000"/>
          <w:szCs w:val="28"/>
        </w:rPr>
        <w:t>BMak</w:t>
      </w:r>
      <w:proofErr w:type="spellEnd"/>
      <w:r w:rsidRPr="00DE63BA">
        <w:rPr>
          <w:color w:val="000000"/>
          <w:szCs w:val="28"/>
        </w:rPr>
        <w:t xml:space="preserve"> on 14 April 2020 informing them that they would investigate the </w:t>
      </w:r>
      <w:r>
        <w:rPr>
          <w:color w:val="000000"/>
          <w:szCs w:val="28"/>
        </w:rPr>
        <w:t>plaintiff</w:t>
      </w:r>
      <w:r w:rsidRPr="00DE63BA">
        <w:rPr>
          <w:color w:val="000000"/>
          <w:szCs w:val="28"/>
        </w:rPr>
        <w:t xml:space="preserve">’s claim and the Insurer’s Letter dated 3 July 2020 rejected her claim based on reasons as </w:t>
      </w:r>
      <w:proofErr w:type="gramStart"/>
      <w:r w:rsidRPr="00DE63BA">
        <w:rPr>
          <w:color w:val="000000"/>
          <w:szCs w:val="28"/>
        </w:rPr>
        <w:t>follows:</w:t>
      </w:r>
      <w:r w:rsidR="00363F56">
        <w:rPr>
          <w:color w:val="000000"/>
          <w:szCs w:val="28"/>
        </w:rPr>
        <w:t>-</w:t>
      </w:r>
      <w:proofErr w:type="gramEnd"/>
    </w:p>
    <w:p w:rsidR="00363F56" w:rsidRPr="00DE63BA" w:rsidRDefault="00363F56" w:rsidP="00363F56">
      <w:pPr>
        <w:pStyle w:val="ListParagraph"/>
        <w:spacing w:line="360" w:lineRule="auto"/>
        <w:ind w:left="0"/>
        <w:jc w:val="both"/>
        <w:rPr>
          <w:szCs w:val="28"/>
        </w:rPr>
      </w:pPr>
    </w:p>
    <w:p w:rsidR="00DE63BA" w:rsidRPr="002662B8" w:rsidRDefault="00DE63BA" w:rsidP="00363F56">
      <w:pPr>
        <w:pStyle w:val="ListParagraph"/>
        <w:tabs>
          <w:tab w:val="left" w:pos="2160"/>
        </w:tabs>
        <w:ind w:left="2160" w:right="746" w:hanging="720"/>
        <w:jc w:val="both"/>
        <w:rPr>
          <w:i/>
          <w:sz w:val="24"/>
          <w:szCs w:val="24"/>
        </w:rPr>
      </w:pPr>
      <w:r w:rsidRPr="002662B8">
        <w:rPr>
          <w:i/>
          <w:color w:val="000000"/>
          <w:sz w:val="24"/>
          <w:szCs w:val="24"/>
        </w:rPr>
        <w:t>“1.</w:t>
      </w:r>
      <w:r w:rsidRPr="002662B8">
        <w:rPr>
          <w:i/>
          <w:color w:val="000000"/>
          <w:sz w:val="24"/>
          <w:szCs w:val="24"/>
        </w:rPr>
        <w:tab/>
        <w:t xml:space="preserve">On the date of accident, your client was taking a mini bus operated by Cathay Pacific… </w:t>
      </w:r>
      <w:r w:rsidR="00363F56" w:rsidRPr="002662B8">
        <w:rPr>
          <w:i/>
          <w:color w:val="000000"/>
          <w:sz w:val="24"/>
          <w:szCs w:val="24"/>
        </w:rPr>
        <w:t xml:space="preserve"> </w:t>
      </w:r>
      <w:r w:rsidRPr="002662B8">
        <w:rPr>
          <w:i/>
          <w:color w:val="000000"/>
          <w:sz w:val="24"/>
          <w:szCs w:val="24"/>
        </w:rPr>
        <w:t>The subject mini bus was not owned/operated by our Insured;</w:t>
      </w:r>
    </w:p>
    <w:p w:rsidR="00363F56" w:rsidRPr="002662B8" w:rsidRDefault="00363F56" w:rsidP="00363F56">
      <w:pPr>
        <w:pStyle w:val="ListParagraph"/>
        <w:tabs>
          <w:tab w:val="left" w:pos="2160"/>
        </w:tabs>
        <w:ind w:left="2160" w:right="746" w:hanging="720"/>
        <w:jc w:val="both"/>
        <w:rPr>
          <w:i/>
          <w:color w:val="000000"/>
          <w:sz w:val="24"/>
          <w:szCs w:val="24"/>
        </w:rPr>
      </w:pPr>
    </w:p>
    <w:p w:rsidR="00DE63BA" w:rsidRPr="002662B8" w:rsidRDefault="00363F56" w:rsidP="00363F56">
      <w:pPr>
        <w:pStyle w:val="ListParagraph"/>
        <w:tabs>
          <w:tab w:val="left" w:pos="2160"/>
        </w:tabs>
        <w:ind w:left="2160" w:right="746" w:hanging="720"/>
        <w:jc w:val="both"/>
        <w:rPr>
          <w:i/>
          <w:color w:val="000000"/>
          <w:sz w:val="24"/>
          <w:szCs w:val="24"/>
        </w:rPr>
      </w:pPr>
      <w:r w:rsidRPr="002662B8">
        <w:rPr>
          <w:i/>
          <w:color w:val="000000"/>
          <w:sz w:val="24"/>
          <w:szCs w:val="24"/>
        </w:rPr>
        <w:t>2.</w:t>
      </w:r>
      <w:r w:rsidRPr="002662B8">
        <w:rPr>
          <w:i/>
          <w:color w:val="000000"/>
          <w:sz w:val="24"/>
          <w:szCs w:val="24"/>
        </w:rPr>
        <w:tab/>
      </w:r>
      <w:r w:rsidR="00DE63BA" w:rsidRPr="002662B8">
        <w:rPr>
          <w:i/>
          <w:color w:val="000000"/>
          <w:sz w:val="24"/>
          <w:szCs w:val="24"/>
        </w:rPr>
        <w:t>The driver of the subject mini bus was not employee of our Insured”</w:t>
      </w:r>
    </w:p>
    <w:p w:rsidR="00363F56" w:rsidRPr="00DE63BA" w:rsidRDefault="00363F56" w:rsidP="00363F56">
      <w:pPr>
        <w:pStyle w:val="ListParagraph"/>
        <w:spacing w:line="360" w:lineRule="auto"/>
        <w:ind w:left="0"/>
        <w:jc w:val="both"/>
        <w:rPr>
          <w:i/>
          <w:szCs w:val="28"/>
        </w:rPr>
      </w:pPr>
    </w:p>
    <w:p w:rsidR="00DE63BA" w:rsidRDefault="00DE63BA" w:rsidP="00DE63BA">
      <w:pPr>
        <w:pStyle w:val="ListParagraph"/>
        <w:numPr>
          <w:ilvl w:val="0"/>
          <w:numId w:val="15"/>
        </w:numPr>
        <w:spacing w:line="360" w:lineRule="auto"/>
        <w:ind w:left="0" w:firstLine="0"/>
        <w:jc w:val="both"/>
        <w:rPr>
          <w:szCs w:val="28"/>
        </w:rPr>
      </w:pPr>
      <w:r w:rsidRPr="00DE63BA">
        <w:rPr>
          <w:szCs w:val="28"/>
        </w:rPr>
        <w:lastRenderedPageBreak/>
        <w:t xml:space="preserve">As such one could see that it took a mere 4 months or less for Asia Insurance to conclude the investigation of other potential </w:t>
      </w:r>
      <w:proofErr w:type="spellStart"/>
      <w:r w:rsidRPr="00DE63BA">
        <w:rPr>
          <w:szCs w:val="28"/>
        </w:rPr>
        <w:t>tortfeasors</w:t>
      </w:r>
      <w:proofErr w:type="spellEnd"/>
      <w:r w:rsidRPr="00DE63BA">
        <w:rPr>
          <w:szCs w:val="28"/>
        </w:rPr>
        <w:t xml:space="preserve"> in this case.  The </w:t>
      </w:r>
      <w:r w:rsidR="001B2FBD">
        <w:rPr>
          <w:szCs w:val="28"/>
        </w:rPr>
        <w:t>P</w:t>
      </w:r>
      <w:r>
        <w:rPr>
          <w:szCs w:val="28"/>
        </w:rPr>
        <w:t>laintiff</w:t>
      </w:r>
      <w:r w:rsidRPr="00DE63BA">
        <w:rPr>
          <w:szCs w:val="28"/>
        </w:rPr>
        <w:t xml:space="preserve"> however argued that even if “Cathay Pacific” was alleged to be the operator of the minibus, the real identity would be CPCS which is essentially two separate entities.  On this line of argument, I gained the impression that the </w:t>
      </w:r>
      <w:r w:rsidR="001B2FBD">
        <w:rPr>
          <w:szCs w:val="28"/>
        </w:rPr>
        <w:t>P</w:t>
      </w:r>
      <w:r>
        <w:rPr>
          <w:szCs w:val="28"/>
        </w:rPr>
        <w:t>laintiff</w:t>
      </w:r>
      <w:r w:rsidRPr="00DE63BA">
        <w:rPr>
          <w:szCs w:val="28"/>
        </w:rPr>
        <w:t xml:space="preserve"> was expecting the </w:t>
      </w:r>
      <w:r w:rsidR="001B2FBD">
        <w:rPr>
          <w:szCs w:val="28"/>
        </w:rPr>
        <w:t>D</w:t>
      </w:r>
      <w:r>
        <w:rPr>
          <w:szCs w:val="28"/>
        </w:rPr>
        <w:t>efendant</w:t>
      </w:r>
      <w:r w:rsidRPr="00DE63BA">
        <w:rPr>
          <w:szCs w:val="28"/>
        </w:rPr>
        <w:t xml:space="preserve"> to spoon feed them with every details of the case to save them from making any reasonable investigations.  I am firmly of the view that the </w:t>
      </w:r>
      <w:r>
        <w:rPr>
          <w:szCs w:val="28"/>
        </w:rPr>
        <w:t>defendant</w:t>
      </w:r>
      <w:r w:rsidRPr="00DE63BA">
        <w:rPr>
          <w:szCs w:val="28"/>
        </w:rPr>
        <w:t xml:space="preserve"> or its insurer had provided sufficient and reasonable information </w:t>
      </w:r>
      <w:r w:rsidR="00C25B18">
        <w:rPr>
          <w:szCs w:val="28"/>
        </w:rPr>
        <w:t xml:space="preserve">to </w:t>
      </w:r>
      <w:r w:rsidRPr="00DE63BA">
        <w:rPr>
          <w:szCs w:val="28"/>
        </w:rPr>
        <w:t xml:space="preserve">the </w:t>
      </w:r>
      <w:r w:rsidR="001B2FBD">
        <w:rPr>
          <w:szCs w:val="28"/>
        </w:rPr>
        <w:t>P</w:t>
      </w:r>
      <w:r>
        <w:rPr>
          <w:szCs w:val="28"/>
        </w:rPr>
        <w:t>laintiff</w:t>
      </w:r>
      <w:r w:rsidR="00C25B18">
        <w:rPr>
          <w:szCs w:val="28"/>
        </w:rPr>
        <w:t>, with which the Plaintiff could have made</w:t>
      </w:r>
      <w:r w:rsidRPr="00DE63BA">
        <w:rPr>
          <w:szCs w:val="28"/>
        </w:rPr>
        <w:t xml:space="preserve"> further investigation</w:t>
      </w:r>
      <w:r w:rsidR="00C25B18">
        <w:rPr>
          <w:szCs w:val="28"/>
        </w:rPr>
        <w:t>s</w:t>
      </w:r>
      <w:r w:rsidRPr="00DE63BA">
        <w:rPr>
          <w:szCs w:val="28"/>
        </w:rPr>
        <w:t xml:space="preserve">.  </w:t>
      </w:r>
    </w:p>
    <w:p w:rsidR="00363F56" w:rsidRPr="00DE63BA" w:rsidRDefault="00363F56" w:rsidP="00363F56">
      <w:pPr>
        <w:pStyle w:val="ListParagraph"/>
        <w:spacing w:line="360" w:lineRule="auto"/>
        <w:ind w:left="0"/>
        <w:jc w:val="both"/>
        <w:rPr>
          <w:szCs w:val="28"/>
        </w:rPr>
      </w:pPr>
    </w:p>
    <w:p w:rsidR="00DE63BA" w:rsidRDefault="00DE63BA" w:rsidP="00DE63BA">
      <w:pPr>
        <w:pStyle w:val="ListParagraph"/>
        <w:numPr>
          <w:ilvl w:val="0"/>
          <w:numId w:val="15"/>
        </w:numPr>
        <w:spacing w:line="360" w:lineRule="auto"/>
        <w:ind w:left="0" w:firstLine="0"/>
        <w:jc w:val="both"/>
        <w:rPr>
          <w:szCs w:val="28"/>
        </w:rPr>
      </w:pPr>
      <w:r w:rsidRPr="00DE63BA">
        <w:rPr>
          <w:szCs w:val="28"/>
        </w:rPr>
        <w:t xml:space="preserve">Judging from the circumstances explained above, I come to the following </w:t>
      </w:r>
      <w:proofErr w:type="gramStart"/>
      <w:r w:rsidRPr="00DE63BA">
        <w:rPr>
          <w:szCs w:val="28"/>
        </w:rPr>
        <w:t>conclusion:</w:t>
      </w:r>
      <w:r w:rsidR="00363F56">
        <w:rPr>
          <w:szCs w:val="28"/>
        </w:rPr>
        <w:t>-</w:t>
      </w:r>
      <w:proofErr w:type="gramEnd"/>
    </w:p>
    <w:p w:rsidR="00363F56" w:rsidRPr="00DE63BA" w:rsidRDefault="00363F56" w:rsidP="00363F56">
      <w:pPr>
        <w:pStyle w:val="ListParagraph"/>
        <w:spacing w:line="360" w:lineRule="auto"/>
        <w:ind w:left="0"/>
        <w:jc w:val="both"/>
        <w:rPr>
          <w:szCs w:val="28"/>
        </w:rPr>
      </w:pPr>
    </w:p>
    <w:p w:rsidR="00DE63BA" w:rsidRDefault="00DE63BA" w:rsidP="00363F56">
      <w:pPr>
        <w:pStyle w:val="ListParagraph"/>
        <w:numPr>
          <w:ilvl w:val="0"/>
          <w:numId w:val="18"/>
        </w:numPr>
        <w:spacing w:line="360" w:lineRule="auto"/>
        <w:ind w:left="2160" w:hanging="720"/>
        <w:jc w:val="both"/>
        <w:rPr>
          <w:szCs w:val="28"/>
        </w:rPr>
      </w:pPr>
      <w:r w:rsidRPr="00DE63BA">
        <w:rPr>
          <w:szCs w:val="28"/>
        </w:rPr>
        <w:t xml:space="preserve">Although the </w:t>
      </w:r>
      <w:r w:rsidR="001B2FBD">
        <w:rPr>
          <w:szCs w:val="28"/>
        </w:rPr>
        <w:t>P</w:t>
      </w:r>
      <w:r>
        <w:rPr>
          <w:szCs w:val="28"/>
        </w:rPr>
        <w:t>laintiff</w:t>
      </w:r>
      <w:r w:rsidRPr="00DE63BA">
        <w:rPr>
          <w:szCs w:val="28"/>
        </w:rPr>
        <w:t xml:space="preserve"> knew, at the time of the Accident, that the bus was operated by Cathay Pacific, she would not be able to appreciate the significance of the involvement of CPCS from a legal perspective;</w:t>
      </w:r>
    </w:p>
    <w:p w:rsidR="00363F56" w:rsidRPr="00DE63BA" w:rsidRDefault="00363F56" w:rsidP="00363F56">
      <w:pPr>
        <w:pStyle w:val="ListParagraph"/>
        <w:spacing w:line="360" w:lineRule="auto"/>
        <w:ind w:left="2160"/>
        <w:jc w:val="both"/>
        <w:rPr>
          <w:szCs w:val="28"/>
        </w:rPr>
      </w:pPr>
    </w:p>
    <w:p w:rsidR="00DE63BA" w:rsidRDefault="00DE63BA" w:rsidP="00363F56">
      <w:pPr>
        <w:pStyle w:val="ListParagraph"/>
        <w:numPr>
          <w:ilvl w:val="0"/>
          <w:numId w:val="18"/>
        </w:numPr>
        <w:spacing w:line="360" w:lineRule="auto"/>
        <w:ind w:left="2160" w:hanging="720"/>
        <w:jc w:val="both"/>
        <w:rPr>
          <w:szCs w:val="28"/>
        </w:rPr>
      </w:pPr>
      <w:proofErr w:type="spellStart"/>
      <w:r w:rsidRPr="00DE63BA">
        <w:rPr>
          <w:szCs w:val="28"/>
        </w:rPr>
        <w:t>BMak</w:t>
      </w:r>
      <w:proofErr w:type="spellEnd"/>
      <w:r w:rsidRPr="00DE63BA">
        <w:rPr>
          <w:szCs w:val="28"/>
        </w:rPr>
        <w:t xml:space="preserve"> would have gained access to Form 2 and the Incident Report in or around October 2018 and suspicion should be raised as to Cathay Pacific or CPCS being a relevant </w:t>
      </w:r>
      <w:proofErr w:type="spellStart"/>
      <w:r w:rsidRPr="00DE63BA">
        <w:rPr>
          <w:szCs w:val="28"/>
        </w:rPr>
        <w:t>tortfeasor</w:t>
      </w:r>
      <w:proofErr w:type="spellEnd"/>
      <w:r w:rsidRPr="00DE63BA">
        <w:rPr>
          <w:szCs w:val="28"/>
        </w:rPr>
        <w:t xml:space="preserve"> involved in the Accident;</w:t>
      </w:r>
    </w:p>
    <w:p w:rsidR="00363F56" w:rsidRPr="00363F56" w:rsidRDefault="00363F56" w:rsidP="00363F56">
      <w:pPr>
        <w:spacing w:line="360" w:lineRule="auto"/>
        <w:jc w:val="both"/>
        <w:rPr>
          <w:szCs w:val="28"/>
        </w:rPr>
      </w:pPr>
    </w:p>
    <w:p w:rsidR="00DE63BA" w:rsidRDefault="00DE63BA" w:rsidP="00363F56">
      <w:pPr>
        <w:pStyle w:val="ListParagraph"/>
        <w:numPr>
          <w:ilvl w:val="0"/>
          <w:numId w:val="18"/>
        </w:numPr>
        <w:spacing w:line="360" w:lineRule="auto"/>
        <w:ind w:left="2160" w:hanging="720"/>
        <w:jc w:val="both"/>
        <w:rPr>
          <w:szCs w:val="28"/>
        </w:rPr>
      </w:pPr>
      <w:r w:rsidRPr="00DE63BA">
        <w:rPr>
          <w:szCs w:val="28"/>
        </w:rPr>
        <w:t xml:space="preserve">While such suspicion does not render the </w:t>
      </w:r>
      <w:r w:rsidR="001B2FBD">
        <w:rPr>
          <w:szCs w:val="28"/>
        </w:rPr>
        <w:t>P</w:t>
      </w:r>
      <w:r>
        <w:rPr>
          <w:szCs w:val="28"/>
        </w:rPr>
        <w:t>laintiff</w:t>
      </w:r>
      <w:r w:rsidRPr="00DE63BA">
        <w:rPr>
          <w:szCs w:val="28"/>
        </w:rPr>
        <w:t xml:space="preserve"> or her solicitors would have been fixed with knowledge of </w:t>
      </w:r>
      <w:r w:rsidRPr="00DE63BA">
        <w:rPr>
          <w:szCs w:val="28"/>
        </w:rPr>
        <w:lastRenderedPageBreak/>
        <w:t>the involvement of CPCS, it justifies investigations to identify/verify the factual basis;</w:t>
      </w:r>
    </w:p>
    <w:p w:rsidR="00363F56" w:rsidRPr="00363F56" w:rsidRDefault="00363F56" w:rsidP="00363F56">
      <w:pPr>
        <w:spacing w:line="360" w:lineRule="auto"/>
        <w:jc w:val="both"/>
        <w:rPr>
          <w:szCs w:val="28"/>
        </w:rPr>
      </w:pPr>
    </w:p>
    <w:p w:rsidR="00DE63BA" w:rsidRDefault="00DE63BA" w:rsidP="00363F56">
      <w:pPr>
        <w:pStyle w:val="ListParagraph"/>
        <w:numPr>
          <w:ilvl w:val="0"/>
          <w:numId w:val="18"/>
        </w:numPr>
        <w:spacing w:line="360" w:lineRule="auto"/>
        <w:ind w:left="2160" w:hanging="720"/>
        <w:jc w:val="both"/>
        <w:rPr>
          <w:szCs w:val="28"/>
        </w:rPr>
      </w:pPr>
      <w:r w:rsidRPr="00DE63BA">
        <w:rPr>
          <w:szCs w:val="28"/>
        </w:rPr>
        <w:t xml:space="preserve">The </w:t>
      </w:r>
      <w:r w:rsidR="001B2FBD">
        <w:rPr>
          <w:szCs w:val="28"/>
        </w:rPr>
        <w:t>P</w:t>
      </w:r>
      <w:r>
        <w:rPr>
          <w:szCs w:val="28"/>
        </w:rPr>
        <w:t>laintiff</w:t>
      </w:r>
      <w:r w:rsidRPr="00DE63BA">
        <w:rPr>
          <w:szCs w:val="28"/>
        </w:rPr>
        <w:t>, however, did not take any reasonable step to acquire information but waited until three months before the end of the limitation per</w:t>
      </w:r>
      <w:r w:rsidR="004B555C">
        <w:rPr>
          <w:szCs w:val="28"/>
        </w:rPr>
        <w:t>iod to issue the Letter before Action</w:t>
      </w:r>
      <w:r w:rsidRPr="00DE63BA">
        <w:rPr>
          <w:szCs w:val="28"/>
        </w:rPr>
        <w:t xml:space="preserve"> to the </w:t>
      </w:r>
      <w:r w:rsidR="00BD3365">
        <w:rPr>
          <w:szCs w:val="28"/>
        </w:rPr>
        <w:t>D</w:t>
      </w:r>
      <w:r>
        <w:rPr>
          <w:szCs w:val="28"/>
        </w:rPr>
        <w:t>efendant</w:t>
      </w:r>
      <w:r w:rsidRPr="00DE63BA">
        <w:rPr>
          <w:szCs w:val="28"/>
        </w:rPr>
        <w:t xml:space="preserve">.  It took less than 4 months for the </w:t>
      </w:r>
      <w:r>
        <w:rPr>
          <w:szCs w:val="28"/>
        </w:rPr>
        <w:t>defendant</w:t>
      </w:r>
      <w:r w:rsidRPr="00DE63BA">
        <w:rPr>
          <w:szCs w:val="28"/>
        </w:rPr>
        <w:t>’s insurer to confirm that the Minibus was operated by Cathay Pacific;</w:t>
      </w:r>
    </w:p>
    <w:p w:rsidR="00363F56" w:rsidRPr="00363F56" w:rsidRDefault="00363F56" w:rsidP="00363F56">
      <w:pPr>
        <w:spacing w:line="360" w:lineRule="auto"/>
        <w:jc w:val="both"/>
        <w:rPr>
          <w:szCs w:val="28"/>
        </w:rPr>
      </w:pPr>
    </w:p>
    <w:p w:rsidR="00DE63BA" w:rsidRDefault="00DE63BA" w:rsidP="00363F56">
      <w:pPr>
        <w:pStyle w:val="ListParagraph"/>
        <w:numPr>
          <w:ilvl w:val="0"/>
          <w:numId w:val="18"/>
        </w:numPr>
        <w:spacing w:line="360" w:lineRule="auto"/>
        <w:ind w:left="2160" w:hanging="720"/>
        <w:jc w:val="both"/>
        <w:rPr>
          <w:szCs w:val="28"/>
        </w:rPr>
      </w:pPr>
      <w:r w:rsidRPr="00DE63BA">
        <w:rPr>
          <w:szCs w:val="28"/>
        </w:rPr>
        <w:t xml:space="preserve">As such, I am convinced that earlier enquires by the </w:t>
      </w:r>
      <w:r w:rsidR="00BD3365">
        <w:rPr>
          <w:szCs w:val="28"/>
        </w:rPr>
        <w:t>P</w:t>
      </w:r>
      <w:r>
        <w:rPr>
          <w:szCs w:val="28"/>
        </w:rPr>
        <w:t>laintiff</w:t>
      </w:r>
      <w:r w:rsidRPr="00DE63BA">
        <w:rPr>
          <w:szCs w:val="28"/>
        </w:rPr>
        <w:t xml:space="preserve"> would have elicited prompt clarification of the identities of CPCS.</w:t>
      </w:r>
    </w:p>
    <w:p w:rsidR="00363F56" w:rsidRPr="00363F56" w:rsidRDefault="00363F56" w:rsidP="00363F56">
      <w:pPr>
        <w:spacing w:line="360" w:lineRule="auto"/>
        <w:jc w:val="both"/>
        <w:rPr>
          <w:szCs w:val="28"/>
        </w:rPr>
      </w:pPr>
    </w:p>
    <w:p w:rsidR="00DE63BA" w:rsidRPr="00DE63BA" w:rsidRDefault="00DE63BA" w:rsidP="00DE63BA">
      <w:pPr>
        <w:pStyle w:val="ListParagraph"/>
        <w:numPr>
          <w:ilvl w:val="0"/>
          <w:numId w:val="15"/>
        </w:numPr>
        <w:spacing w:line="360" w:lineRule="auto"/>
        <w:ind w:left="0" w:firstLine="0"/>
        <w:jc w:val="both"/>
        <w:rPr>
          <w:szCs w:val="28"/>
        </w:rPr>
      </w:pPr>
      <w:r w:rsidRPr="00DE63BA">
        <w:rPr>
          <w:szCs w:val="28"/>
        </w:rPr>
        <w:t xml:space="preserve">In such circumstances, I am of the view that the secondary limitation period should start running from the time the </w:t>
      </w:r>
      <w:r>
        <w:rPr>
          <w:szCs w:val="28"/>
        </w:rPr>
        <w:t>plaintiff</w:t>
      </w:r>
      <w:r w:rsidRPr="00DE63BA">
        <w:rPr>
          <w:szCs w:val="28"/>
        </w:rPr>
        <w:t xml:space="preserve"> was legally represented, </w:t>
      </w:r>
      <w:r w:rsidR="00D43C7D" w:rsidRPr="00DE63BA">
        <w:rPr>
          <w:szCs w:val="28"/>
        </w:rPr>
        <w:t>i.e.</w:t>
      </w:r>
      <w:r w:rsidRPr="00DE63BA">
        <w:rPr>
          <w:szCs w:val="28"/>
        </w:rPr>
        <w:t xml:space="preserve"> 11 October 2018.  I would also reject the </w:t>
      </w:r>
      <w:r w:rsidR="00BD3365">
        <w:rPr>
          <w:szCs w:val="28"/>
        </w:rPr>
        <w:t>P</w:t>
      </w:r>
      <w:r>
        <w:rPr>
          <w:szCs w:val="28"/>
        </w:rPr>
        <w:t>laintiff</w:t>
      </w:r>
      <w:r w:rsidRPr="00DE63BA">
        <w:rPr>
          <w:szCs w:val="28"/>
        </w:rPr>
        <w:t xml:space="preserve">’s argument that the secondary limitation period only started to run from the date she received the Deacon’s Letter Apr 2021 based on the above reasons.  In such premise, the limitation period of 3 years would have been lapsed on 10 October 2021, and the </w:t>
      </w:r>
      <w:r w:rsidR="00BD3365">
        <w:rPr>
          <w:szCs w:val="28"/>
        </w:rPr>
        <w:t>P</w:t>
      </w:r>
      <w:r>
        <w:rPr>
          <w:szCs w:val="28"/>
        </w:rPr>
        <w:t>laintiff</w:t>
      </w:r>
      <w:r w:rsidRPr="00DE63BA">
        <w:rPr>
          <w:szCs w:val="28"/>
        </w:rPr>
        <w:t>’s intended claim against the CPCS is made outside the limitation period.</w:t>
      </w:r>
    </w:p>
    <w:p w:rsidR="00DE63BA" w:rsidRPr="00DE63BA" w:rsidRDefault="00DE63BA" w:rsidP="00DE63BA">
      <w:pPr>
        <w:spacing w:line="360" w:lineRule="auto"/>
        <w:jc w:val="both"/>
        <w:rPr>
          <w:i/>
          <w:szCs w:val="28"/>
        </w:rPr>
      </w:pPr>
    </w:p>
    <w:p w:rsidR="00DE63BA" w:rsidRDefault="00DE63BA" w:rsidP="00363F56">
      <w:pPr>
        <w:pStyle w:val="ListParagraph"/>
        <w:spacing w:line="360" w:lineRule="auto"/>
        <w:ind w:left="0"/>
        <w:jc w:val="both"/>
        <w:rPr>
          <w:szCs w:val="28"/>
        </w:rPr>
      </w:pPr>
      <w:r w:rsidRPr="00DE63BA">
        <w:rPr>
          <w:i/>
          <w:szCs w:val="28"/>
        </w:rPr>
        <w:t>DISCRETION UNDER S.30 OF THE ORDINANCE</w:t>
      </w:r>
      <w:r w:rsidRPr="00DE63BA">
        <w:rPr>
          <w:szCs w:val="28"/>
        </w:rPr>
        <w:t xml:space="preserve"> </w:t>
      </w:r>
    </w:p>
    <w:p w:rsidR="00363F56" w:rsidRPr="00DE63BA" w:rsidRDefault="00363F56" w:rsidP="00363F56">
      <w:pPr>
        <w:pStyle w:val="ListParagraph"/>
        <w:spacing w:line="360" w:lineRule="auto"/>
        <w:ind w:left="0"/>
        <w:jc w:val="both"/>
        <w:rPr>
          <w:szCs w:val="28"/>
        </w:rPr>
      </w:pPr>
    </w:p>
    <w:p w:rsidR="00DE63BA" w:rsidRDefault="00DE63BA" w:rsidP="00DE63BA">
      <w:pPr>
        <w:pStyle w:val="ListParagraph"/>
        <w:numPr>
          <w:ilvl w:val="0"/>
          <w:numId w:val="15"/>
        </w:numPr>
        <w:spacing w:line="360" w:lineRule="auto"/>
        <w:ind w:left="0" w:firstLine="0"/>
        <w:jc w:val="both"/>
        <w:rPr>
          <w:szCs w:val="28"/>
        </w:rPr>
      </w:pPr>
      <w:r w:rsidRPr="00DE63BA">
        <w:rPr>
          <w:szCs w:val="28"/>
        </w:rPr>
        <w:t xml:space="preserve">Based on the above analysis, I have to consider whether to exercise my discretion in allowing such time barred claim to proceed under </w:t>
      </w:r>
      <w:r w:rsidRPr="00DE63BA">
        <w:rPr>
          <w:szCs w:val="28"/>
        </w:rPr>
        <w:lastRenderedPageBreak/>
        <w:t xml:space="preserve">section 30(1) of the Ordinance.  I shall not repeat the legal principles which are stated in paragraphs 17-19 hereinabove but below will be my analysis. </w:t>
      </w:r>
    </w:p>
    <w:p w:rsidR="00363F56" w:rsidRPr="00DE63BA" w:rsidRDefault="00363F56" w:rsidP="00363F56">
      <w:pPr>
        <w:pStyle w:val="ListParagraph"/>
        <w:spacing w:line="360" w:lineRule="auto"/>
        <w:ind w:left="0"/>
        <w:jc w:val="both"/>
        <w:rPr>
          <w:szCs w:val="28"/>
        </w:rPr>
      </w:pPr>
    </w:p>
    <w:p w:rsidR="00DE63BA" w:rsidRDefault="00DE63BA" w:rsidP="00DE63BA">
      <w:pPr>
        <w:pStyle w:val="ListParagraph"/>
        <w:numPr>
          <w:ilvl w:val="0"/>
          <w:numId w:val="15"/>
        </w:numPr>
        <w:spacing w:line="360" w:lineRule="auto"/>
        <w:ind w:left="0" w:firstLine="0"/>
        <w:jc w:val="both"/>
        <w:rPr>
          <w:szCs w:val="28"/>
        </w:rPr>
      </w:pPr>
      <w:r w:rsidRPr="00DE63BA">
        <w:rPr>
          <w:i/>
          <w:szCs w:val="28"/>
        </w:rPr>
        <w:t xml:space="preserve">Length of Delay: </w:t>
      </w:r>
      <w:r w:rsidRPr="00DE63BA">
        <w:rPr>
          <w:szCs w:val="28"/>
        </w:rPr>
        <w:t>The post-expiry delay was roughly 6 months which is not a particularly long period of delay, and I find it to be acceptable.</w:t>
      </w:r>
    </w:p>
    <w:p w:rsidR="00363F56" w:rsidRPr="00DE63BA" w:rsidRDefault="00363F56" w:rsidP="00363F56">
      <w:pPr>
        <w:pStyle w:val="ListParagraph"/>
        <w:spacing w:line="360" w:lineRule="auto"/>
        <w:ind w:left="0"/>
        <w:jc w:val="both"/>
        <w:rPr>
          <w:szCs w:val="28"/>
        </w:rPr>
      </w:pPr>
    </w:p>
    <w:p w:rsidR="00DE63BA" w:rsidRDefault="00DE63BA" w:rsidP="00DE63BA">
      <w:pPr>
        <w:pStyle w:val="ListParagraph"/>
        <w:numPr>
          <w:ilvl w:val="0"/>
          <w:numId w:val="15"/>
        </w:numPr>
        <w:spacing w:line="360" w:lineRule="auto"/>
        <w:ind w:left="0" w:firstLine="0"/>
        <w:jc w:val="both"/>
        <w:rPr>
          <w:szCs w:val="28"/>
        </w:rPr>
      </w:pPr>
      <w:r w:rsidRPr="00DE63BA">
        <w:rPr>
          <w:i/>
          <w:szCs w:val="28"/>
        </w:rPr>
        <w:t xml:space="preserve">Conduct of the </w:t>
      </w:r>
      <w:r w:rsidR="00BD3365">
        <w:rPr>
          <w:i/>
          <w:szCs w:val="28"/>
        </w:rPr>
        <w:t>P</w:t>
      </w:r>
      <w:r>
        <w:rPr>
          <w:i/>
          <w:szCs w:val="28"/>
        </w:rPr>
        <w:t>laintiff</w:t>
      </w:r>
      <w:r w:rsidRPr="00DE63BA">
        <w:rPr>
          <w:i/>
          <w:szCs w:val="28"/>
        </w:rPr>
        <w:t xml:space="preserve">: </w:t>
      </w:r>
      <w:r w:rsidRPr="00DE63BA">
        <w:rPr>
          <w:szCs w:val="28"/>
        </w:rPr>
        <w:t xml:space="preserve">As discussed, no substantive steps were taken by the </w:t>
      </w:r>
      <w:r w:rsidR="004F3E9C">
        <w:rPr>
          <w:szCs w:val="28"/>
        </w:rPr>
        <w:t>P</w:t>
      </w:r>
      <w:r>
        <w:rPr>
          <w:szCs w:val="28"/>
        </w:rPr>
        <w:t>laintiff</w:t>
      </w:r>
      <w:r w:rsidRPr="00DE63BA">
        <w:rPr>
          <w:szCs w:val="28"/>
        </w:rPr>
        <w:t xml:space="preserve"> between October 2018 and March 2020.  While </w:t>
      </w:r>
      <w:r w:rsidR="004D4916">
        <w:rPr>
          <w:szCs w:val="28"/>
        </w:rPr>
        <w:t>Mr</w:t>
      </w:r>
      <w:r w:rsidR="00DE6ABA">
        <w:rPr>
          <w:szCs w:val="28"/>
        </w:rPr>
        <w:t>.</w:t>
      </w:r>
      <w:r w:rsidRPr="00DE63BA">
        <w:rPr>
          <w:szCs w:val="28"/>
        </w:rPr>
        <w:t xml:space="preserve"> Nip suggested the commencement of the secondary time limit should be from the date when the </w:t>
      </w:r>
      <w:r w:rsidR="00DE6ABA">
        <w:rPr>
          <w:szCs w:val="28"/>
        </w:rPr>
        <w:t>P</w:t>
      </w:r>
      <w:r>
        <w:rPr>
          <w:szCs w:val="28"/>
        </w:rPr>
        <w:t>laintiff</w:t>
      </w:r>
      <w:r w:rsidRPr="00DE63BA">
        <w:rPr>
          <w:szCs w:val="28"/>
        </w:rPr>
        <w:t>’s solicitors received the Deacon’s Letter Apr</w:t>
      </w:r>
      <w:r w:rsidR="00770802">
        <w:rPr>
          <w:szCs w:val="28"/>
        </w:rPr>
        <w:t>il</w:t>
      </w:r>
      <w:r w:rsidRPr="00DE63BA">
        <w:rPr>
          <w:szCs w:val="28"/>
        </w:rPr>
        <w:t xml:space="preserve"> 2021, the </w:t>
      </w:r>
      <w:r w:rsidR="00D023E9">
        <w:rPr>
          <w:szCs w:val="28"/>
        </w:rPr>
        <w:t>C</w:t>
      </w:r>
      <w:r w:rsidRPr="00DE63BA">
        <w:rPr>
          <w:szCs w:val="28"/>
        </w:rPr>
        <w:t xml:space="preserve">ourt observed that the </w:t>
      </w:r>
      <w:r w:rsidR="00DE6ABA">
        <w:rPr>
          <w:szCs w:val="28"/>
        </w:rPr>
        <w:t>P</w:t>
      </w:r>
      <w:r>
        <w:rPr>
          <w:szCs w:val="28"/>
        </w:rPr>
        <w:t>laintiff</w:t>
      </w:r>
      <w:r w:rsidRPr="00DE63BA">
        <w:rPr>
          <w:szCs w:val="28"/>
        </w:rPr>
        <w:t xml:space="preserve">’s solicitor only sent out a pre-action letter to CPCS 9 months later on 12 January 2022.  The </w:t>
      </w:r>
      <w:r w:rsidR="00DE6ABA">
        <w:rPr>
          <w:szCs w:val="28"/>
        </w:rPr>
        <w:t>P</w:t>
      </w:r>
      <w:r>
        <w:rPr>
          <w:szCs w:val="28"/>
        </w:rPr>
        <w:t>laintiff</w:t>
      </w:r>
      <w:r w:rsidRPr="00DE63BA">
        <w:rPr>
          <w:szCs w:val="28"/>
        </w:rPr>
        <w:t xml:space="preserve"> in her 2</w:t>
      </w:r>
      <w:r w:rsidRPr="00DE63BA">
        <w:rPr>
          <w:szCs w:val="28"/>
          <w:vertAlign w:val="superscript"/>
        </w:rPr>
        <w:t>nd</w:t>
      </w:r>
      <w:r w:rsidRPr="00DE63BA">
        <w:rPr>
          <w:szCs w:val="28"/>
        </w:rPr>
        <w:t xml:space="preserve"> affirmation explained that preliminary investigation was conducted over those 9 months and she had promptly instructed her lawyers to issue the pre-action letter.  </w:t>
      </w:r>
    </w:p>
    <w:p w:rsidR="00363F56" w:rsidRPr="00DE63BA" w:rsidRDefault="00363F56" w:rsidP="00363F56">
      <w:pPr>
        <w:pStyle w:val="ListParagraph"/>
        <w:spacing w:line="360" w:lineRule="auto"/>
        <w:ind w:left="0"/>
        <w:jc w:val="both"/>
        <w:rPr>
          <w:szCs w:val="28"/>
        </w:rPr>
      </w:pPr>
    </w:p>
    <w:p w:rsidR="00DE63BA" w:rsidRDefault="00DE63BA" w:rsidP="00DE63BA">
      <w:pPr>
        <w:pStyle w:val="ListParagraph"/>
        <w:numPr>
          <w:ilvl w:val="0"/>
          <w:numId w:val="15"/>
        </w:numPr>
        <w:spacing w:line="360" w:lineRule="auto"/>
        <w:ind w:left="0" w:firstLine="0"/>
        <w:jc w:val="both"/>
        <w:rPr>
          <w:szCs w:val="28"/>
        </w:rPr>
      </w:pPr>
      <w:r w:rsidRPr="00DE63BA">
        <w:rPr>
          <w:szCs w:val="28"/>
        </w:rPr>
        <w:t xml:space="preserve">The </w:t>
      </w:r>
      <w:r w:rsidR="00DE6ABA">
        <w:rPr>
          <w:szCs w:val="28"/>
        </w:rPr>
        <w:t>C</w:t>
      </w:r>
      <w:r w:rsidRPr="00DE63BA">
        <w:rPr>
          <w:szCs w:val="28"/>
        </w:rPr>
        <w:t xml:space="preserve">ourt does not accept this explanation </w:t>
      </w:r>
      <w:r w:rsidR="004B555C">
        <w:rPr>
          <w:szCs w:val="28"/>
        </w:rPr>
        <w:t>and could not comprehend what was</w:t>
      </w:r>
      <w:r w:rsidRPr="00DE63BA">
        <w:rPr>
          <w:szCs w:val="28"/>
        </w:rPr>
        <w:t xml:space="preserve"> left to be investig</w:t>
      </w:r>
      <w:r w:rsidR="004B555C">
        <w:rPr>
          <w:szCs w:val="28"/>
        </w:rPr>
        <w:t>ated when the identity was</w:t>
      </w:r>
      <w:r w:rsidRPr="00DE63BA">
        <w:rPr>
          <w:szCs w:val="28"/>
        </w:rPr>
        <w:t xml:space="preserve"> revealed by the </w:t>
      </w:r>
      <w:r w:rsidR="004B555C">
        <w:rPr>
          <w:szCs w:val="28"/>
        </w:rPr>
        <w:t>D</w:t>
      </w:r>
      <w:r>
        <w:rPr>
          <w:szCs w:val="28"/>
        </w:rPr>
        <w:t>efendant</w:t>
      </w:r>
      <w:r w:rsidRPr="00DE63BA">
        <w:rPr>
          <w:szCs w:val="28"/>
        </w:rPr>
        <w:t xml:space="preserve">.  The </w:t>
      </w:r>
      <w:r w:rsidR="00DE6ABA">
        <w:rPr>
          <w:szCs w:val="28"/>
        </w:rPr>
        <w:t>C</w:t>
      </w:r>
      <w:r w:rsidR="004B555C">
        <w:rPr>
          <w:szCs w:val="28"/>
        </w:rPr>
        <w:t>ourt must also at</w:t>
      </w:r>
      <w:r w:rsidRPr="00DE63BA">
        <w:rPr>
          <w:szCs w:val="28"/>
        </w:rPr>
        <w:t xml:space="preserve"> this juncture to highlight the fact that despite the </w:t>
      </w:r>
      <w:r w:rsidR="00DE6ABA">
        <w:rPr>
          <w:szCs w:val="28"/>
        </w:rPr>
        <w:t>P</w:t>
      </w:r>
      <w:r>
        <w:rPr>
          <w:szCs w:val="28"/>
        </w:rPr>
        <w:t>laintiff</w:t>
      </w:r>
      <w:r w:rsidR="004B555C">
        <w:rPr>
          <w:szCs w:val="28"/>
        </w:rPr>
        <w:t xml:space="preserve"> having</w:t>
      </w:r>
      <w:r w:rsidRPr="00DE63BA">
        <w:rPr>
          <w:szCs w:val="28"/>
        </w:rPr>
        <w:t xml:space="preserve"> acquired ‘actual knowledge’ of the owner and employer of the Minibus as early as April 2021, a consent summons </w:t>
      </w:r>
      <w:r w:rsidR="00D43C7D">
        <w:rPr>
          <w:szCs w:val="28"/>
        </w:rPr>
        <w:t xml:space="preserve">was signed between the Plaintiff and the Defendant </w:t>
      </w:r>
      <w:r w:rsidRPr="00DE63BA">
        <w:rPr>
          <w:szCs w:val="28"/>
        </w:rPr>
        <w:t>on 7 July 2021 agreeing on joint medical examination together with other case management directions leadi</w:t>
      </w:r>
      <w:r w:rsidR="004B555C">
        <w:rPr>
          <w:szCs w:val="28"/>
        </w:rPr>
        <w:t xml:space="preserve">ng to </w:t>
      </w:r>
      <w:r w:rsidR="00D43C7D">
        <w:rPr>
          <w:szCs w:val="28"/>
        </w:rPr>
        <w:t xml:space="preserve">a </w:t>
      </w:r>
      <w:r w:rsidR="004B555C">
        <w:rPr>
          <w:szCs w:val="28"/>
        </w:rPr>
        <w:t>setting</w:t>
      </w:r>
      <w:r w:rsidRPr="00DE63BA">
        <w:rPr>
          <w:szCs w:val="28"/>
        </w:rPr>
        <w:t xml:space="preserve"> down for trial in late January 2022.</w:t>
      </w:r>
    </w:p>
    <w:p w:rsidR="00363F56" w:rsidRPr="00DE63BA" w:rsidRDefault="00363F56" w:rsidP="00363F56">
      <w:pPr>
        <w:pStyle w:val="ListParagraph"/>
        <w:spacing w:line="360" w:lineRule="auto"/>
        <w:ind w:left="0"/>
        <w:jc w:val="both"/>
        <w:rPr>
          <w:szCs w:val="28"/>
        </w:rPr>
      </w:pPr>
    </w:p>
    <w:p w:rsidR="00DE63BA" w:rsidRDefault="00DE63BA" w:rsidP="00DE63BA">
      <w:pPr>
        <w:pStyle w:val="ListParagraph"/>
        <w:numPr>
          <w:ilvl w:val="0"/>
          <w:numId w:val="15"/>
        </w:numPr>
        <w:spacing w:line="360" w:lineRule="auto"/>
        <w:ind w:left="0" w:firstLine="0"/>
        <w:jc w:val="both"/>
        <w:rPr>
          <w:szCs w:val="28"/>
        </w:rPr>
      </w:pPr>
      <w:r w:rsidRPr="00DE63BA">
        <w:rPr>
          <w:szCs w:val="28"/>
        </w:rPr>
        <w:lastRenderedPageBreak/>
        <w:t xml:space="preserve">Furthermore, a mediation between the </w:t>
      </w:r>
      <w:r w:rsidR="00DE6ABA">
        <w:rPr>
          <w:szCs w:val="28"/>
        </w:rPr>
        <w:t>P</w:t>
      </w:r>
      <w:r>
        <w:rPr>
          <w:szCs w:val="28"/>
        </w:rPr>
        <w:t>laintiff</w:t>
      </w:r>
      <w:r w:rsidRPr="00DE63BA">
        <w:rPr>
          <w:szCs w:val="28"/>
        </w:rPr>
        <w:t xml:space="preserve"> and the </w:t>
      </w:r>
      <w:r w:rsidR="00DE6ABA">
        <w:rPr>
          <w:szCs w:val="28"/>
        </w:rPr>
        <w:t>D</w:t>
      </w:r>
      <w:r>
        <w:rPr>
          <w:szCs w:val="28"/>
        </w:rPr>
        <w:t>efendant</w:t>
      </w:r>
      <w:r w:rsidRPr="00DE63BA">
        <w:rPr>
          <w:szCs w:val="28"/>
        </w:rPr>
        <w:t xml:space="preserve"> was held on 20 January 2022, just one week after the </w:t>
      </w:r>
      <w:r w:rsidR="005E2916">
        <w:rPr>
          <w:szCs w:val="28"/>
        </w:rPr>
        <w:t>P</w:t>
      </w:r>
      <w:r>
        <w:rPr>
          <w:szCs w:val="28"/>
        </w:rPr>
        <w:t>laintiff</w:t>
      </w:r>
      <w:r w:rsidRPr="00DE63BA">
        <w:rPr>
          <w:szCs w:val="28"/>
        </w:rPr>
        <w:t xml:space="preserve"> issued her pre-action letter to CPCS.  Without surprise, the mediation failed.</w:t>
      </w:r>
    </w:p>
    <w:p w:rsidR="00363F56" w:rsidRPr="00DE63BA" w:rsidRDefault="00363F56" w:rsidP="00363F56">
      <w:pPr>
        <w:pStyle w:val="ListParagraph"/>
        <w:spacing w:line="360" w:lineRule="auto"/>
        <w:ind w:left="0"/>
        <w:jc w:val="both"/>
        <w:rPr>
          <w:szCs w:val="28"/>
        </w:rPr>
      </w:pPr>
    </w:p>
    <w:p w:rsidR="00DE63BA" w:rsidRDefault="00DE63BA" w:rsidP="00DE63BA">
      <w:pPr>
        <w:pStyle w:val="ListParagraph"/>
        <w:numPr>
          <w:ilvl w:val="0"/>
          <w:numId w:val="15"/>
        </w:numPr>
        <w:spacing w:line="360" w:lineRule="auto"/>
        <w:ind w:left="0" w:firstLine="0"/>
        <w:jc w:val="both"/>
        <w:rPr>
          <w:szCs w:val="28"/>
        </w:rPr>
      </w:pPr>
      <w:r w:rsidRPr="00DE63BA">
        <w:rPr>
          <w:szCs w:val="28"/>
        </w:rPr>
        <w:t xml:space="preserve">Under the circumstances elicited in the above paragraphs, I have no hesitation to criticize that the </w:t>
      </w:r>
      <w:r w:rsidR="00DE6ABA">
        <w:rPr>
          <w:szCs w:val="28"/>
        </w:rPr>
        <w:t>P</w:t>
      </w:r>
      <w:r>
        <w:rPr>
          <w:szCs w:val="28"/>
        </w:rPr>
        <w:t>laintiff</w:t>
      </w:r>
      <w:r w:rsidRPr="00DE63BA">
        <w:rPr>
          <w:szCs w:val="28"/>
        </w:rPr>
        <w:t xml:space="preserve">, not only failed to act promptly and reasonably but has wasted costs when knowing that a potential </w:t>
      </w:r>
      <w:proofErr w:type="spellStart"/>
      <w:r w:rsidRPr="00DE63BA">
        <w:rPr>
          <w:szCs w:val="28"/>
        </w:rPr>
        <w:t>tortfeasor</w:t>
      </w:r>
      <w:proofErr w:type="spellEnd"/>
      <w:r w:rsidRPr="00DE63BA">
        <w:rPr>
          <w:szCs w:val="28"/>
        </w:rPr>
        <w:t xml:space="preserve"> might be joined in this proceedings.</w:t>
      </w:r>
    </w:p>
    <w:p w:rsidR="00363F56" w:rsidRPr="00DE63BA" w:rsidRDefault="00363F56" w:rsidP="00363F56">
      <w:pPr>
        <w:pStyle w:val="ListParagraph"/>
        <w:spacing w:line="360" w:lineRule="auto"/>
        <w:ind w:left="0"/>
        <w:jc w:val="both"/>
        <w:rPr>
          <w:szCs w:val="28"/>
        </w:rPr>
      </w:pPr>
    </w:p>
    <w:p w:rsidR="00DE63BA" w:rsidRDefault="00DE63BA" w:rsidP="00DE63BA">
      <w:pPr>
        <w:pStyle w:val="ListParagraph"/>
        <w:numPr>
          <w:ilvl w:val="0"/>
          <w:numId w:val="15"/>
        </w:numPr>
        <w:spacing w:line="360" w:lineRule="auto"/>
        <w:ind w:left="0" w:firstLine="0"/>
        <w:jc w:val="both"/>
        <w:rPr>
          <w:szCs w:val="28"/>
        </w:rPr>
      </w:pPr>
      <w:r w:rsidRPr="00DE63BA">
        <w:rPr>
          <w:i/>
          <w:szCs w:val="28"/>
        </w:rPr>
        <w:t xml:space="preserve">Conduct of the </w:t>
      </w:r>
      <w:r w:rsidR="00F772AF">
        <w:rPr>
          <w:i/>
          <w:szCs w:val="28"/>
        </w:rPr>
        <w:t>D</w:t>
      </w:r>
      <w:r>
        <w:rPr>
          <w:i/>
          <w:szCs w:val="28"/>
        </w:rPr>
        <w:t>efendant</w:t>
      </w:r>
      <w:r w:rsidRPr="00DE63BA">
        <w:rPr>
          <w:i/>
          <w:szCs w:val="28"/>
        </w:rPr>
        <w:t>:</w:t>
      </w:r>
      <w:r w:rsidRPr="00DE63BA">
        <w:rPr>
          <w:szCs w:val="28"/>
        </w:rPr>
        <w:t xml:space="preserve"> As discussed under paragraphs 39 and 40, I came to a conclusion that the </w:t>
      </w:r>
      <w:r w:rsidR="005E2916">
        <w:rPr>
          <w:szCs w:val="28"/>
        </w:rPr>
        <w:t>D</w:t>
      </w:r>
      <w:r>
        <w:rPr>
          <w:szCs w:val="28"/>
        </w:rPr>
        <w:t>efendant</w:t>
      </w:r>
      <w:r w:rsidRPr="00DE63BA">
        <w:rPr>
          <w:szCs w:val="28"/>
        </w:rPr>
        <w:t xml:space="preserve"> acted promptly in response to the </w:t>
      </w:r>
      <w:r w:rsidR="00F772AF">
        <w:rPr>
          <w:szCs w:val="28"/>
        </w:rPr>
        <w:t>P</w:t>
      </w:r>
      <w:r>
        <w:rPr>
          <w:szCs w:val="28"/>
        </w:rPr>
        <w:t>laintiff</w:t>
      </w:r>
      <w:r w:rsidRPr="00DE63BA">
        <w:rPr>
          <w:szCs w:val="28"/>
        </w:rPr>
        <w:t xml:space="preserve">’s enquiry.  Further, the solicitors of CPCS had also acted promptly upon the </w:t>
      </w:r>
      <w:r>
        <w:rPr>
          <w:szCs w:val="28"/>
        </w:rPr>
        <w:t>plaintiff</w:t>
      </w:r>
      <w:r w:rsidRPr="00DE63BA">
        <w:rPr>
          <w:szCs w:val="28"/>
        </w:rPr>
        <w:t xml:space="preserve">’s pre-action letter. </w:t>
      </w:r>
    </w:p>
    <w:p w:rsidR="00363F56" w:rsidRPr="00DE63BA" w:rsidRDefault="00363F56" w:rsidP="00363F56">
      <w:pPr>
        <w:pStyle w:val="ListParagraph"/>
        <w:spacing w:line="360" w:lineRule="auto"/>
        <w:ind w:left="0"/>
        <w:jc w:val="both"/>
        <w:rPr>
          <w:szCs w:val="28"/>
        </w:rPr>
      </w:pPr>
    </w:p>
    <w:p w:rsidR="00DE63BA" w:rsidRDefault="00DE63BA" w:rsidP="00DE63BA">
      <w:pPr>
        <w:pStyle w:val="ListParagraph"/>
        <w:numPr>
          <w:ilvl w:val="0"/>
          <w:numId w:val="15"/>
        </w:numPr>
        <w:spacing w:line="360" w:lineRule="auto"/>
        <w:ind w:left="0" w:firstLine="0"/>
        <w:jc w:val="both"/>
        <w:rPr>
          <w:szCs w:val="28"/>
        </w:rPr>
      </w:pPr>
      <w:r w:rsidRPr="00DE63BA">
        <w:rPr>
          <w:i/>
          <w:szCs w:val="28"/>
        </w:rPr>
        <w:t xml:space="preserve">Effect of any delay on the cogency of the evidence: </w:t>
      </w:r>
      <w:r w:rsidRPr="00DE63BA">
        <w:rPr>
          <w:szCs w:val="28"/>
        </w:rPr>
        <w:t xml:space="preserve">The </w:t>
      </w:r>
      <w:r w:rsidR="00F772AF">
        <w:rPr>
          <w:szCs w:val="28"/>
        </w:rPr>
        <w:t>D</w:t>
      </w:r>
      <w:r>
        <w:rPr>
          <w:szCs w:val="28"/>
        </w:rPr>
        <w:t>efendant</w:t>
      </w:r>
      <w:r w:rsidRPr="00DE63BA">
        <w:rPr>
          <w:szCs w:val="28"/>
        </w:rPr>
        <w:t xml:space="preserve">’s argument could be summarized as </w:t>
      </w:r>
      <w:proofErr w:type="gramStart"/>
      <w:r w:rsidRPr="00DE63BA">
        <w:rPr>
          <w:szCs w:val="28"/>
        </w:rPr>
        <w:t>follows:-</w:t>
      </w:r>
      <w:proofErr w:type="gramEnd"/>
    </w:p>
    <w:p w:rsidR="00363F56" w:rsidRPr="00DE63BA" w:rsidRDefault="00363F56" w:rsidP="00363F56">
      <w:pPr>
        <w:pStyle w:val="ListParagraph"/>
        <w:spacing w:line="360" w:lineRule="auto"/>
        <w:ind w:left="0"/>
        <w:jc w:val="both"/>
        <w:rPr>
          <w:szCs w:val="28"/>
        </w:rPr>
      </w:pPr>
    </w:p>
    <w:p w:rsidR="00DE63BA" w:rsidRDefault="00DE63BA" w:rsidP="00363F56">
      <w:pPr>
        <w:pStyle w:val="ListParagraph"/>
        <w:numPr>
          <w:ilvl w:val="0"/>
          <w:numId w:val="19"/>
        </w:numPr>
        <w:spacing w:line="360" w:lineRule="auto"/>
        <w:ind w:left="2160" w:hanging="720"/>
        <w:jc w:val="both"/>
        <w:rPr>
          <w:szCs w:val="28"/>
        </w:rPr>
      </w:pPr>
      <w:r w:rsidRPr="00DE63BA">
        <w:rPr>
          <w:szCs w:val="28"/>
        </w:rPr>
        <w:t>The Driver could not remember the alleged Accident;</w:t>
      </w:r>
    </w:p>
    <w:p w:rsidR="00363F56" w:rsidRPr="00DE63BA" w:rsidRDefault="00363F56" w:rsidP="00363F56">
      <w:pPr>
        <w:pStyle w:val="ListParagraph"/>
        <w:spacing w:line="360" w:lineRule="auto"/>
        <w:ind w:left="2160"/>
        <w:jc w:val="both"/>
        <w:rPr>
          <w:szCs w:val="28"/>
        </w:rPr>
      </w:pPr>
    </w:p>
    <w:p w:rsidR="00DE63BA" w:rsidRDefault="00DE63BA" w:rsidP="00363F56">
      <w:pPr>
        <w:pStyle w:val="ListParagraph"/>
        <w:numPr>
          <w:ilvl w:val="0"/>
          <w:numId w:val="19"/>
        </w:numPr>
        <w:spacing w:line="360" w:lineRule="auto"/>
        <w:ind w:left="2160" w:hanging="720"/>
        <w:jc w:val="both"/>
        <w:rPr>
          <w:szCs w:val="28"/>
        </w:rPr>
      </w:pPr>
      <w:r w:rsidRPr="00DE63BA">
        <w:rPr>
          <w:szCs w:val="28"/>
        </w:rPr>
        <w:t xml:space="preserve">The Driver was retired in 2019 and the </w:t>
      </w:r>
      <w:r w:rsidR="00ED691D">
        <w:rPr>
          <w:szCs w:val="28"/>
        </w:rPr>
        <w:t>D</w:t>
      </w:r>
      <w:r>
        <w:rPr>
          <w:szCs w:val="28"/>
        </w:rPr>
        <w:t>efendant</w:t>
      </w:r>
      <w:r w:rsidRPr="00DE63BA">
        <w:rPr>
          <w:szCs w:val="28"/>
        </w:rPr>
        <w:t xml:space="preserve"> runs the risk of him not willing to testify in </w:t>
      </w:r>
      <w:r w:rsidR="00D023E9">
        <w:rPr>
          <w:szCs w:val="28"/>
        </w:rPr>
        <w:t>C</w:t>
      </w:r>
      <w:r w:rsidRPr="00DE63BA">
        <w:rPr>
          <w:szCs w:val="28"/>
        </w:rPr>
        <w:t>ourt;</w:t>
      </w:r>
    </w:p>
    <w:p w:rsidR="00363F56" w:rsidRPr="00363F56" w:rsidRDefault="00363F56" w:rsidP="00363F56">
      <w:pPr>
        <w:spacing w:line="360" w:lineRule="auto"/>
        <w:jc w:val="both"/>
        <w:rPr>
          <w:szCs w:val="28"/>
        </w:rPr>
      </w:pPr>
    </w:p>
    <w:p w:rsidR="00DE63BA" w:rsidRDefault="00DE63BA" w:rsidP="00363F56">
      <w:pPr>
        <w:pStyle w:val="ListParagraph"/>
        <w:numPr>
          <w:ilvl w:val="0"/>
          <w:numId w:val="19"/>
        </w:numPr>
        <w:spacing w:line="360" w:lineRule="auto"/>
        <w:ind w:left="2160" w:hanging="720"/>
        <w:jc w:val="both"/>
        <w:rPr>
          <w:szCs w:val="28"/>
        </w:rPr>
      </w:pPr>
      <w:r w:rsidRPr="00DE63BA">
        <w:rPr>
          <w:szCs w:val="28"/>
        </w:rPr>
        <w:t xml:space="preserve">Since the alleged Accident was never reported to CPCS until June 2020. </w:t>
      </w:r>
      <w:r w:rsidR="00363F56">
        <w:rPr>
          <w:szCs w:val="28"/>
        </w:rPr>
        <w:t xml:space="preserve"> </w:t>
      </w:r>
      <w:r w:rsidRPr="00DE63BA">
        <w:rPr>
          <w:szCs w:val="28"/>
        </w:rPr>
        <w:t>No contemporaneous report of the Accident was ever made and the ability of CPCS to investigate the Accident is substantially impaired;</w:t>
      </w:r>
    </w:p>
    <w:p w:rsidR="00363F56" w:rsidRPr="00363F56" w:rsidRDefault="00363F56" w:rsidP="00363F56">
      <w:pPr>
        <w:spacing w:line="360" w:lineRule="auto"/>
        <w:jc w:val="both"/>
        <w:rPr>
          <w:szCs w:val="28"/>
        </w:rPr>
      </w:pPr>
    </w:p>
    <w:p w:rsidR="00DE63BA" w:rsidRDefault="00DE63BA" w:rsidP="00363F56">
      <w:pPr>
        <w:pStyle w:val="ListParagraph"/>
        <w:numPr>
          <w:ilvl w:val="0"/>
          <w:numId w:val="19"/>
        </w:numPr>
        <w:spacing w:line="360" w:lineRule="auto"/>
        <w:ind w:left="2160" w:hanging="720"/>
        <w:jc w:val="both"/>
        <w:rPr>
          <w:szCs w:val="28"/>
        </w:rPr>
      </w:pPr>
      <w:r w:rsidRPr="00DE63BA">
        <w:rPr>
          <w:szCs w:val="28"/>
        </w:rPr>
        <w:t xml:space="preserve">The Minibus in question has been scrapped. </w:t>
      </w:r>
    </w:p>
    <w:p w:rsidR="00363F56" w:rsidRPr="00363F56" w:rsidRDefault="00363F56" w:rsidP="00363F56">
      <w:pPr>
        <w:spacing w:line="360" w:lineRule="auto"/>
        <w:jc w:val="both"/>
        <w:rPr>
          <w:szCs w:val="28"/>
        </w:rPr>
      </w:pPr>
    </w:p>
    <w:p w:rsidR="00183085" w:rsidRDefault="00DE63BA" w:rsidP="00183085">
      <w:pPr>
        <w:pStyle w:val="ListParagraph"/>
        <w:numPr>
          <w:ilvl w:val="0"/>
          <w:numId w:val="15"/>
        </w:numPr>
        <w:spacing w:line="360" w:lineRule="auto"/>
        <w:ind w:left="0" w:firstLine="0"/>
        <w:jc w:val="both"/>
        <w:rPr>
          <w:szCs w:val="28"/>
        </w:rPr>
      </w:pPr>
      <w:r w:rsidRPr="00DE63BA">
        <w:rPr>
          <w:szCs w:val="28"/>
        </w:rPr>
        <w:t xml:space="preserve">The evidential burden is on the CPCS to show that the evidence to be adduced by them is likely to be less cogent because of the delay.  The key question is whether the CPCS would be in a worse position for dealing with the factual issues than they would have been if the claim were issued within time.  Bearing in mind that Asia Insurance issued their first letter to CPCS seeking EC recovery in March 2020, it is not entirely fair to say the current proceedings is entirely unforeseeable.  Further, their position would be not improved even if the writ was issued in time by July 2020 as the Driver was retired in 2019, and witness recollection will be no weaker now than it would have been if the claim against CPCS had been brought in time. </w:t>
      </w:r>
      <w:r w:rsidR="00363F56">
        <w:rPr>
          <w:szCs w:val="28"/>
        </w:rPr>
        <w:t xml:space="preserve"> </w:t>
      </w:r>
      <w:r w:rsidRPr="00DE63BA">
        <w:rPr>
          <w:szCs w:val="28"/>
        </w:rPr>
        <w:t xml:space="preserve">As to their worries that the Driver would not be willing to testify, he can always be subpoenaed or asked to give evidence at trial.  In terms of documentary evidence, the </w:t>
      </w:r>
      <w:r>
        <w:rPr>
          <w:szCs w:val="28"/>
        </w:rPr>
        <w:t>defendant</w:t>
      </w:r>
      <w:r w:rsidRPr="00DE63BA">
        <w:rPr>
          <w:szCs w:val="28"/>
        </w:rPr>
        <w:t xml:space="preserve"> could not suggest any material evidence that they would rely but lost due to the delay.  And from my point of view, the actual existence of the Minibus is of little significance to this case as the alleged negligence is the driving manner of the Driver rather than any mechanical problems of the Minibus itself.</w:t>
      </w:r>
    </w:p>
    <w:p w:rsidR="00183085" w:rsidRPr="00183085" w:rsidRDefault="00183085" w:rsidP="00183085">
      <w:pPr>
        <w:pStyle w:val="ListParagraph"/>
        <w:spacing w:line="360" w:lineRule="auto"/>
        <w:ind w:left="0"/>
        <w:jc w:val="both"/>
        <w:rPr>
          <w:szCs w:val="28"/>
        </w:rPr>
      </w:pPr>
    </w:p>
    <w:p w:rsidR="00DE63BA" w:rsidRDefault="00DE63BA" w:rsidP="00DE63BA">
      <w:pPr>
        <w:pStyle w:val="ListParagraph"/>
        <w:numPr>
          <w:ilvl w:val="0"/>
          <w:numId w:val="15"/>
        </w:numPr>
        <w:spacing w:line="360" w:lineRule="auto"/>
        <w:ind w:left="0" w:firstLine="0"/>
        <w:jc w:val="both"/>
        <w:rPr>
          <w:szCs w:val="28"/>
        </w:rPr>
      </w:pPr>
      <w:r w:rsidRPr="00DE63BA">
        <w:rPr>
          <w:i/>
          <w:szCs w:val="28"/>
        </w:rPr>
        <w:t xml:space="preserve">Strength of the </w:t>
      </w:r>
      <w:r w:rsidR="00AB5D5F">
        <w:rPr>
          <w:i/>
          <w:szCs w:val="28"/>
        </w:rPr>
        <w:t>P</w:t>
      </w:r>
      <w:r>
        <w:rPr>
          <w:i/>
          <w:szCs w:val="28"/>
        </w:rPr>
        <w:t>laintiff</w:t>
      </w:r>
      <w:r w:rsidRPr="00DE63BA">
        <w:rPr>
          <w:i/>
          <w:szCs w:val="28"/>
        </w:rPr>
        <w:t>’s claim:</w:t>
      </w:r>
      <w:r w:rsidRPr="00DE63BA">
        <w:rPr>
          <w:szCs w:val="28"/>
        </w:rPr>
        <w:t xml:space="preserve"> CPCS argued that the </w:t>
      </w:r>
      <w:r>
        <w:rPr>
          <w:szCs w:val="28"/>
        </w:rPr>
        <w:t>plaintiff</w:t>
      </w:r>
      <w:r w:rsidRPr="00DE63BA">
        <w:rPr>
          <w:szCs w:val="28"/>
        </w:rPr>
        <w:t xml:space="preserve">, based on the evidence available, is unmeritorious and has no reasonable prospect of success.  In this regard, the </w:t>
      </w:r>
      <w:r w:rsidR="003F2412">
        <w:rPr>
          <w:szCs w:val="28"/>
        </w:rPr>
        <w:t>C</w:t>
      </w:r>
      <w:r w:rsidRPr="00DE63BA">
        <w:rPr>
          <w:szCs w:val="28"/>
        </w:rPr>
        <w:t xml:space="preserve">ourt bears in mind that the judgment of Stuart–Smith LJ in </w:t>
      </w:r>
      <w:r w:rsidRPr="00AB5D5F">
        <w:rPr>
          <w:b/>
          <w:i/>
          <w:szCs w:val="28"/>
        </w:rPr>
        <w:t xml:space="preserve">Forbes v </w:t>
      </w:r>
      <w:proofErr w:type="spellStart"/>
      <w:r w:rsidRPr="00AB5D5F">
        <w:rPr>
          <w:b/>
          <w:i/>
          <w:szCs w:val="28"/>
        </w:rPr>
        <w:t>Wandsworth</w:t>
      </w:r>
      <w:proofErr w:type="spellEnd"/>
      <w:r w:rsidRPr="00AB5D5F">
        <w:rPr>
          <w:b/>
          <w:i/>
          <w:szCs w:val="28"/>
        </w:rPr>
        <w:t xml:space="preserve"> Health Authority</w:t>
      </w:r>
      <w:r w:rsidRPr="00AB5D5F">
        <w:rPr>
          <w:b/>
          <w:szCs w:val="28"/>
        </w:rPr>
        <w:t xml:space="preserve"> [1996] 4 All ER 881, 894-895</w:t>
      </w:r>
      <w:r w:rsidRPr="00DE63BA">
        <w:rPr>
          <w:szCs w:val="28"/>
        </w:rPr>
        <w:t xml:space="preserve"> as </w:t>
      </w:r>
      <w:proofErr w:type="gramStart"/>
      <w:r w:rsidRPr="00DE63BA">
        <w:rPr>
          <w:szCs w:val="28"/>
        </w:rPr>
        <w:t>follows:</w:t>
      </w:r>
      <w:r w:rsidR="00183085">
        <w:rPr>
          <w:szCs w:val="28"/>
        </w:rPr>
        <w:t>-</w:t>
      </w:r>
      <w:proofErr w:type="gramEnd"/>
    </w:p>
    <w:p w:rsidR="00183085" w:rsidRPr="00DE63BA" w:rsidRDefault="00183085" w:rsidP="00183085">
      <w:pPr>
        <w:pStyle w:val="ListParagraph"/>
        <w:spacing w:line="360" w:lineRule="auto"/>
        <w:ind w:left="0"/>
        <w:jc w:val="both"/>
        <w:rPr>
          <w:szCs w:val="28"/>
        </w:rPr>
      </w:pPr>
    </w:p>
    <w:p w:rsidR="00DE63BA" w:rsidRPr="00AB5D5F" w:rsidRDefault="00DE63BA" w:rsidP="00183085">
      <w:pPr>
        <w:pStyle w:val="ListParagraph"/>
        <w:tabs>
          <w:tab w:val="clear" w:pos="4320"/>
        </w:tabs>
        <w:ind w:left="1440" w:right="746"/>
        <w:jc w:val="both"/>
        <w:rPr>
          <w:rFonts w:eastAsia="PMingLiU"/>
          <w:i/>
          <w:sz w:val="24"/>
          <w:szCs w:val="24"/>
          <w:lang w:eastAsia="zh-TW"/>
        </w:rPr>
      </w:pPr>
      <w:r w:rsidRPr="00AB5D5F">
        <w:rPr>
          <w:rFonts w:eastAsia="PMingLiU"/>
          <w:i/>
          <w:sz w:val="24"/>
          <w:szCs w:val="24"/>
          <w:lang w:eastAsia="zh-TW"/>
        </w:rPr>
        <w:t xml:space="preserve">“Equally, although it is always prejudicial to a defendant to be deprived of a </w:t>
      </w:r>
      <w:proofErr w:type="spellStart"/>
      <w:r w:rsidRPr="00AB5D5F">
        <w:rPr>
          <w:rFonts w:eastAsia="PMingLiU"/>
          <w:i/>
          <w:sz w:val="24"/>
          <w:szCs w:val="24"/>
          <w:lang w:eastAsia="zh-TW"/>
        </w:rPr>
        <w:t>defence</w:t>
      </w:r>
      <w:proofErr w:type="spellEnd"/>
      <w:r w:rsidRPr="00AB5D5F">
        <w:rPr>
          <w:rFonts w:eastAsia="PMingLiU"/>
          <w:i/>
          <w:sz w:val="24"/>
          <w:szCs w:val="24"/>
          <w:lang w:eastAsia="zh-TW"/>
        </w:rPr>
        <w:t xml:space="preserve"> under the Limitation Act, it may be less inequitable or unfair where the plaintiff has a strong case and more unfair where he has a weak one. </w:t>
      </w:r>
      <w:r w:rsidRPr="00AB5D5F">
        <w:rPr>
          <w:i/>
          <w:sz w:val="24"/>
          <w:szCs w:val="24"/>
        </w:rPr>
        <w:t xml:space="preserve"> </w:t>
      </w:r>
      <w:r w:rsidRPr="00AB5D5F">
        <w:rPr>
          <w:rFonts w:eastAsia="PMingLiU"/>
          <w:i/>
          <w:sz w:val="24"/>
          <w:szCs w:val="24"/>
          <w:lang w:eastAsia="zh-TW"/>
        </w:rPr>
        <w:t xml:space="preserve">But </w:t>
      </w:r>
      <w:proofErr w:type="spellStart"/>
      <w:r w:rsidRPr="00AB5D5F">
        <w:rPr>
          <w:rFonts w:eastAsia="PMingLiU"/>
          <w:i/>
          <w:sz w:val="24"/>
          <w:szCs w:val="24"/>
          <w:lang w:eastAsia="zh-TW"/>
        </w:rPr>
        <w:t>where as</w:t>
      </w:r>
      <w:proofErr w:type="spellEnd"/>
      <w:r w:rsidRPr="00AB5D5F">
        <w:rPr>
          <w:rFonts w:eastAsia="PMingLiU"/>
          <w:i/>
          <w:sz w:val="24"/>
          <w:szCs w:val="24"/>
          <w:lang w:eastAsia="zh-TW"/>
        </w:rPr>
        <w:t xml:space="preserve"> here the limitation issue is tried and determined before the merits of the </w:t>
      </w:r>
      <w:r w:rsidRPr="00AB5D5F">
        <w:rPr>
          <w:rFonts w:eastAsia="PMingLiU"/>
          <w:i/>
          <w:sz w:val="24"/>
          <w:szCs w:val="24"/>
          <w:lang w:eastAsia="zh-TW"/>
        </w:rPr>
        <w:lastRenderedPageBreak/>
        <w:t xml:space="preserve">claim, the court cannot and should not attempt to determine the merits on affidavit evidence. </w:t>
      </w:r>
      <w:r w:rsidRPr="00AB5D5F">
        <w:rPr>
          <w:i/>
          <w:sz w:val="24"/>
          <w:szCs w:val="24"/>
        </w:rPr>
        <w:t xml:space="preserve"> </w:t>
      </w:r>
      <w:r w:rsidRPr="00AB5D5F">
        <w:rPr>
          <w:rFonts w:eastAsia="PMingLiU"/>
          <w:i/>
          <w:sz w:val="24"/>
          <w:szCs w:val="24"/>
          <w:lang w:eastAsia="zh-TW"/>
        </w:rPr>
        <w:t>All that can be done and should be done is for the judge to take an overall view of the prospects of success; a judge who is experienced in this type of litigation should have no difficulty in doing so.”</w:t>
      </w:r>
    </w:p>
    <w:p w:rsidR="00183085" w:rsidRPr="00183085" w:rsidRDefault="00183085" w:rsidP="00183085">
      <w:pPr>
        <w:pStyle w:val="ListParagraph"/>
        <w:tabs>
          <w:tab w:val="clear" w:pos="4320"/>
        </w:tabs>
        <w:spacing w:line="360" w:lineRule="auto"/>
        <w:ind w:left="1440" w:right="746"/>
        <w:jc w:val="both"/>
        <w:rPr>
          <w:sz w:val="24"/>
          <w:szCs w:val="24"/>
        </w:rPr>
      </w:pPr>
    </w:p>
    <w:p w:rsidR="00DE63BA" w:rsidRPr="00DE63BA" w:rsidRDefault="00DE63BA" w:rsidP="00183085">
      <w:pPr>
        <w:pStyle w:val="ListParagraph"/>
        <w:numPr>
          <w:ilvl w:val="0"/>
          <w:numId w:val="15"/>
        </w:numPr>
        <w:spacing w:line="360" w:lineRule="auto"/>
        <w:ind w:left="0" w:firstLine="0"/>
        <w:jc w:val="both"/>
        <w:rPr>
          <w:szCs w:val="28"/>
        </w:rPr>
      </w:pPr>
      <w:r w:rsidRPr="00DE63BA">
        <w:rPr>
          <w:szCs w:val="28"/>
        </w:rPr>
        <w:t xml:space="preserve">As such, the court can only take a broad view of the matter at this stage but to go into the details of the evidence and credibility of witnesses.  In my view, whilst the </w:t>
      </w:r>
      <w:r w:rsidR="00C56A77">
        <w:rPr>
          <w:szCs w:val="28"/>
        </w:rPr>
        <w:t>P</w:t>
      </w:r>
      <w:r>
        <w:rPr>
          <w:szCs w:val="28"/>
        </w:rPr>
        <w:t>laintiff</w:t>
      </w:r>
      <w:r w:rsidRPr="00DE63BA">
        <w:rPr>
          <w:szCs w:val="28"/>
        </w:rPr>
        <w:t xml:space="preserve"> may not have an overwhelming or cast-iron case against CPCS, it cannot be said to be a weak case.  It is a genuine claim that deserves further investigation in the course of litigation.</w:t>
      </w:r>
    </w:p>
    <w:p w:rsidR="00D43C7D" w:rsidRPr="00DE63BA" w:rsidRDefault="00D43C7D" w:rsidP="00DE63BA">
      <w:pPr>
        <w:spacing w:line="360" w:lineRule="auto"/>
        <w:jc w:val="both"/>
        <w:rPr>
          <w:i/>
          <w:szCs w:val="28"/>
        </w:rPr>
      </w:pPr>
    </w:p>
    <w:p w:rsidR="00DE63BA" w:rsidRDefault="00DE63BA" w:rsidP="00183085">
      <w:pPr>
        <w:pStyle w:val="ListParagraph"/>
        <w:keepNext/>
        <w:keepLines/>
        <w:widowControl w:val="0"/>
        <w:spacing w:line="360" w:lineRule="auto"/>
        <w:ind w:left="0"/>
        <w:jc w:val="both"/>
        <w:rPr>
          <w:i/>
          <w:szCs w:val="28"/>
        </w:rPr>
      </w:pPr>
      <w:r w:rsidRPr="00DE63BA">
        <w:rPr>
          <w:i/>
          <w:szCs w:val="28"/>
        </w:rPr>
        <w:t>CONCLUSION</w:t>
      </w:r>
    </w:p>
    <w:p w:rsidR="00183085" w:rsidRPr="00DE63BA" w:rsidRDefault="00183085" w:rsidP="00183085">
      <w:pPr>
        <w:pStyle w:val="ListParagraph"/>
        <w:keepNext/>
        <w:keepLines/>
        <w:widowControl w:val="0"/>
        <w:spacing w:line="360" w:lineRule="auto"/>
        <w:ind w:left="0"/>
        <w:jc w:val="both"/>
        <w:rPr>
          <w:i/>
          <w:szCs w:val="28"/>
        </w:rPr>
      </w:pPr>
    </w:p>
    <w:p w:rsidR="00183085" w:rsidRDefault="00DE63BA" w:rsidP="00183085">
      <w:pPr>
        <w:pStyle w:val="ListParagraph"/>
        <w:keepNext/>
        <w:keepLines/>
        <w:widowControl w:val="0"/>
        <w:numPr>
          <w:ilvl w:val="0"/>
          <w:numId w:val="15"/>
        </w:numPr>
        <w:spacing w:line="360" w:lineRule="auto"/>
        <w:ind w:left="0" w:firstLine="0"/>
        <w:jc w:val="both"/>
        <w:rPr>
          <w:szCs w:val="28"/>
        </w:rPr>
      </w:pPr>
      <w:r w:rsidRPr="00DE63BA">
        <w:rPr>
          <w:szCs w:val="28"/>
        </w:rPr>
        <w:t xml:space="preserve">Lord Hoffman in </w:t>
      </w:r>
      <w:r w:rsidRPr="00C56A77">
        <w:rPr>
          <w:b/>
          <w:i/>
          <w:szCs w:val="28"/>
        </w:rPr>
        <w:t xml:space="preserve">Horton v Sadler </w:t>
      </w:r>
      <w:r w:rsidRPr="00C56A77">
        <w:rPr>
          <w:b/>
          <w:szCs w:val="28"/>
        </w:rPr>
        <w:t>[2006] PIQR P30</w:t>
      </w:r>
      <w:r w:rsidRPr="00DE63BA">
        <w:rPr>
          <w:szCs w:val="28"/>
        </w:rPr>
        <w:t xml:space="preserve"> said </w:t>
      </w:r>
      <w:r w:rsidRPr="00DE63BA">
        <w:rPr>
          <w:rFonts w:eastAsia="PMingLiU"/>
          <w:szCs w:val="28"/>
          <w:lang w:eastAsia="zh-TW"/>
        </w:rPr>
        <w:t>at p</w:t>
      </w:r>
      <w:r w:rsidR="00C56A77">
        <w:rPr>
          <w:rFonts w:eastAsia="PMingLiU"/>
          <w:szCs w:val="28"/>
          <w:lang w:eastAsia="zh-TW"/>
        </w:rPr>
        <w:t>.</w:t>
      </w:r>
      <w:r w:rsidRPr="00DE63BA">
        <w:rPr>
          <w:rFonts w:eastAsia="PMingLiU"/>
          <w:szCs w:val="28"/>
          <w:lang w:eastAsia="zh-TW"/>
        </w:rPr>
        <w:t xml:space="preserve">514 </w:t>
      </w:r>
      <w:r w:rsidRPr="00DE63BA">
        <w:rPr>
          <w:szCs w:val="28"/>
        </w:rPr>
        <w:t xml:space="preserve">that </w:t>
      </w:r>
      <w:r w:rsidRPr="00DE63BA">
        <w:rPr>
          <w:i/>
          <w:szCs w:val="28"/>
        </w:rPr>
        <w:t xml:space="preserve">“since [Thompson v Brown [1981] 1 WLR 744] the practice of the courts has been regularly to exercise the discretion in </w:t>
      </w:r>
      <w:proofErr w:type="spellStart"/>
      <w:r w:rsidRPr="00DE63BA">
        <w:rPr>
          <w:i/>
          <w:szCs w:val="28"/>
        </w:rPr>
        <w:t>favour</w:t>
      </w:r>
      <w:proofErr w:type="spellEnd"/>
      <w:r w:rsidRPr="00DE63BA">
        <w:rPr>
          <w:i/>
          <w:szCs w:val="28"/>
        </w:rPr>
        <w:t xml:space="preserve"> of the plaintiff in all cases in which the defendant cannot show that he has been prejudiced by the delay …… the plea of limitation which the statute confers upon the defendant is, in the absence of forensic prejudice, described as a windfall of which he can properly be deprived”. </w:t>
      </w:r>
      <w:r w:rsidRPr="00DE63BA">
        <w:rPr>
          <w:szCs w:val="28"/>
        </w:rPr>
        <w:t>Such observations were approved by</w:t>
      </w:r>
      <w:r w:rsidRPr="00DE63BA">
        <w:rPr>
          <w:i/>
          <w:szCs w:val="28"/>
        </w:rPr>
        <w:t xml:space="preserve"> </w:t>
      </w:r>
      <w:r w:rsidRPr="00E80BF5">
        <w:rPr>
          <w:b/>
          <w:i/>
          <w:szCs w:val="28"/>
        </w:rPr>
        <w:t xml:space="preserve">Tang VP in Chuck </w:t>
      </w:r>
      <w:proofErr w:type="spellStart"/>
      <w:r w:rsidRPr="00E80BF5">
        <w:rPr>
          <w:b/>
          <w:i/>
          <w:szCs w:val="28"/>
        </w:rPr>
        <w:t>Wai</w:t>
      </w:r>
      <w:proofErr w:type="spellEnd"/>
      <w:r w:rsidRPr="00E80BF5">
        <w:rPr>
          <w:b/>
          <w:i/>
          <w:szCs w:val="28"/>
        </w:rPr>
        <w:t xml:space="preserve"> Man v Asia Television Ltd </w:t>
      </w:r>
      <w:r w:rsidRPr="00E80BF5">
        <w:rPr>
          <w:b/>
          <w:szCs w:val="28"/>
        </w:rPr>
        <w:t>CACV29/2008 (unreported, 9 September 2008)</w:t>
      </w:r>
      <w:r w:rsidRPr="00183085">
        <w:rPr>
          <w:szCs w:val="28"/>
        </w:rPr>
        <w:t>.</w:t>
      </w:r>
      <w:r w:rsidRPr="00183085">
        <w:rPr>
          <w:i/>
          <w:szCs w:val="28"/>
        </w:rPr>
        <w:t xml:space="preserve"> </w:t>
      </w:r>
      <w:r w:rsidRPr="00183085">
        <w:rPr>
          <w:rFonts w:eastAsia="PMingLiU"/>
          <w:szCs w:val="28"/>
          <w:lang w:eastAsia="zh-TW"/>
        </w:rPr>
        <w:t>Indeed, i</w:t>
      </w:r>
      <w:r w:rsidRPr="00183085">
        <w:rPr>
          <w:szCs w:val="28"/>
        </w:rPr>
        <w:t>n</w:t>
      </w:r>
      <w:r w:rsidRPr="00183085">
        <w:rPr>
          <w:i/>
          <w:szCs w:val="28"/>
        </w:rPr>
        <w:t xml:space="preserve"> </w:t>
      </w:r>
      <w:r w:rsidRPr="00E80BF5">
        <w:rPr>
          <w:b/>
          <w:i/>
          <w:szCs w:val="28"/>
        </w:rPr>
        <w:t xml:space="preserve">A v Hoare </w:t>
      </w:r>
      <w:r w:rsidRPr="00E80BF5">
        <w:rPr>
          <w:b/>
          <w:szCs w:val="28"/>
        </w:rPr>
        <w:t>[2008] 2 All ER 1</w:t>
      </w:r>
      <w:r w:rsidRPr="00183085">
        <w:rPr>
          <w:szCs w:val="28"/>
        </w:rPr>
        <w:t>, Baroness Hale at p</w:t>
      </w:r>
      <w:r w:rsidR="00E80BF5">
        <w:rPr>
          <w:szCs w:val="28"/>
        </w:rPr>
        <w:t>.</w:t>
      </w:r>
      <w:r w:rsidRPr="00183085">
        <w:rPr>
          <w:szCs w:val="28"/>
        </w:rPr>
        <w:t xml:space="preserve">21 said she fully supported a more generous approach to the exercise of discretion, and Lord </w:t>
      </w:r>
      <w:proofErr w:type="spellStart"/>
      <w:r w:rsidRPr="00183085">
        <w:rPr>
          <w:szCs w:val="28"/>
        </w:rPr>
        <w:t>Carswell</w:t>
      </w:r>
      <w:proofErr w:type="spellEnd"/>
      <w:r w:rsidRPr="00183085">
        <w:rPr>
          <w:szCs w:val="28"/>
        </w:rPr>
        <w:t xml:space="preserve"> at pp</w:t>
      </w:r>
      <w:r w:rsidR="00E80BF5">
        <w:rPr>
          <w:szCs w:val="28"/>
        </w:rPr>
        <w:t>.</w:t>
      </w:r>
      <w:r w:rsidRPr="00183085">
        <w:rPr>
          <w:szCs w:val="28"/>
        </w:rPr>
        <w:t>26-27 said there needed to be a more liberal approach to the exercise of the discretion.</w:t>
      </w:r>
    </w:p>
    <w:p w:rsidR="00183085" w:rsidRPr="00183085" w:rsidRDefault="00183085" w:rsidP="00183085">
      <w:pPr>
        <w:pStyle w:val="ListParagraph"/>
        <w:keepNext/>
        <w:keepLines/>
        <w:widowControl w:val="0"/>
        <w:spacing w:line="360" w:lineRule="auto"/>
        <w:ind w:left="0"/>
        <w:jc w:val="both"/>
        <w:rPr>
          <w:szCs w:val="28"/>
        </w:rPr>
      </w:pPr>
    </w:p>
    <w:p w:rsidR="00DE63BA" w:rsidRDefault="00DE63BA" w:rsidP="00DE63BA">
      <w:pPr>
        <w:pStyle w:val="ListParagraph"/>
        <w:numPr>
          <w:ilvl w:val="0"/>
          <w:numId w:val="15"/>
        </w:numPr>
        <w:spacing w:line="360" w:lineRule="auto"/>
        <w:ind w:left="0" w:firstLine="0"/>
        <w:jc w:val="both"/>
        <w:rPr>
          <w:szCs w:val="28"/>
        </w:rPr>
      </w:pPr>
      <w:r w:rsidRPr="00DE63BA">
        <w:rPr>
          <w:szCs w:val="28"/>
        </w:rPr>
        <w:t xml:space="preserve">In considering all the circumstances in paragraphs 44-53 hereinabove, the </w:t>
      </w:r>
      <w:r w:rsidR="003F2412">
        <w:rPr>
          <w:szCs w:val="28"/>
        </w:rPr>
        <w:t>C</w:t>
      </w:r>
      <w:r w:rsidRPr="00DE63BA">
        <w:rPr>
          <w:szCs w:val="28"/>
        </w:rPr>
        <w:t xml:space="preserve">ourt is of an overall view that a fair trial is still possible </w:t>
      </w:r>
      <w:r w:rsidRPr="00DE63BA">
        <w:rPr>
          <w:szCs w:val="28"/>
        </w:rPr>
        <w:lastRenderedPageBreak/>
        <w:t xml:space="preserve">and I consider it is an appropriate case to exercise my discretion in </w:t>
      </w:r>
      <w:proofErr w:type="spellStart"/>
      <w:r w:rsidRPr="00DE63BA">
        <w:rPr>
          <w:szCs w:val="28"/>
        </w:rPr>
        <w:t>favour</w:t>
      </w:r>
      <w:proofErr w:type="spellEnd"/>
      <w:r w:rsidRPr="00DE63BA">
        <w:rPr>
          <w:szCs w:val="28"/>
        </w:rPr>
        <w:t xml:space="preserve"> of the </w:t>
      </w:r>
      <w:r w:rsidR="00E80BF5">
        <w:rPr>
          <w:szCs w:val="28"/>
        </w:rPr>
        <w:t>P</w:t>
      </w:r>
      <w:r>
        <w:rPr>
          <w:szCs w:val="28"/>
        </w:rPr>
        <w:t>laintiff</w:t>
      </w:r>
      <w:r w:rsidRPr="00DE63BA">
        <w:rPr>
          <w:szCs w:val="28"/>
        </w:rPr>
        <w:t>.</w:t>
      </w:r>
    </w:p>
    <w:p w:rsidR="00183085" w:rsidRPr="00DE63BA" w:rsidRDefault="00183085" w:rsidP="00183085">
      <w:pPr>
        <w:pStyle w:val="ListParagraph"/>
        <w:spacing w:line="360" w:lineRule="auto"/>
        <w:ind w:left="0"/>
        <w:jc w:val="both"/>
        <w:rPr>
          <w:szCs w:val="28"/>
        </w:rPr>
      </w:pPr>
    </w:p>
    <w:p w:rsidR="00183085" w:rsidRPr="00D43C7D" w:rsidRDefault="00DE63BA" w:rsidP="00183085">
      <w:pPr>
        <w:pStyle w:val="ListParagraph"/>
        <w:numPr>
          <w:ilvl w:val="0"/>
          <w:numId w:val="15"/>
        </w:numPr>
        <w:spacing w:line="360" w:lineRule="auto"/>
        <w:ind w:left="0" w:firstLine="0"/>
        <w:jc w:val="both"/>
        <w:rPr>
          <w:szCs w:val="28"/>
        </w:rPr>
      </w:pPr>
      <w:r w:rsidRPr="00DE63BA">
        <w:rPr>
          <w:szCs w:val="28"/>
        </w:rPr>
        <w:t xml:space="preserve">I therefore order </w:t>
      </w:r>
      <w:proofErr w:type="gramStart"/>
      <w:r w:rsidRPr="00DE63BA">
        <w:rPr>
          <w:szCs w:val="28"/>
        </w:rPr>
        <w:t>that:</w:t>
      </w:r>
      <w:r w:rsidR="00183085">
        <w:rPr>
          <w:szCs w:val="28"/>
        </w:rPr>
        <w:t>-</w:t>
      </w:r>
      <w:proofErr w:type="gramEnd"/>
    </w:p>
    <w:p w:rsidR="00DE63BA" w:rsidRDefault="00DE63BA" w:rsidP="00183085">
      <w:pPr>
        <w:pStyle w:val="ListParagraph"/>
        <w:numPr>
          <w:ilvl w:val="0"/>
          <w:numId w:val="20"/>
        </w:numPr>
        <w:spacing w:line="360" w:lineRule="auto"/>
        <w:ind w:left="2160" w:hanging="720"/>
        <w:jc w:val="both"/>
        <w:rPr>
          <w:szCs w:val="28"/>
        </w:rPr>
      </w:pPr>
      <w:r w:rsidRPr="00DE63BA">
        <w:rPr>
          <w:szCs w:val="28"/>
        </w:rPr>
        <w:t xml:space="preserve">The </w:t>
      </w:r>
      <w:r w:rsidR="0097599C">
        <w:rPr>
          <w:szCs w:val="28"/>
        </w:rPr>
        <w:t>P</w:t>
      </w:r>
      <w:r>
        <w:rPr>
          <w:szCs w:val="28"/>
        </w:rPr>
        <w:t>laintiff</w:t>
      </w:r>
      <w:r w:rsidRPr="00DE63BA">
        <w:rPr>
          <w:szCs w:val="28"/>
        </w:rPr>
        <w:t xml:space="preserve"> do have leave to join Cathay Pacific Catering Services (H</w:t>
      </w:r>
      <w:r w:rsidR="002A6023">
        <w:rPr>
          <w:szCs w:val="28"/>
        </w:rPr>
        <w:t>.</w:t>
      </w:r>
      <w:r w:rsidRPr="00DE63BA">
        <w:rPr>
          <w:szCs w:val="28"/>
        </w:rPr>
        <w:t>K</w:t>
      </w:r>
      <w:r w:rsidR="002A6023">
        <w:rPr>
          <w:szCs w:val="28"/>
        </w:rPr>
        <w:t>.</w:t>
      </w:r>
      <w:r w:rsidRPr="00DE63BA">
        <w:rPr>
          <w:szCs w:val="28"/>
        </w:rPr>
        <w:t>) Limited as the 2</w:t>
      </w:r>
      <w:r w:rsidRPr="00DE63BA">
        <w:rPr>
          <w:szCs w:val="28"/>
          <w:vertAlign w:val="superscript"/>
        </w:rPr>
        <w:t>nd</w:t>
      </w:r>
      <w:r w:rsidRPr="00DE63BA">
        <w:rPr>
          <w:szCs w:val="28"/>
        </w:rPr>
        <w:t xml:space="preserve"> </w:t>
      </w:r>
      <w:r w:rsidR="0097599C">
        <w:rPr>
          <w:szCs w:val="28"/>
        </w:rPr>
        <w:t>D</w:t>
      </w:r>
      <w:r>
        <w:rPr>
          <w:szCs w:val="28"/>
        </w:rPr>
        <w:t>efendant</w:t>
      </w:r>
      <w:r w:rsidRPr="00DE63BA">
        <w:rPr>
          <w:szCs w:val="28"/>
        </w:rPr>
        <w:t xml:space="preserve"> (hereinafter called the 2</w:t>
      </w:r>
      <w:r w:rsidRPr="00DE63BA">
        <w:rPr>
          <w:szCs w:val="28"/>
          <w:vertAlign w:val="superscript"/>
        </w:rPr>
        <w:t>nd</w:t>
      </w:r>
      <w:r w:rsidRPr="00DE63BA">
        <w:rPr>
          <w:szCs w:val="28"/>
        </w:rPr>
        <w:t xml:space="preserve"> </w:t>
      </w:r>
      <w:r w:rsidR="00FD08F1">
        <w:rPr>
          <w:szCs w:val="28"/>
        </w:rPr>
        <w:t>D</w:t>
      </w:r>
      <w:r>
        <w:rPr>
          <w:szCs w:val="28"/>
        </w:rPr>
        <w:t>efendant</w:t>
      </w:r>
      <w:r w:rsidRPr="00DE63BA">
        <w:rPr>
          <w:szCs w:val="28"/>
        </w:rPr>
        <w:t xml:space="preserve">) in this action and the existing </w:t>
      </w:r>
      <w:r>
        <w:rPr>
          <w:szCs w:val="28"/>
        </w:rPr>
        <w:t>defendant</w:t>
      </w:r>
      <w:r w:rsidRPr="00DE63BA">
        <w:rPr>
          <w:szCs w:val="28"/>
        </w:rPr>
        <w:t xml:space="preserve"> shall be renamed as the 1</w:t>
      </w:r>
      <w:r w:rsidRPr="00DE63BA">
        <w:rPr>
          <w:szCs w:val="28"/>
          <w:vertAlign w:val="superscript"/>
        </w:rPr>
        <w:t>st</w:t>
      </w:r>
      <w:r w:rsidRPr="00DE63BA">
        <w:rPr>
          <w:szCs w:val="28"/>
        </w:rPr>
        <w:t xml:space="preserve"> </w:t>
      </w:r>
      <w:r w:rsidR="0097599C">
        <w:rPr>
          <w:szCs w:val="28"/>
        </w:rPr>
        <w:t>D</w:t>
      </w:r>
      <w:r>
        <w:rPr>
          <w:szCs w:val="28"/>
        </w:rPr>
        <w:t>efendant</w:t>
      </w:r>
      <w:r w:rsidRPr="00DE63BA">
        <w:rPr>
          <w:szCs w:val="28"/>
        </w:rPr>
        <w:t>;</w:t>
      </w:r>
    </w:p>
    <w:p w:rsidR="00183085" w:rsidRPr="00DE63BA" w:rsidRDefault="00183085" w:rsidP="00183085">
      <w:pPr>
        <w:pStyle w:val="ListParagraph"/>
        <w:spacing w:line="360" w:lineRule="auto"/>
        <w:ind w:left="2160"/>
        <w:jc w:val="both"/>
        <w:rPr>
          <w:szCs w:val="28"/>
        </w:rPr>
      </w:pPr>
    </w:p>
    <w:p w:rsidR="00DE63BA" w:rsidRDefault="00DE63BA" w:rsidP="00183085">
      <w:pPr>
        <w:pStyle w:val="ListParagraph"/>
        <w:numPr>
          <w:ilvl w:val="0"/>
          <w:numId w:val="20"/>
        </w:numPr>
        <w:spacing w:line="360" w:lineRule="auto"/>
        <w:ind w:left="2160" w:hanging="720"/>
        <w:jc w:val="both"/>
        <w:rPr>
          <w:szCs w:val="28"/>
        </w:rPr>
      </w:pPr>
      <w:r w:rsidRPr="00DE63BA">
        <w:rPr>
          <w:szCs w:val="28"/>
        </w:rPr>
        <w:t xml:space="preserve">Leave be granted to the </w:t>
      </w:r>
      <w:r w:rsidR="0097599C">
        <w:rPr>
          <w:szCs w:val="28"/>
        </w:rPr>
        <w:t>P</w:t>
      </w:r>
      <w:r>
        <w:rPr>
          <w:szCs w:val="28"/>
        </w:rPr>
        <w:t>laintiff</w:t>
      </w:r>
      <w:r w:rsidRPr="00DE63BA">
        <w:rPr>
          <w:szCs w:val="28"/>
        </w:rPr>
        <w:t xml:space="preserve"> to amend the Writ of Summons in the manner marked in red as per the draft attached to the Joinder Summons;</w:t>
      </w:r>
    </w:p>
    <w:p w:rsidR="00183085" w:rsidRPr="00183085" w:rsidRDefault="00183085" w:rsidP="00183085">
      <w:pPr>
        <w:spacing w:line="360" w:lineRule="auto"/>
        <w:jc w:val="both"/>
        <w:rPr>
          <w:szCs w:val="28"/>
        </w:rPr>
      </w:pPr>
    </w:p>
    <w:p w:rsidR="00DE63BA" w:rsidRDefault="00DE63BA" w:rsidP="00183085">
      <w:pPr>
        <w:pStyle w:val="ListParagraph"/>
        <w:numPr>
          <w:ilvl w:val="0"/>
          <w:numId w:val="20"/>
        </w:numPr>
        <w:spacing w:line="360" w:lineRule="auto"/>
        <w:ind w:left="2160" w:hanging="720"/>
        <w:jc w:val="both"/>
        <w:rPr>
          <w:szCs w:val="28"/>
        </w:rPr>
      </w:pPr>
      <w:r w:rsidRPr="00DE63BA">
        <w:rPr>
          <w:szCs w:val="28"/>
        </w:rPr>
        <w:t xml:space="preserve">Leave to the </w:t>
      </w:r>
      <w:r w:rsidR="0097599C">
        <w:rPr>
          <w:szCs w:val="28"/>
        </w:rPr>
        <w:t>P</w:t>
      </w:r>
      <w:r>
        <w:rPr>
          <w:szCs w:val="28"/>
        </w:rPr>
        <w:t>laintiff</w:t>
      </w:r>
      <w:r w:rsidRPr="00DE63BA">
        <w:rPr>
          <w:szCs w:val="28"/>
        </w:rPr>
        <w:t xml:space="preserve"> to file and serve the Amended Writ of Summons within 14 days from the date hereof;</w:t>
      </w:r>
    </w:p>
    <w:p w:rsidR="00183085" w:rsidRPr="00183085" w:rsidRDefault="00183085" w:rsidP="00183085">
      <w:pPr>
        <w:spacing w:line="360" w:lineRule="auto"/>
        <w:jc w:val="both"/>
        <w:rPr>
          <w:szCs w:val="28"/>
        </w:rPr>
      </w:pPr>
    </w:p>
    <w:p w:rsidR="00DE63BA" w:rsidRDefault="0061369C" w:rsidP="00183085">
      <w:pPr>
        <w:pStyle w:val="ListParagraph"/>
        <w:numPr>
          <w:ilvl w:val="0"/>
          <w:numId w:val="20"/>
        </w:numPr>
        <w:spacing w:line="360" w:lineRule="auto"/>
        <w:ind w:left="2160" w:hanging="720"/>
        <w:jc w:val="both"/>
        <w:rPr>
          <w:szCs w:val="28"/>
        </w:rPr>
      </w:pPr>
      <w:r>
        <w:rPr>
          <w:szCs w:val="28"/>
        </w:rPr>
        <w:t>All previous pleadings and c</w:t>
      </w:r>
      <w:r w:rsidR="00DE63BA" w:rsidRPr="00DE63BA">
        <w:rPr>
          <w:szCs w:val="28"/>
        </w:rPr>
        <w:t xml:space="preserve">ourt documents already filed with the </w:t>
      </w:r>
      <w:r>
        <w:rPr>
          <w:szCs w:val="28"/>
        </w:rPr>
        <w:t>C</w:t>
      </w:r>
      <w:r w:rsidR="00DE63BA" w:rsidRPr="00DE63BA">
        <w:rPr>
          <w:szCs w:val="28"/>
        </w:rPr>
        <w:t>ourt shall be deemed to have been amended to include Cathay Pacific Catering Services (HK) Limited as the 2</w:t>
      </w:r>
      <w:r w:rsidR="00DE63BA" w:rsidRPr="00DE63BA">
        <w:rPr>
          <w:szCs w:val="28"/>
          <w:vertAlign w:val="superscript"/>
        </w:rPr>
        <w:t>nd</w:t>
      </w:r>
      <w:r w:rsidR="00DE63BA" w:rsidRPr="00DE63BA">
        <w:rPr>
          <w:szCs w:val="28"/>
        </w:rPr>
        <w:t xml:space="preserve"> </w:t>
      </w:r>
      <w:r w:rsidR="0097599C">
        <w:rPr>
          <w:szCs w:val="28"/>
        </w:rPr>
        <w:t>D</w:t>
      </w:r>
      <w:r w:rsidR="00DE63BA">
        <w:rPr>
          <w:szCs w:val="28"/>
        </w:rPr>
        <w:t>efendant</w:t>
      </w:r>
      <w:r w:rsidR="00DE63BA" w:rsidRPr="00DE63BA">
        <w:rPr>
          <w:szCs w:val="28"/>
        </w:rPr>
        <w:t>;</w:t>
      </w:r>
    </w:p>
    <w:p w:rsidR="00183085" w:rsidRPr="00183085" w:rsidRDefault="00183085" w:rsidP="00183085">
      <w:pPr>
        <w:spacing w:line="360" w:lineRule="auto"/>
        <w:jc w:val="both"/>
        <w:rPr>
          <w:szCs w:val="28"/>
        </w:rPr>
      </w:pPr>
    </w:p>
    <w:p w:rsidR="00DE63BA" w:rsidRDefault="00DE63BA" w:rsidP="00183085">
      <w:pPr>
        <w:pStyle w:val="ListParagraph"/>
        <w:numPr>
          <w:ilvl w:val="0"/>
          <w:numId w:val="20"/>
        </w:numPr>
        <w:spacing w:line="360" w:lineRule="auto"/>
        <w:ind w:left="2160" w:hanging="720"/>
        <w:jc w:val="both"/>
        <w:rPr>
          <w:szCs w:val="28"/>
        </w:rPr>
      </w:pPr>
      <w:r w:rsidRPr="00DE63BA">
        <w:rPr>
          <w:szCs w:val="28"/>
        </w:rPr>
        <w:t>The 2</w:t>
      </w:r>
      <w:r w:rsidRPr="00DE63BA">
        <w:rPr>
          <w:szCs w:val="28"/>
          <w:vertAlign w:val="superscript"/>
        </w:rPr>
        <w:t>nd</w:t>
      </w:r>
      <w:r w:rsidRPr="00DE63BA">
        <w:rPr>
          <w:szCs w:val="28"/>
        </w:rPr>
        <w:t xml:space="preserve"> </w:t>
      </w:r>
      <w:r w:rsidR="0097599C">
        <w:rPr>
          <w:szCs w:val="28"/>
        </w:rPr>
        <w:t>D</w:t>
      </w:r>
      <w:r>
        <w:rPr>
          <w:szCs w:val="28"/>
        </w:rPr>
        <w:t>efendant</w:t>
      </w:r>
      <w:r w:rsidRPr="00DE63BA">
        <w:rPr>
          <w:szCs w:val="28"/>
        </w:rPr>
        <w:t xml:space="preserve"> do file and serve the Acknowledgment of Service within 14 days from the date of service of the Amended Writ of Summons.  The filing and service of the same from the 1</w:t>
      </w:r>
      <w:r w:rsidRPr="00DE63BA">
        <w:rPr>
          <w:szCs w:val="28"/>
          <w:vertAlign w:val="superscript"/>
        </w:rPr>
        <w:t>st</w:t>
      </w:r>
      <w:r w:rsidRPr="00DE63BA">
        <w:rPr>
          <w:szCs w:val="28"/>
        </w:rPr>
        <w:t xml:space="preserve"> </w:t>
      </w:r>
      <w:r w:rsidR="0097599C">
        <w:rPr>
          <w:szCs w:val="28"/>
        </w:rPr>
        <w:t>D</w:t>
      </w:r>
      <w:r>
        <w:rPr>
          <w:szCs w:val="28"/>
        </w:rPr>
        <w:t>efendant</w:t>
      </w:r>
      <w:r w:rsidRPr="00DE63BA">
        <w:rPr>
          <w:szCs w:val="28"/>
        </w:rPr>
        <w:t xml:space="preserve"> be dispensed with;</w:t>
      </w:r>
    </w:p>
    <w:p w:rsidR="00183085" w:rsidRPr="00183085" w:rsidRDefault="00183085" w:rsidP="00183085">
      <w:pPr>
        <w:spacing w:line="360" w:lineRule="auto"/>
        <w:jc w:val="both"/>
        <w:rPr>
          <w:szCs w:val="28"/>
        </w:rPr>
      </w:pPr>
    </w:p>
    <w:p w:rsidR="00183085" w:rsidRPr="00D43C7D" w:rsidRDefault="00DE63BA" w:rsidP="00183085">
      <w:pPr>
        <w:pStyle w:val="ListParagraph"/>
        <w:numPr>
          <w:ilvl w:val="0"/>
          <w:numId w:val="20"/>
        </w:numPr>
        <w:spacing w:line="360" w:lineRule="auto"/>
        <w:ind w:left="2160" w:hanging="720"/>
        <w:jc w:val="both"/>
        <w:rPr>
          <w:szCs w:val="28"/>
        </w:rPr>
      </w:pPr>
      <w:r w:rsidRPr="00DE63BA">
        <w:rPr>
          <w:szCs w:val="28"/>
        </w:rPr>
        <w:lastRenderedPageBreak/>
        <w:t xml:space="preserve">The </w:t>
      </w:r>
      <w:r w:rsidR="0097599C">
        <w:rPr>
          <w:szCs w:val="28"/>
        </w:rPr>
        <w:t>P</w:t>
      </w:r>
      <w:r>
        <w:rPr>
          <w:szCs w:val="28"/>
        </w:rPr>
        <w:t>laintiff</w:t>
      </w:r>
      <w:r w:rsidRPr="00DE63BA">
        <w:rPr>
          <w:szCs w:val="28"/>
        </w:rPr>
        <w:t xml:space="preserve"> do have leave to amend the Statement of Claim within 28 days subsequent to the service of the Acknowledgement of Service of the 2</w:t>
      </w:r>
      <w:r w:rsidRPr="00DE63BA">
        <w:rPr>
          <w:szCs w:val="28"/>
          <w:vertAlign w:val="superscript"/>
        </w:rPr>
        <w:t>nd</w:t>
      </w:r>
      <w:r w:rsidRPr="00DE63BA">
        <w:rPr>
          <w:szCs w:val="28"/>
        </w:rPr>
        <w:t xml:space="preserve"> </w:t>
      </w:r>
      <w:r w:rsidR="0097599C">
        <w:rPr>
          <w:szCs w:val="28"/>
        </w:rPr>
        <w:t>D</w:t>
      </w:r>
      <w:r>
        <w:rPr>
          <w:szCs w:val="28"/>
        </w:rPr>
        <w:t>efendant</w:t>
      </w:r>
      <w:r w:rsidRPr="00DE63BA">
        <w:rPr>
          <w:szCs w:val="28"/>
        </w:rPr>
        <w:t>;</w:t>
      </w:r>
    </w:p>
    <w:p w:rsidR="00DE63BA" w:rsidRDefault="00DE63BA" w:rsidP="00183085">
      <w:pPr>
        <w:pStyle w:val="ListParagraph"/>
        <w:numPr>
          <w:ilvl w:val="0"/>
          <w:numId w:val="20"/>
        </w:numPr>
        <w:spacing w:line="360" w:lineRule="auto"/>
        <w:ind w:left="2160" w:hanging="720"/>
        <w:jc w:val="both"/>
        <w:rPr>
          <w:szCs w:val="28"/>
        </w:rPr>
      </w:pPr>
      <w:r w:rsidRPr="00DE63BA">
        <w:rPr>
          <w:szCs w:val="28"/>
        </w:rPr>
        <w:t>The 2</w:t>
      </w:r>
      <w:r w:rsidRPr="00DE63BA">
        <w:rPr>
          <w:szCs w:val="28"/>
          <w:vertAlign w:val="superscript"/>
        </w:rPr>
        <w:t>nd</w:t>
      </w:r>
      <w:r w:rsidRPr="00DE63BA">
        <w:rPr>
          <w:szCs w:val="28"/>
        </w:rPr>
        <w:t xml:space="preserve"> </w:t>
      </w:r>
      <w:r w:rsidR="0097599C">
        <w:rPr>
          <w:szCs w:val="28"/>
        </w:rPr>
        <w:t>D</w:t>
      </w:r>
      <w:r>
        <w:rPr>
          <w:szCs w:val="28"/>
        </w:rPr>
        <w:t>efendant</w:t>
      </w:r>
      <w:r w:rsidRPr="00DE63BA">
        <w:rPr>
          <w:szCs w:val="28"/>
        </w:rPr>
        <w:t xml:space="preserve"> shall file and serve its </w:t>
      </w:r>
      <w:proofErr w:type="spellStart"/>
      <w:r w:rsidRPr="00DE63BA">
        <w:rPr>
          <w:szCs w:val="28"/>
        </w:rPr>
        <w:t>Defence</w:t>
      </w:r>
      <w:proofErr w:type="spellEnd"/>
      <w:r w:rsidRPr="00DE63BA">
        <w:rPr>
          <w:szCs w:val="28"/>
        </w:rPr>
        <w:t>, accompanied by its Statement of Truth within 28 days thereafter;</w:t>
      </w:r>
    </w:p>
    <w:p w:rsidR="00183085" w:rsidRPr="00183085" w:rsidRDefault="00183085" w:rsidP="00183085">
      <w:pPr>
        <w:spacing w:line="360" w:lineRule="auto"/>
        <w:jc w:val="both"/>
        <w:rPr>
          <w:szCs w:val="28"/>
        </w:rPr>
      </w:pPr>
    </w:p>
    <w:p w:rsidR="00DE63BA" w:rsidRDefault="00DE63BA" w:rsidP="00183085">
      <w:pPr>
        <w:pStyle w:val="ListParagraph"/>
        <w:numPr>
          <w:ilvl w:val="0"/>
          <w:numId w:val="20"/>
        </w:numPr>
        <w:spacing w:line="360" w:lineRule="auto"/>
        <w:ind w:left="2160" w:hanging="720"/>
        <w:jc w:val="both"/>
        <w:rPr>
          <w:szCs w:val="28"/>
        </w:rPr>
      </w:pPr>
      <w:r w:rsidRPr="00DE63BA">
        <w:rPr>
          <w:szCs w:val="28"/>
        </w:rPr>
        <w:t>Leave to the 1</w:t>
      </w:r>
      <w:r w:rsidRPr="00DE63BA">
        <w:rPr>
          <w:szCs w:val="28"/>
          <w:vertAlign w:val="superscript"/>
        </w:rPr>
        <w:t>st</w:t>
      </w:r>
      <w:r w:rsidRPr="00DE63BA">
        <w:rPr>
          <w:szCs w:val="28"/>
        </w:rPr>
        <w:t xml:space="preserve"> </w:t>
      </w:r>
      <w:r w:rsidR="0097599C">
        <w:rPr>
          <w:szCs w:val="28"/>
        </w:rPr>
        <w:t>D</w:t>
      </w:r>
      <w:r>
        <w:rPr>
          <w:szCs w:val="28"/>
        </w:rPr>
        <w:t>efendant</w:t>
      </w:r>
      <w:r w:rsidRPr="00DE63BA">
        <w:rPr>
          <w:szCs w:val="28"/>
        </w:rPr>
        <w:t xml:space="preserve"> to amend its </w:t>
      </w:r>
      <w:proofErr w:type="spellStart"/>
      <w:r w:rsidRPr="00DE63BA">
        <w:rPr>
          <w:szCs w:val="28"/>
        </w:rPr>
        <w:t>Defence</w:t>
      </w:r>
      <w:proofErr w:type="spellEnd"/>
      <w:r w:rsidRPr="00DE63BA">
        <w:rPr>
          <w:szCs w:val="28"/>
        </w:rPr>
        <w:t>, if so advised, and have it filed and served within 28 days from paragraph 6;</w:t>
      </w:r>
    </w:p>
    <w:p w:rsidR="00183085" w:rsidRPr="00183085" w:rsidRDefault="00183085" w:rsidP="00183085">
      <w:pPr>
        <w:spacing w:line="360" w:lineRule="auto"/>
        <w:jc w:val="both"/>
        <w:rPr>
          <w:szCs w:val="28"/>
        </w:rPr>
      </w:pPr>
    </w:p>
    <w:p w:rsidR="00DE63BA" w:rsidRDefault="00DE63BA" w:rsidP="00183085">
      <w:pPr>
        <w:pStyle w:val="ListParagraph"/>
        <w:numPr>
          <w:ilvl w:val="0"/>
          <w:numId w:val="20"/>
        </w:numPr>
        <w:spacing w:line="360" w:lineRule="auto"/>
        <w:ind w:left="2160" w:hanging="720"/>
        <w:jc w:val="both"/>
        <w:rPr>
          <w:szCs w:val="28"/>
        </w:rPr>
      </w:pPr>
      <w:r w:rsidRPr="00DE63BA">
        <w:rPr>
          <w:szCs w:val="28"/>
        </w:rPr>
        <w:t xml:space="preserve">A Checklist Review Hearing be fixed on </w:t>
      </w:r>
      <w:r w:rsidRPr="0097599C">
        <w:rPr>
          <w:szCs w:val="28"/>
        </w:rPr>
        <w:t xml:space="preserve">25 April 2023 at </w:t>
      </w:r>
      <w:r w:rsidRPr="00DE63BA">
        <w:rPr>
          <w:szCs w:val="28"/>
        </w:rPr>
        <w:t>10:30 am in Court 13 for further case management directions. Parties do file and serve their PI Questionnaire 14 days prior to the adjourned hearing and Consent Summons, if any, 7 days prior to the adjourned hearing;</w:t>
      </w:r>
    </w:p>
    <w:p w:rsidR="00183085" w:rsidRPr="00183085" w:rsidRDefault="00183085" w:rsidP="00183085">
      <w:pPr>
        <w:spacing w:line="360" w:lineRule="auto"/>
        <w:jc w:val="both"/>
        <w:rPr>
          <w:szCs w:val="28"/>
        </w:rPr>
      </w:pPr>
    </w:p>
    <w:p w:rsidR="00DE63BA" w:rsidRPr="00DE63BA" w:rsidRDefault="00DE63BA" w:rsidP="00183085">
      <w:pPr>
        <w:pStyle w:val="ListParagraph"/>
        <w:numPr>
          <w:ilvl w:val="0"/>
          <w:numId w:val="20"/>
        </w:numPr>
        <w:spacing w:line="360" w:lineRule="auto"/>
        <w:ind w:left="2160" w:hanging="720"/>
        <w:jc w:val="both"/>
        <w:rPr>
          <w:szCs w:val="28"/>
        </w:rPr>
      </w:pPr>
      <w:r w:rsidRPr="00DE63BA">
        <w:rPr>
          <w:szCs w:val="28"/>
        </w:rPr>
        <w:t>Liberty to apply.</w:t>
      </w:r>
    </w:p>
    <w:p w:rsidR="00DE63BA" w:rsidRPr="00DE63BA" w:rsidRDefault="00DE63BA" w:rsidP="00DE63BA">
      <w:pPr>
        <w:spacing w:line="360" w:lineRule="auto"/>
        <w:jc w:val="both"/>
        <w:rPr>
          <w:i/>
          <w:szCs w:val="28"/>
        </w:rPr>
      </w:pPr>
    </w:p>
    <w:p w:rsidR="00D43C7D" w:rsidRDefault="00D43C7D" w:rsidP="00183085">
      <w:pPr>
        <w:pStyle w:val="ListParagraph"/>
        <w:spacing w:line="360" w:lineRule="auto"/>
        <w:ind w:left="0"/>
        <w:jc w:val="both"/>
        <w:rPr>
          <w:i/>
          <w:szCs w:val="28"/>
        </w:rPr>
      </w:pPr>
    </w:p>
    <w:p w:rsidR="00DE63BA" w:rsidRDefault="00DE63BA" w:rsidP="00183085">
      <w:pPr>
        <w:pStyle w:val="ListParagraph"/>
        <w:spacing w:line="360" w:lineRule="auto"/>
        <w:ind w:left="0"/>
        <w:jc w:val="both"/>
        <w:rPr>
          <w:i/>
          <w:szCs w:val="28"/>
        </w:rPr>
      </w:pPr>
      <w:r w:rsidRPr="00DE63BA">
        <w:rPr>
          <w:i/>
          <w:szCs w:val="28"/>
        </w:rPr>
        <w:t>COSTS</w:t>
      </w:r>
    </w:p>
    <w:p w:rsidR="00183085" w:rsidRPr="00DE63BA" w:rsidRDefault="00183085" w:rsidP="00183085">
      <w:pPr>
        <w:pStyle w:val="ListParagraph"/>
        <w:spacing w:line="360" w:lineRule="auto"/>
        <w:ind w:left="0"/>
        <w:jc w:val="both"/>
        <w:rPr>
          <w:i/>
          <w:szCs w:val="28"/>
        </w:rPr>
      </w:pPr>
    </w:p>
    <w:p w:rsidR="00183085" w:rsidRDefault="00DE63BA" w:rsidP="00183085">
      <w:pPr>
        <w:pStyle w:val="ListParagraph"/>
        <w:numPr>
          <w:ilvl w:val="0"/>
          <w:numId w:val="15"/>
        </w:numPr>
        <w:spacing w:line="360" w:lineRule="auto"/>
        <w:ind w:left="0" w:firstLine="0"/>
        <w:jc w:val="both"/>
        <w:rPr>
          <w:szCs w:val="28"/>
        </w:rPr>
      </w:pPr>
      <w:r w:rsidRPr="00DE63BA">
        <w:rPr>
          <w:szCs w:val="28"/>
        </w:rPr>
        <w:t xml:space="preserve">The </w:t>
      </w:r>
      <w:r w:rsidR="0097599C">
        <w:rPr>
          <w:szCs w:val="28"/>
        </w:rPr>
        <w:t>P</w:t>
      </w:r>
      <w:r>
        <w:rPr>
          <w:szCs w:val="28"/>
        </w:rPr>
        <w:t>laintiff</w:t>
      </w:r>
      <w:r w:rsidRPr="00DE63BA">
        <w:rPr>
          <w:szCs w:val="28"/>
        </w:rPr>
        <w:t xml:space="preserve"> asked for costs of and occasioned by </w:t>
      </w:r>
      <w:r w:rsidR="00C25B18">
        <w:rPr>
          <w:szCs w:val="28"/>
        </w:rPr>
        <w:t>this</w:t>
      </w:r>
      <w:r w:rsidRPr="00DE63BA">
        <w:rPr>
          <w:szCs w:val="28"/>
        </w:rPr>
        <w:t xml:space="preserve"> Summons should be borne by the </w:t>
      </w:r>
      <w:r w:rsidR="00FD08F1">
        <w:rPr>
          <w:szCs w:val="28"/>
        </w:rPr>
        <w:t>D</w:t>
      </w:r>
      <w:r>
        <w:rPr>
          <w:szCs w:val="28"/>
        </w:rPr>
        <w:t>efendant</w:t>
      </w:r>
      <w:r w:rsidRPr="00DE63BA">
        <w:rPr>
          <w:szCs w:val="28"/>
        </w:rPr>
        <w:t xml:space="preserve"> and/or CPCS.  CPCS contended that they have defended the Joinder Summons on reasonable grounds and submitted that costs of and occasioned by </w:t>
      </w:r>
      <w:r w:rsidR="00C25B18">
        <w:rPr>
          <w:szCs w:val="28"/>
        </w:rPr>
        <w:t>this application</w:t>
      </w:r>
      <w:r w:rsidRPr="00DE63BA">
        <w:rPr>
          <w:szCs w:val="28"/>
        </w:rPr>
        <w:t xml:space="preserve"> should be to the CPCS in any event.  The </w:t>
      </w:r>
      <w:r w:rsidR="0097599C">
        <w:rPr>
          <w:szCs w:val="28"/>
        </w:rPr>
        <w:t>D</w:t>
      </w:r>
      <w:r>
        <w:rPr>
          <w:szCs w:val="28"/>
        </w:rPr>
        <w:t>efendant</w:t>
      </w:r>
      <w:r w:rsidRPr="00DE63BA">
        <w:rPr>
          <w:szCs w:val="28"/>
        </w:rPr>
        <w:t xml:space="preserve">, while in a Joint Letter </w:t>
      </w:r>
      <w:r w:rsidRPr="00DE63BA">
        <w:rPr>
          <w:szCs w:val="28"/>
        </w:rPr>
        <w:lastRenderedPageBreak/>
        <w:t xml:space="preserve">of the parties dated 22 August 2022 expressed that they took a neutral stance to the Joinder Summons, an affidavit was filed by the </w:t>
      </w:r>
      <w:r w:rsidR="0097599C">
        <w:rPr>
          <w:szCs w:val="28"/>
        </w:rPr>
        <w:t>D</w:t>
      </w:r>
      <w:r>
        <w:rPr>
          <w:szCs w:val="28"/>
        </w:rPr>
        <w:t>efendant</w:t>
      </w:r>
      <w:r w:rsidRPr="00DE63BA">
        <w:rPr>
          <w:szCs w:val="28"/>
        </w:rPr>
        <w:t xml:space="preserve">’s solicitors expressing that there is no basis upon which the </w:t>
      </w:r>
      <w:r w:rsidR="001A3A25">
        <w:rPr>
          <w:szCs w:val="28"/>
        </w:rPr>
        <w:t>D</w:t>
      </w:r>
      <w:r>
        <w:rPr>
          <w:szCs w:val="28"/>
        </w:rPr>
        <w:t>efendant</w:t>
      </w:r>
      <w:r w:rsidRPr="00DE63BA">
        <w:rPr>
          <w:szCs w:val="28"/>
        </w:rPr>
        <w:t xml:space="preserve"> should file a Third Party Notice against CPCS and/or its driver.  The </w:t>
      </w:r>
      <w:r w:rsidR="0097599C">
        <w:rPr>
          <w:szCs w:val="28"/>
        </w:rPr>
        <w:t>D</w:t>
      </w:r>
      <w:r>
        <w:rPr>
          <w:szCs w:val="28"/>
        </w:rPr>
        <w:t>efendant</w:t>
      </w:r>
      <w:r w:rsidRPr="00DE63BA">
        <w:rPr>
          <w:szCs w:val="28"/>
        </w:rPr>
        <w:t xml:space="preserve"> asked for costs in the cause in the event that the </w:t>
      </w:r>
      <w:r w:rsidR="001A3A25">
        <w:rPr>
          <w:szCs w:val="28"/>
        </w:rPr>
        <w:t xml:space="preserve">Joinder </w:t>
      </w:r>
      <w:r w:rsidRPr="00DE63BA">
        <w:rPr>
          <w:szCs w:val="28"/>
        </w:rPr>
        <w:t>Summons is allowed.</w:t>
      </w:r>
    </w:p>
    <w:p w:rsidR="00183085" w:rsidRDefault="00183085" w:rsidP="00183085">
      <w:pPr>
        <w:pStyle w:val="ListParagraph"/>
        <w:spacing w:line="360" w:lineRule="auto"/>
        <w:ind w:left="0"/>
        <w:jc w:val="both"/>
        <w:rPr>
          <w:szCs w:val="28"/>
        </w:rPr>
      </w:pPr>
    </w:p>
    <w:p w:rsidR="003A5E52" w:rsidRDefault="00DE63BA" w:rsidP="003A5E52">
      <w:pPr>
        <w:pStyle w:val="ListParagraph"/>
        <w:numPr>
          <w:ilvl w:val="0"/>
          <w:numId w:val="15"/>
        </w:numPr>
        <w:spacing w:line="360" w:lineRule="auto"/>
        <w:ind w:left="0" w:firstLine="0"/>
        <w:jc w:val="both"/>
        <w:rPr>
          <w:szCs w:val="28"/>
        </w:rPr>
      </w:pPr>
      <w:r w:rsidRPr="00183085">
        <w:rPr>
          <w:szCs w:val="28"/>
        </w:rPr>
        <w:t xml:space="preserve">Although the </w:t>
      </w:r>
      <w:r w:rsidR="00CA06FB">
        <w:rPr>
          <w:szCs w:val="28"/>
        </w:rPr>
        <w:t>C</w:t>
      </w:r>
      <w:r w:rsidRPr="00183085">
        <w:rPr>
          <w:szCs w:val="28"/>
        </w:rPr>
        <w:t xml:space="preserve">ourt allowed CPCS to join this action, but as explained in paragraphs 41-42, this is a case where I see the </w:t>
      </w:r>
      <w:r w:rsidR="0097599C">
        <w:rPr>
          <w:szCs w:val="28"/>
        </w:rPr>
        <w:t>P</w:t>
      </w:r>
      <w:r w:rsidRPr="00183085">
        <w:rPr>
          <w:szCs w:val="28"/>
        </w:rPr>
        <w:t xml:space="preserve">laintiff’s action was supposedly time barred as no investigation was taken promptly and CPCS has every right to resist the </w:t>
      </w:r>
      <w:r w:rsidR="0097599C">
        <w:rPr>
          <w:szCs w:val="28"/>
        </w:rPr>
        <w:t>P</w:t>
      </w:r>
      <w:r w:rsidRPr="00183085">
        <w:rPr>
          <w:szCs w:val="28"/>
        </w:rPr>
        <w:t xml:space="preserve">laintiff’s application.  I agree reference should be made to </w:t>
      </w:r>
      <w:r w:rsidRPr="0097599C">
        <w:rPr>
          <w:b/>
          <w:i/>
          <w:szCs w:val="28"/>
        </w:rPr>
        <w:t>Li Chi Hun v Secretary for Justice &amp; Anor</w:t>
      </w:r>
      <w:r w:rsidRPr="0097599C">
        <w:rPr>
          <w:b/>
          <w:szCs w:val="28"/>
        </w:rPr>
        <w:t xml:space="preserve"> [2006] </w:t>
      </w:r>
      <w:r w:rsidRPr="00183085">
        <w:rPr>
          <w:szCs w:val="28"/>
        </w:rPr>
        <w:t xml:space="preserve">1 HKLRD 60 where the then Deputy High Court Judge Carlson said that the appropriate rule should be </w:t>
      </w:r>
      <w:r w:rsidRPr="00183085">
        <w:rPr>
          <w:i/>
          <w:szCs w:val="28"/>
        </w:rPr>
        <w:t>“he who is late pays”</w:t>
      </w:r>
      <w:r w:rsidRPr="00183085">
        <w:rPr>
          <w:szCs w:val="28"/>
        </w:rPr>
        <w:t xml:space="preserve"> es</w:t>
      </w:r>
      <w:r w:rsidR="007F4B43">
        <w:rPr>
          <w:szCs w:val="28"/>
        </w:rPr>
        <w:t>pecially CPCS has defended the P</w:t>
      </w:r>
      <w:r w:rsidRPr="00183085">
        <w:rPr>
          <w:szCs w:val="28"/>
        </w:rPr>
        <w:t xml:space="preserve">laintiff’s application on perfectly respectable grounds.  </w:t>
      </w:r>
    </w:p>
    <w:p w:rsidR="003A5E52" w:rsidRPr="003A5E52" w:rsidRDefault="003A5E52" w:rsidP="003A5E52">
      <w:pPr>
        <w:pStyle w:val="ListParagraph"/>
        <w:rPr>
          <w:szCs w:val="28"/>
        </w:rPr>
      </w:pPr>
    </w:p>
    <w:p w:rsidR="00DE63BA" w:rsidRPr="003A5E52" w:rsidRDefault="00DE63BA" w:rsidP="003A5E52">
      <w:pPr>
        <w:pStyle w:val="ListParagraph"/>
        <w:numPr>
          <w:ilvl w:val="0"/>
          <w:numId w:val="15"/>
        </w:numPr>
        <w:spacing w:line="360" w:lineRule="auto"/>
        <w:ind w:left="0" w:firstLine="0"/>
        <w:jc w:val="both"/>
        <w:rPr>
          <w:szCs w:val="28"/>
        </w:rPr>
      </w:pPr>
      <w:r w:rsidRPr="003A5E52">
        <w:rPr>
          <w:szCs w:val="28"/>
        </w:rPr>
        <w:t xml:space="preserve">I therefore grant a costs order </w:t>
      </w:r>
      <w:r w:rsidRPr="003A5E52">
        <w:rPr>
          <w:i/>
          <w:szCs w:val="28"/>
        </w:rPr>
        <w:t>nisi</w:t>
      </w:r>
      <w:r w:rsidRPr="003A5E52">
        <w:rPr>
          <w:szCs w:val="28"/>
        </w:rPr>
        <w:t xml:space="preserve"> that (1) the </w:t>
      </w:r>
      <w:r w:rsidR="0097599C">
        <w:rPr>
          <w:szCs w:val="28"/>
        </w:rPr>
        <w:t>P</w:t>
      </w:r>
      <w:r w:rsidRPr="003A5E52">
        <w:rPr>
          <w:szCs w:val="28"/>
        </w:rPr>
        <w:t>laintiff do pay forthwith CPCS’</w:t>
      </w:r>
      <w:r w:rsidR="00E5535E">
        <w:rPr>
          <w:szCs w:val="28"/>
        </w:rPr>
        <w:t>s</w:t>
      </w:r>
      <w:r w:rsidRPr="003A5E52">
        <w:rPr>
          <w:szCs w:val="28"/>
        </w:rPr>
        <w:t xml:space="preserve"> costs of and incidental to this </w:t>
      </w:r>
      <w:r w:rsidR="00C25B18">
        <w:rPr>
          <w:szCs w:val="28"/>
        </w:rPr>
        <w:t xml:space="preserve">joinder </w:t>
      </w:r>
      <w:r w:rsidRPr="003A5E52">
        <w:rPr>
          <w:szCs w:val="28"/>
        </w:rPr>
        <w:t xml:space="preserve">application, to be summarily assessed; (2)  The </w:t>
      </w:r>
      <w:r w:rsidR="0097599C">
        <w:rPr>
          <w:szCs w:val="28"/>
        </w:rPr>
        <w:t>P</w:t>
      </w:r>
      <w:r w:rsidRPr="003A5E52">
        <w:rPr>
          <w:szCs w:val="28"/>
        </w:rPr>
        <w:t>laintiff do, if so desired, file and serve a succinct summary of objections of not more than 3 pages in respect of the CPCS’</w:t>
      </w:r>
      <w:r w:rsidR="00F73828">
        <w:rPr>
          <w:szCs w:val="28"/>
        </w:rPr>
        <w:t>s</w:t>
      </w:r>
      <w:r w:rsidRPr="003A5E52">
        <w:rPr>
          <w:szCs w:val="28"/>
        </w:rPr>
        <w:t xml:space="preserve"> costs statements within 14 days from the date hereof; and (3) the </w:t>
      </w:r>
      <w:r w:rsidR="0097599C">
        <w:rPr>
          <w:szCs w:val="28"/>
        </w:rPr>
        <w:t>P</w:t>
      </w:r>
      <w:r w:rsidR="00C25B18">
        <w:rPr>
          <w:szCs w:val="28"/>
        </w:rPr>
        <w:t>laintiff do pay</w:t>
      </w:r>
      <w:r w:rsidRPr="003A5E52">
        <w:rPr>
          <w:szCs w:val="28"/>
        </w:rPr>
        <w:t xml:space="preserve"> the </w:t>
      </w:r>
      <w:r w:rsidR="00BB29D3">
        <w:rPr>
          <w:szCs w:val="28"/>
        </w:rPr>
        <w:t>D</w:t>
      </w:r>
      <w:r w:rsidRPr="003A5E52">
        <w:rPr>
          <w:szCs w:val="28"/>
        </w:rPr>
        <w:t xml:space="preserve">efendant’s costs of and occasioned by the amendments of the Writ of Summons and the Statement of Claims and the consequential amendments to the </w:t>
      </w:r>
      <w:r w:rsidR="00E5535E">
        <w:rPr>
          <w:szCs w:val="28"/>
        </w:rPr>
        <w:t>D</w:t>
      </w:r>
      <w:r w:rsidRPr="003A5E52">
        <w:rPr>
          <w:szCs w:val="28"/>
        </w:rPr>
        <w:t xml:space="preserve">efendant’s pleadings in any event, to be taxed if not agreed. </w:t>
      </w:r>
    </w:p>
    <w:p w:rsidR="00D43C7D" w:rsidRDefault="00D43C7D" w:rsidP="00C374EB">
      <w:pPr>
        <w:tabs>
          <w:tab w:val="clear" w:pos="1440"/>
          <w:tab w:val="clear" w:pos="4320"/>
          <w:tab w:val="clear" w:pos="9072"/>
          <w:tab w:val="left" w:pos="1418"/>
        </w:tabs>
        <w:spacing w:line="360" w:lineRule="auto"/>
        <w:jc w:val="both"/>
        <w:rPr>
          <w:bCs/>
          <w:szCs w:val="28"/>
          <w:lang w:val="en-GB"/>
        </w:rPr>
      </w:pPr>
    </w:p>
    <w:p w:rsidR="00046F0C" w:rsidRPr="005D7638" w:rsidRDefault="00046F0C" w:rsidP="00C374EB">
      <w:pPr>
        <w:tabs>
          <w:tab w:val="clear" w:pos="1440"/>
          <w:tab w:val="clear" w:pos="4320"/>
          <w:tab w:val="clear" w:pos="9072"/>
          <w:tab w:val="left" w:pos="1418"/>
        </w:tabs>
        <w:spacing w:line="360" w:lineRule="auto"/>
        <w:jc w:val="both"/>
        <w:rPr>
          <w:bCs/>
          <w:szCs w:val="28"/>
          <w:lang w:val="en-GB"/>
        </w:rPr>
      </w:pPr>
    </w:p>
    <w:p w:rsidR="005D7638" w:rsidRPr="005D7638" w:rsidRDefault="005D7638" w:rsidP="00E5076E">
      <w:pPr>
        <w:tabs>
          <w:tab w:val="clear" w:pos="1440"/>
          <w:tab w:val="clear" w:pos="4320"/>
          <w:tab w:val="clear" w:pos="9072"/>
          <w:tab w:val="center" w:pos="6480"/>
        </w:tabs>
        <w:outlineLvl w:val="0"/>
        <w:rPr>
          <w:bCs/>
          <w:szCs w:val="28"/>
          <w:lang w:val="en-GB"/>
        </w:rPr>
      </w:pPr>
      <w:r w:rsidRPr="005D7638">
        <w:rPr>
          <w:bCs/>
          <w:szCs w:val="28"/>
          <w:lang w:val="en-GB"/>
        </w:rPr>
        <w:tab/>
      </w:r>
      <w:proofErr w:type="gramStart"/>
      <w:r w:rsidRPr="005D7638">
        <w:rPr>
          <w:bCs/>
          <w:szCs w:val="28"/>
          <w:lang w:val="en-GB"/>
        </w:rPr>
        <w:t>(</w:t>
      </w:r>
      <w:r w:rsidR="00C374EB">
        <w:rPr>
          <w:bCs/>
          <w:szCs w:val="28"/>
          <w:lang w:val="en-GB"/>
        </w:rPr>
        <w:t xml:space="preserve"> </w:t>
      </w:r>
      <w:r w:rsidR="00DE63BA">
        <w:rPr>
          <w:bCs/>
          <w:szCs w:val="28"/>
          <w:lang w:val="en-GB"/>
        </w:rPr>
        <w:t>Louise</w:t>
      </w:r>
      <w:proofErr w:type="gramEnd"/>
      <w:r w:rsidR="00DE63BA">
        <w:rPr>
          <w:bCs/>
          <w:szCs w:val="28"/>
          <w:lang w:val="en-GB"/>
        </w:rPr>
        <w:t xml:space="preserve"> Chan </w:t>
      </w:r>
      <w:r w:rsidRPr="005D7638">
        <w:rPr>
          <w:bCs/>
          <w:szCs w:val="28"/>
          <w:lang w:val="en-GB"/>
        </w:rPr>
        <w:t>)</w:t>
      </w:r>
    </w:p>
    <w:p w:rsidR="005D7638" w:rsidRPr="005D7638" w:rsidRDefault="005D7638" w:rsidP="00E5076E">
      <w:pPr>
        <w:tabs>
          <w:tab w:val="clear" w:pos="1440"/>
          <w:tab w:val="clear" w:pos="4320"/>
          <w:tab w:val="clear" w:pos="9072"/>
          <w:tab w:val="center" w:pos="6480"/>
        </w:tabs>
        <w:outlineLvl w:val="0"/>
        <w:rPr>
          <w:bCs/>
          <w:szCs w:val="28"/>
          <w:lang w:val="en-GB"/>
        </w:rPr>
      </w:pPr>
      <w:r w:rsidRPr="005D7638">
        <w:rPr>
          <w:bCs/>
          <w:szCs w:val="28"/>
          <w:lang w:val="en-GB"/>
        </w:rPr>
        <w:tab/>
        <w:t>Master</w:t>
      </w:r>
    </w:p>
    <w:p w:rsidR="005D7638" w:rsidRPr="005D7638" w:rsidRDefault="005D7638" w:rsidP="00E5076E">
      <w:pPr>
        <w:tabs>
          <w:tab w:val="clear" w:pos="1440"/>
          <w:tab w:val="clear" w:pos="4320"/>
          <w:tab w:val="clear" w:pos="9072"/>
        </w:tabs>
        <w:rPr>
          <w:bCs/>
          <w:szCs w:val="28"/>
          <w:lang w:val="en-GB"/>
        </w:rPr>
      </w:pPr>
    </w:p>
    <w:p w:rsidR="005D7638" w:rsidRPr="005D7638" w:rsidRDefault="005D7638" w:rsidP="00E5076E">
      <w:pPr>
        <w:tabs>
          <w:tab w:val="clear" w:pos="1440"/>
          <w:tab w:val="clear" w:pos="4320"/>
          <w:tab w:val="clear" w:pos="9072"/>
          <w:tab w:val="left" w:pos="1418"/>
        </w:tabs>
        <w:jc w:val="both"/>
        <w:rPr>
          <w:bCs/>
          <w:szCs w:val="28"/>
          <w:lang w:val="en-GB"/>
        </w:rPr>
      </w:pPr>
      <w:r w:rsidRPr="005D7638">
        <w:rPr>
          <w:bCs/>
          <w:szCs w:val="28"/>
          <w:lang w:val="en-GB"/>
        </w:rPr>
        <w:t>Mr</w:t>
      </w:r>
      <w:r w:rsidR="00DC5AB0">
        <w:rPr>
          <w:bCs/>
          <w:szCs w:val="28"/>
          <w:lang w:val="en-GB"/>
        </w:rPr>
        <w:t>.</w:t>
      </w:r>
      <w:r w:rsidRPr="005D7638">
        <w:rPr>
          <w:bCs/>
          <w:szCs w:val="28"/>
          <w:lang w:val="en-GB"/>
        </w:rPr>
        <w:t xml:space="preserve"> </w:t>
      </w:r>
      <w:r w:rsidR="00DE63BA">
        <w:rPr>
          <w:bCs/>
          <w:szCs w:val="28"/>
          <w:lang w:val="en-GB"/>
        </w:rPr>
        <w:t>Thomas T</w:t>
      </w:r>
      <w:r w:rsidR="00476D61">
        <w:rPr>
          <w:bCs/>
          <w:szCs w:val="28"/>
          <w:lang w:val="en-GB"/>
        </w:rPr>
        <w:t>.</w:t>
      </w:r>
      <w:r w:rsidR="00DE63BA">
        <w:rPr>
          <w:bCs/>
          <w:szCs w:val="28"/>
          <w:lang w:val="en-GB"/>
        </w:rPr>
        <w:t xml:space="preserve"> L</w:t>
      </w:r>
      <w:r w:rsidR="00476D61">
        <w:rPr>
          <w:bCs/>
          <w:szCs w:val="28"/>
          <w:lang w:val="en-GB"/>
        </w:rPr>
        <w:t>.</w:t>
      </w:r>
      <w:r w:rsidR="00DE63BA">
        <w:rPr>
          <w:bCs/>
          <w:szCs w:val="28"/>
          <w:lang w:val="en-GB"/>
        </w:rPr>
        <w:t xml:space="preserve"> Nip</w:t>
      </w:r>
      <w:r w:rsidRPr="005D7638">
        <w:rPr>
          <w:bCs/>
          <w:szCs w:val="28"/>
          <w:lang w:val="en-GB"/>
        </w:rPr>
        <w:t xml:space="preserve">, </w:t>
      </w:r>
      <w:r w:rsidR="00DE63BA">
        <w:rPr>
          <w:bCs/>
          <w:szCs w:val="28"/>
          <w:lang w:val="en-GB"/>
        </w:rPr>
        <w:t>B</w:t>
      </w:r>
      <w:r w:rsidR="0097599C">
        <w:rPr>
          <w:bCs/>
          <w:szCs w:val="28"/>
          <w:lang w:val="en-GB"/>
        </w:rPr>
        <w:t>.</w:t>
      </w:r>
      <w:r w:rsidR="00DE63BA">
        <w:rPr>
          <w:bCs/>
          <w:szCs w:val="28"/>
          <w:lang w:val="en-GB"/>
        </w:rPr>
        <w:t xml:space="preserve"> </w:t>
      </w:r>
      <w:proofErr w:type="spellStart"/>
      <w:r w:rsidR="00DE63BA">
        <w:rPr>
          <w:bCs/>
          <w:szCs w:val="28"/>
          <w:lang w:val="en-GB"/>
        </w:rPr>
        <w:t>Mak</w:t>
      </w:r>
      <w:proofErr w:type="spellEnd"/>
      <w:r w:rsidR="00DE63BA">
        <w:rPr>
          <w:bCs/>
          <w:szCs w:val="28"/>
          <w:lang w:val="en-GB"/>
        </w:rPr>
        <w:t xml:space="preserve"> &amp; Co</w:t>
      </w:r>
      <w:r w:rsidR="008B225E">
        <w:rPr>
          <w:bCs/>
          <w:szCs w:val="28"/>
          <w:lang w:val="en-GB"/>
        </w:rPr>
        <w:t>.</w:t>
      </w:r>
      <w:bookmarkStart w:id="2" w:name="_GoBack"/>
      <w:bookmarkEnd w:id="2"/>
      <w:r w:rsidR="00C374EB">
        <w:rPr>
          <w:bCs/>
          <w:szCs w:val="28"/>
          <w:lang w:val="en-GB"/>
        </w:rPr>
        <w:t>,</w:t>
      </w:r>
      <w:r w:rsidRPr="005D7638">
        <w:rPr>
          <w:bCs/>
          <w:szCs w:val="28"/>
          <w:lang w:val="en-GB"/>
        </w:rPr>
        <w:t xml:space="preserve"> for the </w:t>
      </w:r>
      <w:r w:rsidR="00DC5AB0">
        <w:rPr>
          <w:bCs/>
          <w:szCs w:val="28"/>
          <w:lang w:val="en-GB"/>
        </w:rPr>
        <w:t>P</w:t>
      </w:r>
      <w:r w:rsidRPr="005D7638">
        <w:rPr>
          <w:bCs/>
          <w:szCs w:val="28"/>
          <w:lang w:val="en-GB"/>
        </w:rPr>
        <w:t>laintiff</w:t>
      </w:r>
    </w:p>
    <w:p w:rsidR="005D7638" w:rsidRPr="005D7638" w:rsidRDefault="005D7638" w:rsidP="00E5076E">
      <w:pPr>
        <w:tabs>
          <w:tab w:val="clear" w:pos="1440"/>
          <w:tab w:val="clear" w:pos="4320"/>
          <w:tab w:val="clear" w:pos="9072"/>
          <w:tab w:val="left" w:pos="1418"/>
        </w:tabs>
        <w:jc w:val="both"/>
        <w:rPr>
          <w:bCs/>
          <w:szCs w:val="28"/>
          <w:lang w:val="en-GB"/>
        </w:rPr>
      </w:pPr>
    </w:p>
    <w:p w:rsidR="00DE63BA" w:rsidRDefault="00DE63BA" w:rsidP="00E5076E">
      <w:pPr>
        <w:tabs>
          <w:tab w:val="clear" w:pos="4320"/>
          <w:tab w:val="clear" w:pos="9072"/>
        </w:tabs>
        <w:jc w:val="both"/>
        <w:rPr>
          <w:bCs/>
          <w:szCs w:val="28"/>
          <w:lang w:val="en-GB"/>
        </w:rPr>
      </w:pPr>
      <w:r>
        <w:rPr>
          <w:bCs/>
          <w:szCs w:val="28"/>
          <w:lang w:val="en-GB"/>
        </w:rPr>
        <w:t xml:space="preserve">Deacons, for the </w:t>
      </w:r>
      <w:r w:rsidR="005D7638" w:rsidRPr="005D7638">
        <w:rPr>
          <w:bCs/>
          <w:szCs w:val="28"/>
          <w:lang w:val="en-GB"/>
        </w:rPr>
        <w:t>1</w:t>
      </w:r>
      <w:r w:rsidR="005D7638" w:rsidRPr="005D7638">
        <w:rPr>
          <w:bCs/>
          <w:szCs w:val="28"/>
          <w:vertAlign w:val="superscript"/>
          <w:lang w:val="en-GB"/>
        </w:rPr>
        <w:t>st</w:t>
      </w:r>
      <w:r w:rsidR="005D7638" w:rsidRPr="005D7638">
        <w:rPr>
          <w:bCs/>
          <w:szCs w:val="28"/>
          <w:lang w:val="en-GB"/>
        </w:rPr>
        <w:t xml:space="preserve"> </w:t>
      </w:r>
      <w:r w:rsidR="00DC5AB0">
        <w:rPr>
          <w:bCs/>
          <w:szCs w:val="28"/>
          <w:lang w:val="en-GB"/>
        </w:rPr>
        <w:t>D</w:t>
      </w:r>
      <w:r w:rsidR="005D7638" w:rsidRPr="005D7638">
        <w:rPr>
          <w:bCs/>
          <w:szCs w:val="28"/>
          <w:lang w:val="en-GB"/>
        </w:rPr>
        <w:t>efendant</w:t>
      </w:r>
    </w:p>
    <w:p w:rsidR="00DE63BA" w:rsidRDefault="00DE63BA" w:rsidP="00E5076E">
      <w:pPr>
        <w:tabs>
          <w:tab w:val="clear" w:pos="4320"/>
          <w:tab w:val="clear" w:pos="9072"/>
        </w:tabs>
        <w:jc w:val="both"/>
        <w:rPr>
          <w:bCs/>
          <w:szCs w:val="28"/>
          <w:lang w:val="en-GB"/>
        </w:rPr>
      </w:pPr>
    </w:p>
    <w:p w:rsidR="00DE63BA" w:rsidRDefault="00DE63BA" w:rsidP="00DE63BA">
      <w:pPr>
        <w:tabs>
          <w:tab w:val="clear" w:pos="4320"/>
          <w:tab w:val="clear" w:pos="9072"/>
        </w:tabs>
        <w:jc w:val="both"/>
        <w:rPr>
          <w:bCs/>
          <w:szCs w:val="28"/>
          <w:lang w:val="en-GB"/>
        </w:rPr>
      </w:pPr>
      <w:r>
        <w:rPr>
          <w:bCs/>
          <w:szCs w:val="28"/>
          <w:lang w:val="en-GB"/>
        </w:rPr>
        <w:t xml:space="preserve">Holman Fenwick </w:t>
      </w:r>
      <w:proofErr w:type="spellStart"/>
      <w:r>
        <w:rPr>
          <w:bCs/>
          <w:szCs w:val="28"/>
          <w:lang w:val="en-GB"/>
        </w:rPr>
        <w:t>Willan</w:t>
      </w:r>
      <w:proofErr w:type="spellEnd"/>
      <w:r>
        <w:rPr>
          <w:bCs/>
          <w:szCs w:val="28"/>
          <w:lang w:val="en-GB"/>
        </w:rPr>
        <w:t>, for the intended 2</w:t>
      </w:r>
      <w:r w:rsidRPr="00DE63BA">
        <w:rPr>
          <w:bCs/>
          <w:szCs w:val="28"/>
          <w:vertAlign w:val="superscript"/>
          <w:lang w:val="en-GB"/>
        </w:rPr>
        <w:t>nd</w:t>
      </w:r>
      <w:r>
        <w:rPr>
          <w:bCs/>
          <w:szCs w:val="28"/>
          <w:lang w:val="en-GB"/>
        </w:rPr>
        <w:t xml:space="preserve"> </w:t>
      </w:r>
      <w:r w:rsidR="00DC5AB0">
        <w:rPr>
          <w:bCs/>
          <w:szCs w:val="28"/>
          <w:lang w:val="en-GB"/>
        </w:rPr>
        <w:t>D</w:t>
      </w:r>
      <w:r w:rsidRPr="005D7638">
        <w:rPr>
          <w:bCs/>
          <w:szCs w:val="28"/>
          <w:lang w:val="en-GB"/>
        </w:rPr>
        <w:t>efendant</w:t>
      </w:r>
    </w:p>
    <w:p w:rsidR="00DE63BA" w:rsidRDefault="00DE63BA" w:rsidP="00E5076E">
      <w:pPr>
        <w:tabs>
          <w:tab w:val="clear" w:pos="4320"/>
          <w:tab w:val="clear" w:pos="9072"/>
        </w:tabs>
        <w:jc w:val="both"/>
        <w:rPr>
          <w:bCs/>
          <w:szCs w:val="28"/>
          <w:lang w:val="en-GB"/>
        </w:rPr>
      </w:pPr>
    </w:p>
    <w:sectPr w:rsidR="00DE63BA" w:rsidSect="00FE6644">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0909" w:rsidRDefault="00480909">
      <w:r>
        <w:separator/>
      </w:r>
    </w:p>
  </w:endnote>
  <w:endnote w:type="continuationSeparator" w:id="0">
    <w:p w:rsidR="00480909" w:rsidRDefault="00480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00000000"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63BA" w:rsidRDefault="00DE63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E63BA" w:rsidRDefault="00DE63BA">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63BA" w:rsidRDefault="00DE63BA">
    <w:pPr>
      <w:pStyle w:val="Footer"/>
      <w:framePr w:wrap="around" w:vAnchor="text" w:hAnchor="margin" w:xAlign="right" w:y="1"/>
      <w:rPr>
        <w:rStyle w:val="PageNumber"/>
      </w:rPr>
    </w:pPr>
  </w:p>
  <w:p w:rsidR="00DE63BA" w:rsidRDefault="00DE63BA">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0909" w:rsidRDefault="00480909">
      <w:r>
        <w:separator/>
      </w:r>
    </w:p>
  </w:footnote>
  <w:footnote w:type="continuationSeparator" w:id="0">
    <w:p w:rsidR="00480909" w:rsidRDefault="0048090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63BA" w:rsidRDefault="00DE63BA">
    <w:pPr>
      <w:pStyle w:val="Header"/>
    </w:pPr>
    <w:r>
      <w:rPr>
        <w:noProof/>
        <w:sz w:val="20"/>
      </w:rPr>
      <mc:AlternateContent>
        <mc:Choice Requires="wps">
          <w:drawing>
            <wp:anchor distT="0" distB="0" distL="114300" distR="114300" simplePos="0" relativeHeight="251656192"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63BA" w:rsidRDefault="00DE63BA">
                          <w:pPr>
                            <w:rPr>
                              <w:b/>
                              <w:sz w:val="20"/>
                            </w:rPr>
                          </w:pPr>
                          <w:r>
                            <w:rPr>
                              <w:rFonts w:hint="eastAsia"/>
                              <w:b/>
                              <w:sz w:val="20"/>
                            </w:rPr>
                            <w:t>A</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20"/>
                            </w:rPr>
                          </w:pPr>
                          <w:r>
                            <w:rPr>
                              <w:rFonts w:hint="eastAsia"/>
                              <w:b/>
                              <w:sz w:val="20"/>
                            </w:rPr>
                            <w:t>B</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C</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pStyle w:val="Heading2"/>
                            <w:rPr>
                              <w:sz w:val="16"/>
                            </w:rPr>
                          </w:pPr>
                          <w:r>
                            <w:rPr>
                              <w:rFonts w:hint="eastAsia"/>
                            </w:rPr>
                            <w:t>D</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E</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20"/>
                            </w:rPr>
                          </w:pPr>
                          <w:r>
                            <w:rPr>
                              <w:rFonts w:hint="eastAsia"/>
                              <w:b/>
                              <w:sz w:val="20"/>
                            </w:rPr>
                            <w:t>F</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G</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H</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I</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J</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K</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L</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M</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N</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O</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P</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Q</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R</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S</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T</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U</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rsidR="00DE63BA" w:rsidRDefault="00DE63BA">
                    <w:pPr>
                      <w:rPr>
                        <w:b/>
                        <w:sz w:val="20"/>
                      </w:rPr>
                    </w:pPr>
                    <w:r>
                      <w:rPr>
                        <w:rFonts w:hint="eastAsia"/>
                        <w:b/>
                        <w:sz w:val="20"/>
                      </w:rPr>
                      <w:t>A</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20"/>
                      </w:rPr>
                    </w:pPr>
                    <w:r>
                      <w:rPr>
                        <w:rFonts w:hint="eastAsia"/>
                        <w:b/>
                        <w:sz w:val="20"/>
                      </w:rPr>
                      <w:t>B</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C</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pStyle w:val="Heading2"/>
                      <w:rPr>
                        <w:sz w:val="16"/>
                      </w:rPr>
                    </w:pPr>
                    <w:r>
                      <w:rPr>
                        <w:rFonts w:hint="eastAsia"/>
                      </w:rPr>
                      <w:t>D</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E</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20"/>
                      </w:rPr>
                    </w:pPr>
                    <w:r>
                      <w:rPr>
                        <w:rFonts w:hint="eastAsia"/>
                        <w:b/>
                        <w:sz w:val="20"/>
                      </w:rPr>
                      <w:t>F</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G</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H</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I</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J</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K</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L</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M</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N</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O</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P</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Q</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R</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S</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T</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U</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63BA" w:rsidRDefault="00DE63BA">
                          <w:pPr>
                            <w:rPr>
                              <w:b/>
                              <w:sz w:val="20"/>
                            </w:rPr>
                          </w:pPr>
                          <w:r>
                            <w:rPr>
                              <w:rFonts w:hint="eastAsia"/>
                              <w:b/>
                              <w:sz w:val="20"/>
                            </w:rPr>
                            <w:t>A</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20"/>
                            </w:rPr>
                          </w:pPr>
                          <w:r>
                            <w:rPr>
                              <w:rFonts w:hint="eastAsia"/>
                              <w:b/>
                              <w:sz w:val="20"/>
                            </w:rPr>
                            <w:t>B</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C</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pStyle w:val="Heading2"/>
                            <w:rPr>
                              <w:sz w:val="16"/>
                            </w:rPr>
                          </w:pPr>
                          <w:r>
                            <w:rPr>
                              <w:rFonts w:hint="eastAsia"/>
                            </w:rPr>
                            <w:t>D</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E</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20"/>
                            </w:rPr>
                          </w:pPr>
                          <w:r>
                            <w:rPr>
                              <w:rFonts w:hint="eastAsia"/>
                              <w:b/>
                              <w:sz w:val="20"/>
                            </w:rPr>
                            <w:t>F</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G</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H</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I</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J</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K</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L</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M</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N</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O</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P</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Q</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R</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S</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T</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U</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DE63BA" w:rsidRDefault="00DE63BA">
                    <w:pPr>
                      <w:rPr>
                        <w:b/>
                        <w:sz w:val="20"/>
                      </w:rPr>
                    </w:pPr>
                    <w:r>
                      <w:rPr>
                        <w:rFonts w:hint="eastAsia"/>
                        <w:b/>
                        <w:sz w:val="20"/>
                      </w:rPr>
                      <w:t>A</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20"/>
                      </w:rPr>
                    </w:pPr>
                    <w:r>
                      <w:rPr>
                        <w:rFonts w:hint="eastAsia"/>
                        <w:b/>
                        <w:sz w:val="20"/>
                      </w:rPr>
                      <w:t>B</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C</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pStyle w:val="Heading2"/>
                      <w:rPr>
                        <w:sz w:val="16"/>
                      </w:rPr>
                    </w:pPr>
                    <w:r>
                      <w:rPr>
                        <w:rFonts w:hint="eastAsia"/>
                      </w:rPr>
                      <w:t>D</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E</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20"/>
                      </w:rPr>
                    </w:pPr>
                    <w:r>
                      <w:rPr>
                        <w:rFonts w:hint="eastAsia"/>
                        <w:b/>
                        <w:sz w:val="20"/>
                      </w:rPr>
                      <w:t>F</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G</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H</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I</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J</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K</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L</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M</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N</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O</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P</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Q</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R</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S</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T</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U</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63BA" w:rsidRPr="00782869" w:rsidRDefault="00DE63BA" w:rsidP="007828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rsidR="00DE63BA" w:rsidRPr="00782869" w:rsidRDefault="00DE63BA" w:rsidP="00782869"/>
                </w:txbxContent>
              </v:textbox>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63BA" w:rsidRDefault="00DE63BA">
    <w:pPr>
      <w:pStyle w:val="Header"/>
      <w:rPr>
        <w:sz w:val="28"/>
      </w:rPr>
    </w:pPr>
    <w:r>
      <w:rPr>
        <w:noProof/>
        <w:sz w:val="28"/>
      </w:rPr>
      <mc:AlternateContent>
        <mc:Choice Requires="wps">
          <w:drawing>
            <wp:anchor distT="0" distB="0" distL="114300" distR="114300" simplePos="0" relativeHeight="251659264"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63BA" w:rsidRDefault="00DE63BA">
                          <w:pPr>
                            <w:rPr>
                              <w:b/>
                              <w:sz w:val="20"/>
                            </w:rPr>
                          </w:pPr>
                          <w:r>
                            <w:rPr>
                              <w:rFonts w:hint="eastAsia"/>
                              <w:b/>
                              <w:sz w:val="20"/>
                            </w:rPr>
                            <w:t>A</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20"/>
                            </w:rPr>
                          </w:pPr>
                          <w:r>
                            <w:rPr>
                              <w:rFonts w:hint="eastAsia"/>
                              <w:b/>
                              <w:sz w:val="20"/>
                            </w:rPr>
                            <w:t>B</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C</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pStyle w:val="Heading2"/>
                            <w:rPr>
                              <w:sz w:val="16"/>
                            </w:rPr>
                          </w:pPr>
                          <w:r>
                            <w:rPr>
                              <w:rFonts w:hint="eastAsia"/>
                            </w:rPr>
                            <w:t>D</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E</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20"/>
                            </w:rPr>
                          </w:pPr>
                          <w:r>
                            <w:rPr>
                              <w:rFonts w:hint="eastAsia"/>
                              <w:b/>
                              <w:sz w:val="20"/>
                            </w:rPr>
                            <w:t>F</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G</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H</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I</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J</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K</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L</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M</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N</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O</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P</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Q</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R</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S</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T</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U</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5" o:spid="_x0000_s1029" type="#_x0000_t202" style="position:absolute;left:0;text-align:left;margin-left:460.1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" o:allowincell="f" stroked="f">
              <v:textbox>
                <w:txbxContent>
                  <w:p w:rsidR="00DE63BA" w:rsidRDefault="00DE63BA">
                    <w:pPr>
                      <w:rPr>
                        <w:b/>
                        <w:sz w:val="20"/>
                      </w:rPr>
                    </w:pPr>
                    <w:r>
                      <w:rPr>
                        <w:rFonts w:hint="eastAsia"/>
                        <w:b/>
                        <w:sz w:val="20"/>
                      </w:rPr>
                      <w:t>A</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20"/>
                      </w:rPr>
                    </w:pPr>
                    <w:r>
                      <w:rPr>
                        <w:rFonts w:hint="eastAsia"/>
                        <w:b/>
                        <w:sz w:val="20"/>
                      </w:rPr>
                      <w:t>B</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C</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pStyle w:val="Heading2"/>
                      <w:rPr>
                        <w:sz w:val="16"/>
                      </w:rPr>
                    </w:pPr>
                    <w:r>
                      <w:rPr>
                        <w:rFonts w:hint="eastAsia"/>
                      </w:rPr>
                      <w:t>D</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E</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20"/>
                      </w:rPr>
                    </w:pPr>
                    <w:r>
                      <w:rPr>
                        <w:rFonts w:hint="eastAsia"/>
                        <w:b/>
                        <w:sz w:val="20"/>
                      </w:rPr>
                      <w:t>F</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G</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H</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I</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J</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K</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L</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M</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N</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O</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P</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Q</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R</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S</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T</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U</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8B225E">
      <w:rPr>
        <w:rStyle w:val="PageNumber"/>
        <w:noProof/>
        <w:sz w:val="28"/>
      </w:rPr>
      <w:t>23</w:t>
    </w:r>
    <w:r>
      <w:rPr>
        <w:rStyle w:val="PageNumber"/>
        <w:sz w:val="28"/>
      </w:rPr>
      <w:fldChar w:fldCharType="end"/>
    </w:r>
    <w:r>
      <w:rPr>
        <w:rStyle w:val="PageNumber"/>
        <w:rFonts w:hint="eastAsia"/>
        <w:sz w:val="28"/>
      </w:rPr>
      <w:t xml:space="preserve"> -</w:t>
    </w:r>
    <w:r>
      <w:rPr>
        <w:noProof/>
        <w:sz w:val="28"/>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63BA" w:rsidRDefault="00DE63BA">
                          <w:pPr>
                            <w:rPr>
                              <w:b/>
                              <w:sz w:val="20"/>
                            </w:rPr>
                          </w:pPr>
                          <w:r>
                            <w:rPr>
                              <w:rFonts w:hint="eastAsia"/>
                              <w:b/>
                              <w:sz w:val="20"/>
                            </w:rPr>
                            <w:t>A</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20"/>
                            </w:rPr>
                          </w:pPr>
                          <w:r>
                            <w:rPr>
                              <w:rFonts w:hint="eastAsia"/>
                              <w:b/>
                              <w:sz w:val="20"/>
                            </w:rPr>
                            <w:t>B</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C</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pStyle w:val="Heading2"/>
                            <w:rPr>
                              <w:sz w:val="16"/>
                            </w:rPr>
                          </w:pPr>
                          <w:r>
                            <w:rPr>
                              <w:rFonts w:hint="eastAsia"/>
                            </w:rPr>
                            <w:t>D</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E</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20"/>
                            </w:rPr>
                          </w:pPr>
                          <w:r>
                            <w:rPr>
                              <w:rFonts w:hint="eastAsia"/>
                              <w:b/>
                              <w:sz w:val="20"/>
                            </w:rPr>
                            <w:t>F</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G</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H</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I</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J</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K</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L</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M</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N</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O</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P</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Q</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R</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S</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T</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U</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DE63BA" w:rsidRDefault="00DE63BA">
                    <w:pPr>
                      <w:rPr>
                        <w:b/>
                        <w:sz w:val="20"/>
                      </w:rPr>
                    </w:pPr>
                    <w:r>
                      <w:rPr>
                        <w:rFonts w:hint="eastAsia"/>
                        <w:b/>
                        <w:sz w:val="20"/>
                      </w:rPr>
                      <w:t>A</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20"/>
                      </w:rPr>
                    </w:pPr>
                    <w:r>
                      <w:rPr>
                        <w:rFonts w:hint="eastAsia"/>
                        <w:b/>
                        <w:sz w:val="20"/>
                      </w:rPr>
                      <w:t>B</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C</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pStyle w:val="Heading2"/>
                      <w:rPr>
                        <w:sz w:val="16"/>
                      </w:rPr>
                    </w:pPr>
                    <w:r>
                      <w:rPr>
                        <w:rFonts w:hint="eastAsia"/>
                      </w:rPr>
                      <w:t>D</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E</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20"/>
                      </w:rPr>
                    </w:pPr>
                    <w:r>
                      <w:rPr>
                        <w:rFonts w:hint="eastAsia"/>
                        <w:b/>
                        <w:sz w:val="20"/>
                      </w:rPr>
                      <w:t>F</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G</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H</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I</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J</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K</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L</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M</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N</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O</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P</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Q</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R</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S</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T</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U</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63BA" w:rsidRDefault="00DE63BA">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" o:allowincell="f" stroked="f">
              <v:textbox>
                <w:txbxContent>
                  <w:p w:rsidR="00DE63BA" w:rsidRDefault="00DE63BA">
                    <w:pPr>
                      <w:rPr>
                        <w:rFonts w:eastAsia="黑体"/>
                        <w:b/>
                        <w:sz w:val="18"/>
                      </w:rPr>
                    </w:pPr>
                  </w:p>
                </w:txbxContent>
              </v:textbox>
            </v:shape>
          </w:pict>
        </mc:Fallback>
      </mc:AlternateContent>
    </w:r>
  </w:p>
  <w:p w:rsidR="00DE63BA" w:rsidRDefault="00DE63BA"/>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008D5"/>
    <w:multiLevelType w:val="multilevel"/>
    <w:tmpl w:val="E79855EC"/>
    <w:lvl w:ilvl="0">
      <w:start w:val="1"/>
      <w:numFmt w:val="decimal"/>
      <w:lvlText w:val="%1."/>
      <w:lvlJc w:val="left"/>
      <w:pPr>
        <w:tabs>
          <w:tab w:val="num" w:pos="360"/>
        </w:tabs>
        <w:ind w:left="0" w:firstLine="0"/>
      </w:pPr>
      <w:rPr>
        <w:i w:val="0"/>
      </w:rPr>
    </w:lvl>
    <w:lvl w:ilvl="1">
      <w:start w:val="1"/>
      <w:numFmt w:val="lowerLetter"/>
      <w:lvlText w:val="%2."/>
      <w:lvlJc w:val="left"/>
      <w:pPr>
        <w:ind w:left="1140" w:hanging="360"/>
      </w:pPr>
      <w:rPr>
        <w:rFonts w:hint="default"/>
      </w:rPr>
    </w:lvl>
    <w:lvl w:ilvl="2">
      <w:start w:val="1"/>
      <w:numFmt w:val="lowerLetter"/>
      <w:lvlText w:val="(%3)"/>
      <w:lvlJc w:val="left"/>
      <w:pPr>
        <w:ind w:left="2040" w:hanging="360"/>
      </w:pPr>
      <w:rPr>
        <w:rFonts w:hint="default"/>
        <w:i w:val="0"/>
      </w:rPr>
    </w:lvl>
    <w:lvl w:ilvl="3" w:tentative="1">
      <w:start w:val="1"/>
      <w:numFmt w:val="decimal"/>
      <w:lvlText w:val="%4."/>
      <w:lvlJc w:val="left"/>
      <w:pPr>
        <w:ind w:left="2580" w:hanging="360"/>
      </w:pPr>
    </w:lvl>
    <w:lvl w:ilvl="4">
      <w:start w:val="1"/>
      <w:numFmt w:val="lowerLetter"/>
      <w:lvlText w:val="(%5)"/>
      <w:lvlJc w:val="left"/>
      <w:pPr>
        <w:ind w:left="3300" w:hanging="360"/>
      </w:pPr>
      <w:rPr>
        <w:rFonts w:hint="default"/>
        <w:b w:val="0"/>
        <w:i w:val="0"/>
        <w:sz w:val="28"/>
      </w:r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1" w15:restartNumberingAfterBreak="0">
    <w:nsid w:val="15AD42E6"/>
    <w:multiLevelType w:val="multilevel"/>
    <w:tmpl w:val="8C9A892E"/>
    <w:lvl w:ilvl="0">
      <w:start w:val="1"/>
      <w:numFmt w:val="decimal"/>
      <w:lvlText w:val="%1."/>
      <w:lvlJc w:val="left"/>
      <w:pPr>
        <w:tabs>
          <w:tab w:val="num" w:pos="360"/>
        </w:tabs>
        <w:ind w:left="0" w:firstLine="0"/>
      </w:pPr>
      <w:rPr>
        <w:i w:val="0"/>
      </w:rPr>
    </w:lvl>
    <w:lvl w:ilvl="1">
      <w:start w:val="1"/>
      <w:numFmt w:val="lowerLetter"/>
      <w:lvlText w:val="(%2)"/>
      <w:lvlJc w:val="left"/>
      <w:pPr>
        <w:ind w:left="1140" w:hanging="360"/>
      </w:pPr>
      <w:rPr>
        <w:rFonts w:hint="default"/>
        <w:b w:val="0"/>
        <w:i w:val="0"/>
        <w:sz w:val="28"/>
      </w:rPr>
    </w:lvl>
    <w:lvl w:ilvl="2">
      <w:start w:val="1"/>
      <w:numFmt w:val="lowerLetter"/>
      <w:lvlText w:val="(%3)"/>
      <w:lvlJc w:val="left"/>
      <w:pPr>
        <w:ind w:left="2040" w:hanging="360"/>
      </w:pPr>
      <w:rPr>
        <w:rFonts w:hint="default"/>
        <w:i w:val="0"/>
      </w:rPr>
    </w:lvl>
    <w:lvl w:ilvl="3" w:tentative="1">
      <w:start w:val="1"/>
      <w:numFmt w:val="decimal"/>
      <w:lvlText w:val="%4."/>
      <w:lvlJc w:val="left"/>
      <w:pPr>
        <w:ind w:left="2580" w:hanging="360"/>
      </w:pPr>
    </w:lvl>
    <w:lvl w:ilvl="4">
      <w:start w:val="1"/>
      <w:numFmt w:val="lowerLetter"/>
      <w:lvlText w:val="%5."/>
      <w:lvlJc w:val="left"/>
      <w:pPr>
        <w:ind w:left="3300" w:hanging="360"/>
      </w:p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2" w15:restartNumberingAfterBreak="0">
    <w:nsid w:val="179D1EDD"/>
    <w:multiLevelType w:val="hybridMultilevel"/>
    <w:tmpl w:val="534AC7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1C602A"/>
    <w:multiLevelType w:val="hybridMultilevel"/>
    <w:tmpl w:val="00BC663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C3C4414"/>
    <w:multiLevelType w:val="hybridMultilevel"/>
    <w:tmpl w:val="E17E55B6"/>
    <w:lvl w:ilvl="0" w:tplc="7A44FC38">
      <w:start w:val="1"/>
      <w:numFmt w:val="lowerLetter"/>
      <w:lvlText w:val="(%1)"/>
      <w:lvlJc w:val="left"/>
      <w:pPr>
        <w:ind w:left="720" w:hanging="360"/>
      </w:pPr>
      <w:rPr>
        <w:rFonts w:hint="default"/>
      </w:rPr>
    </w:lvl>
    <w:lvl w:ilvl="1" w:tplc="BA6C7422">
      <w:start w:val="1"/>
      <w:numFmt w:val="lowerLetter"/>
      <w:lvlText w:val="(%2)"/>
      <w:lvlJc w:val="left"/>
      <w:pPr>
        <w:ind w:left="2520" w:hanging="144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5F4CBC"/>
    <w:multiLevelType w:val="hybridMultilevel"/>
    <w:tmpl w:val="34C6E56A"/>
    <w:lvl w:ilvl="0" w:tplc="0409000F">
      <w:start w:val="1"/>
      <w:numFmt w:val="decimal"/>
      <w:lvlText w:val="%1."/>
      <w:lvlJc w:val="left"/>
      <w:pPr>
        <w:ind w:left="720" w:hanging="360"/>
      </w:pPr>
    </w:lvl>
    <w:lvl w:ilvl="1" w:tplc="BA6C7422">
      <w:start w:val="1"/>
      <w:numFmt w:val="lowerLetter"/>
      <w:lvlText w:val="(%2)"/>
      <w:lvlJc w:val="left"/>
      <w:pPr>
        <w:ind w:left="2520" w:hanging="144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AB3A7C"/>
    <w:multiLevelType w:val="multilevel"/>
    <w:tmpl w:val="2688B06E"/>
    <w:lvl w:ilvl="0">
      <w:start w:val="1"/>
      <w:numFmt w:val="decimal"/>
      <w:lvlText w:val="%1."/>
      <w:lvlJc w:val="left"/>
      <w:pPr>
        <w:tabs>
          <w:tab w:val="num" w:pos="360"/>
        </w:tabs>
        <w:ind w:left="0" w:firstLine="0"/>
      </w:pPr>
      <w:rPr>
        <w:i w:val="0"/>
      </w:rPr>
    </w:lvl>
    <w:lvl w:ilvl="1">
      <w:start w:val="1"/>
      <w:numFmt w:val="lowerLetter"/>
      <w:lvlText w:val="%2."/>
      <w:lvlJc w:val="left"/>
      <w:pPr>
        <w:ind w:left="1140" w:hanging="360"/>
      </w:pPr>
      <w:rPr>
        <w:rFonts w:hint="default"/>
      </w:rPr>
    </w:lvl>
    <w:lvl w:ilvl="2">
      <w:start w:val="1"/>
      <w:numFmt w:val="lowerLetter"/>
      <w:lvlText w:val="(%3)"/>
      <w:lvlJc w:val="left"/>
      <w:pPr>
        <w:ind w:left="2040" w:hanging="360"/>
      </w:pPr>
      <w:rPr>
        <w:rFonts w:hint="default"/>
        <w:i w:val="0"/>
      </w:rPr>
    </w:lvl>
    <w:lvl w:ilvl="3" w:tentative="1">
      <w:start w:val="1"/>
      <w:numFmt w:val="decimal"/>
      <w:lvlText w:val="%4."/>
      <w:lvlJc w:val="left"/>
      <w:pPr>
        <w:ind w:left="2580" w:hanging="360"/>
      </w:pPr>
    </w:lvl>
    <w:lvl w:ilvl="4">
      <w:start w:val="1"/>
      <w:numFmt w:val="lowerLetter"/>
      <w:lvlText w:val="%5."/>
      <w:lvlJc w:val="left"/>
      <w:pPr>
        <w:ind w:left="3300" w:hanging="360"/>
      </w:p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7" w15:restartNumberingAfterBreak="0">
    <w:nsid w:val="33D358E2"/>
    <w:multiLevelType w:val="hybridMultilevel"/>
    <w:tmpl w:val="2616840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5F81E9F"/>
    <w:multiLevelType w:val="hybridMultilevel"/>
    <w:tmpl w:val="D868CE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1E2330B"/>
    <w:multiLevelType w:val="hybridMultilevel"/>
    <w:tmpl w:val="C512E006"/>
    <w:lvl w:ilvl="0" w:tplc="836650D4">
      <w:start w:val="1"/>
      <w:numFmt w:val="decimal"/>
      <w:lvlText w:val="(%1)"/>
      <w:lvlJc w:val="left"/>
      <w:pPr>
        <w:ind w:left="720" w:hanging="360"/>
      </w:pPr>
      <w:rPr>
        <w:rFonts w:hint="eastAsia"/>
      </w:rPr>
    </w:lvl>
    <w:lvl w:ilvl="1" w:tplc="BA6C7422">
      <w:start w:val="1"/>
      <w:numFmt w:val="lowerLetter"/>
      <w:lvlText w:val="(%2)"/>
      <w:lvlJc w:val="left"/>
      <w:pPr>
        <w:ind w:left="2520" w:hanging="144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7322E6"/>
    <w:multiLevelType w:val="hybridMultilevel"/>
    <w:tmpl w:val="09347BB2"/>
    <w:lvl w:ilvl="0" w:tplc="05166A5A">
      <w:start w:val="1"/>
      <w:numFmt w:val="lowerLetter"/>
      <w:lvlText w:val="(%1)"/>
      <w:lvlJc w:val="left"/>
      <w:pPr>
        <w:ind w:left="720" w:hanging="360"/>
      </w:pPr>
      <w:rPr>
        <w:rFonts w:hint="eastAsia"/>
      </w:rPr>
    </w:lvl>
    <w:lvl w:ilvl="1" w:tplc="BA6C7422">
      <w:start w:val="1"/>
      <w:numFmt w:val="lowerLetter"/>
      <w:lvlText w:val="(%2)"/>
      <w:lvlJc w:val="left"/>
      <w:pPr>
        <w:ind w:left="2520" w:hanging="144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026955"/>
    <w:multiLevelType w:val="hybridMultilevel"/>
    <w:tmpl w:val="64C0AC7E"/>
    <w:lvl w:ilvl="0" w:tplc="7A44FC38">
      <w:start w:val="1"/>
      <w:numFmt w:val="lowerLetter"/>
      <w:lvlText w:val="(%1)"/>
      <w:lvlJc w:val="left"/>
      <w:pPr>
        <w:ind w:left="720" w:hanging="360"/>
      </w:pPr>
      <w:rPr>
        <w:rFonts w:hint="default"/>
      </w:rPr>
    </w:lvl>
    <w:lvl w:ilvl="1" w:tplc="BA6C7422">
      <w:start w:val="1"/>
      <w:numFmt w:val="lowerLetter"/>
      <w:lvlText w:val="(%2)"/>
      <w:lvlJc w:val="left"/>
      <w:pPr>
        <w:ind w:left="2520" w:hanging="144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03539D"/>
    <w:multiLevelType w:val="multilevel"/>
    <w:tmpl w:val="EA9277A6"/>
    <w:lvl w:ilvl="0">
      <w:start w:val="1"/>
      <w:numFmt w:val="decimal"/>
      <w:lvlText w:val="%1."/>
      <w:lvlJc w:val="left"/>
      <w:pPr>
        <w:tabs>
          <w:tab w:val="num" w:pos="360"/>
        </w:tabs>
        <w:ind w:left="0" w:firstLine="0"/>
      </w:pPr>
      <w:rPr>
        <w:i w:val="0"/>
      </w:rPr>
    </w:lvl>
    <w:lvl w:ilvl="1">
      <w:start w:val="1"/>
      <w:numFmt w:val="lowerLetter"/>
      <w:lvlText w:val="(%2)"/>
      <w:lvlJc w:val="left"/>
      <w:pPr>
        <w:ind w:left="1140" w:hanging="360"/>
      </w:pPr>
      <w:rPr>
        <w:rFonts w:hint="default"/>
        <w:b w:val="0"/>
        <w:i w:val="0"/>
        <w:sz w:val="28"/>
      </w:rPr>
    </w:lvl>
    <w:lvl w:ilvl="2">
      <w:start w:val="1"/>
      <w:numFmt w:val="lowerLetter"/>
      <w:lvlText w:val="(%3)"/>
      <w:lvlJc w:val="left"/>
      <w:pPr>
        <w:ind w:left="2040" w:hanging="360"/>
      </w:pPr>
      <w:rPr>
        <w:rFonts w:hint="default"/>
        <w:i w:val="0"/>
      </w:rPr>
    </w:lvl>
    <w:lvl w:ilvl="3" w:tentative="1">
      <w:start w:val="1"/>
      <w:numFmt w:val="decimal"/>
      <w:lvlText w:val="%4."/>
      <w:lvlJc w:val="left"/>
      <w:pPr>
        <w:ind w:left="2580" w:hanging="360"/>
      </w:pPr>
    </w:lvl>
    <w:lvl w:ilvl="4">
      <w:start w:val="1"/>
      <w:numFmt w:val="lowerLetter"/>
      <w:lvlText w:val="%5."/>
      <w:lvlJc w:val="left"/>
      <w:pPr>
        <w:ind w:left="3300" w:hanging="360"/>
      </w:p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13" w15:restartNumberingAfterBreak="0">
    <w:nsid w:val="4F3738D6"/>
    <w:multiLevelType w:val="hybridMultilevel"/>
    <w:tmpl w:val="3AD200C2"/>
    <w:lvl w:ilvl="0" w:tplc="61162036">
      <w:start w:val="1"/>
      <w:numFmt w:val="decimal"/>
      <w:lvlText w:val="(%1)"/>
      <w:lvlJc w:val="left"/>
      <w:pPr>
        <w:ind w:left="720" w:hanging="360"/>
      </w:pPr>
      <w:rPr>
        <w:rFonts w:hint="eastAsia"/>
        <w:b w:val="0"/>
        <w:i w:val="0"/>
        <w:color w:val="auto"/>
        <w:sz w:val="28"/>
        <w:szCs w:val="24"/>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A360EA"/>
    <w:multiLevelType w:val="hybridMultilevel"/>
    <w:tmpl w:val="051EC4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DD0EE4"/>
    <w:multiLevelType w:val="hybridMultilevel"/>
    <w:tmpl w:val="FEC2EE5C"/>
    <w:lvl w:ilvl="0" w:tplc="749CF4A4">
      <w:start w:val="40"/>
      <w:numFmt w:val="decimal"/>
      <w:lvlText w:val="%1."/>
      <w:lvlJc w:val="left"/>
      <w:pPr>
        <w:ind w:left="180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163F72"/>
    <w:multiLevelType w:val="hybridMultilevel"/>
    <w:tmpl w:val="97121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1978BE"/>
    <w:multiLevelType w:val="multilevel"/>
    <w:tmpl w:val="AB0C831A"/>
    <w:lvl w:ilvl="0">
      <w:start w:val="1"/>
      <w:numFmt w:val="decimal"/>
      <w:lvlText w:val="%1."/>
      <w:lvlJc w:val="left"/>
      <w:pPr>
        <w:tabs>
          <w:tab w:val="num" w:pos="360"/>
        </w:tabs>
        <w:ind w:left="0" w:firstLine="0"/>
      </w:pPr>
      <w:rPr>
        <w:i w:val="0"/>
      </w:rPr>
    </w:lvl>
    <w:lvl w:ilvl="1">
      <w:start w:val="1"/>
      <w:numFmt w:val="lowerLetter"/>
      <w:lvlText w:val="(%2)"/>
      <w:lvlJc w:val="left"/>
      <w:pPr>
        <w:ind w:left="1140" w:hanging="360"/>
      </w:pPr>
      <w:rPr>
        <w:rFonts w:hint="default"/>
        <w:b w:val="0"/>
        <w:i w:val="0"/>
        <w:sz w:val="28"/>
      </w:rPr>
    </w:lvl>
    <w:lvl w:ilvl="2">
      <w:start w:val="1"/>
      <w:numFmt w:val="lowerLetter"/>
      <w:lvlText w:val="(%3)"/>
      <w:lvlJc w:val="left"/>
      <w:pPr>
        <w:ind w:left="2040" w:hanging="360"/>
      </w:pPr>
      <w:rPr>
        <w:rFonts w:hint="default"/>
        <w:i w:val="0"/>
      </w:rPr>
    </w:lvl>
    <w:lvl w:ilvl="3" w:tentative="1">
      <w:start w:val="1"/>
      <w:numFmt w:val="decimal"/>
      <w:lvlText w:val="%4."/>
      <w:lvlJc w:val="left"/>
      <w:pPr>
        <w:ind w:left="2580" w:hanging="360"/>
      </w:pPr>
    </w:lvl>
    <w:lvl w:ilvl="4">
      <w:start w:val="1"/>
      <w:numFmt w:val="lowerLetter"/>
      <w:lvlText w:val="%5."/>
      <w:lvlJc w:val="left"/>
      <w:pPr>
        <w:ind w:left="3300" w:hanging="360"/>
      </w:p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18" w15:restartNumberingAfterBreak="0">
    <w:nsid w:val="75F86C16"/>
    <w:multiLevelType w:val="hybridMultilevel"/>
    <w:tmpl w:val="118C911E"/>
    <w:lvl w:ilvl="0" w:tplc="ED5ED4C4">
      <w:start w:val="2"/>
      <w:numFmt w:val="decimal"/>
      <w:lvlText w:val="%1."/>
      <w:lvlJc w:val="left"/>
      <w:pPr>
        <w:ind w:left="1800" w:hanging="360"/>
      </w:pPr>
      <w:rPr>
        <w:rFonts w:hint="default"/>
        <w:color w:val="00000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87F6BC2"/>
    <w:multiLevelType w:val="hybridMultilevel"/>
    <w:tmpl w:val="68305A48"/>
    <w:lvl w:ilvl="0" w:tplc="7A44FC38">
      <w:start w:val="1"/>
      <w:numFmt w:val="lowerLetter"/>
      <w:lvlText w:val="(%1)"/>
      <w:lvlJc w:val="left"/>
      <w:pPr>
        <w:ind w:left="720" w:hanging="360"/>
      </w:pPr>
      <w:rPr>
        <w:rFonts w:hint="default"/>
      </w:rPr>
    </w:lvl>
    <w:lvl w:ilvl="1" w:tplc="BA6C7422">
      <w:start w:val="1"/>
      <w:numFmt w:val="lowerLetter"/>
      <w:lvlText w:val="(%2)"/>
      <w:lvlJc w:val="left"/>
      <w:pPr>
        <w:ind w:left="2520" w:hanging="144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2"/>
  </w:num>
  <w:num w:numId="4">
    <w:abstractNumId w:val="17"/>
  </w:num>
  <w:num w:numId="5">
    <w:abstractNumId w:val="1"/>
  </w:num>
  <w:num w:numId="6">
    <w:abstractNumId w:val="13"/>
  </w:num>
  <w:num w:numId="7">
    <w:abstractNumId w:val="16"/>
  </w:num>
  <w:num w:numId="8">
    <w:abstractNumId w:val="8"/>
  </w:num>
  <w:num w:numId="9">
    <w:abstractNumId w:val="2"/>
  </w:num>
  <w:num w:numId="10">
    <w:abstractNumId w:val="18"/>
  </w:num>
  <w:num w:numId="11">
    <w:abstractNumId w:val="7"/>
  </w:num>
  <w:num w:numId="12">
    <w:abstractNumId w:val="3"/>
  </w:num>
  <w:num w:numId="13">
    <w:abstractNumId w:val="15"/>
  </w:num>
  <w:num w:numId="14">
    <w:abstractNumId w:val="14"/>
  </w:num>
  <w:num w:numId="15">
    <w:abstractNumId w:val="5"/>
  </w:num>
  <w:num w:numId="16">
    <w:abstractNumId w:val="10"/>
  </w:num>
  <w:num w:numId="17">
    <w:abstractNumId w:val="4"/>
  </w:num>
  <w:num w:numId="18">
    <w:abstractNumId w:val="19"/>
  </w:num>
  <w:num w:numId="19">
    <w:abstractNumId w:val="11"/>
  </w:num>
  <w:num w:numId="20">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7"/>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6C"/>
    <w:rsid w:val="00002EF7"/>
    <w:rsid w:val="00006BBF"/>
    <w:rsid w:val="000101BC"/>
    <w:rsid w:val="00016AAA"/>
    <w:rsid w:val="00026C99"/>
    <w:rsid w:val="000305E0"/>
    <w:rsid w:val="00034A9B"/>
    <w:rsid w:val="0003519F"/>
    <w:rsid w:val="000375FD"/>
    <w:rsid w:val="00041477"/>
    <w:rsid w:val="000415B9"/>
    <w:rsid w:val="00042582"/>
    <w:rsid w:val="0004298B"/>
    <w:rsid w:val="00042E4A"/>
    <w:rsid w:val="00046B0C"/>
    <w:rsid w:val="00046F0C"/>
    <w:rsid w:val="00056F63"/>
    <w:rsid w:val="0006211F"/>
    <w:rsid w:val="00076217"/>
    <w:rsid w:val="00076C1B"/>
    <w:rsid w:val="000941F8"/>
    <w:rsid w:val="00096AFC"/>
    <w:rsid w:val="000B2297"/>
    <w:rsid w:val="000D11B0"/>
    <w:rsid w:val="000D7535"/>
    <w:rsid w:val="000E5161"/>
    <w:rsid w:val="0011138D"/>
    <w:rsid w:val="00117723"/>
    <w:rsid w:val="00136E6B"/>
    <w:rsid w:val="00145B6A"/>
    <w:rsid w:val="00166FC5"/>
    <w:rsid w:val="00172037"/>
    <w:rsid w:val="001763C1"/>
    <w:rsid w:val="0017795E"/>
    <w:rsid w:val="00183085"/>
    <w:rsid w:val="00183AAF"/>
    <w:rsid w:val="0018729A"/>
    <w:rsid w:val="00193D13"/>
    <w:rsid w:val="00194689"/>
    <w:rsid w:val="00196A91"/>
    <w:rsid w:val="001A0A4F"/>
    <w:rsid w:val="001A3A25"/>
    <w:rsid w:val="001A3CE1"/>
    <w:rsid w:val="001A58BE"/>
    <w:rsid w:val="001B2FBD"/>
    <w:rsid w:val="001B54BD"/>
    <w:rsid w:val="001C0AA8"/>
    <w:rsid w:val="001D3239"/>
    <w:rsid w:val="001D455F"/>
    <w:rsid w:val="001D7B95"/>
    <w:rsid w:val="001E07A2"/>
    <w:rsid w:val="001E5E7C"/>
    <w:rsid w:val="001F5516"/>
    <w:rsid w:val="0020117E"/>
    <w:rsid w:val="002142E7"/>
    <w:rsid w:val="002225E2"/>
    <w:rsid w:val="00223BB1"/>
    <w:rsid w:val="00226A53"/>
    <w:rsid w:val="002272C4"/>
    <w:rsid w:val="00227A49"/>
    <w:rsid w:val="0023569D"/>
    <w:rsid w:val="00245D70"/>
    <w:rsid w:val="002519DA"/>
    <w:rsid w:val="0025689F"/>
    <w:rsid w:val="00264B28"/>
    <w:rsid w:val="00264B63"/>
    <w:rsid w:val="002662B8"/>
    <w:rsid w:val="00266A94"/>
    <w:rsid w:val="0027494E"/>
    <w:rsid w:val="00276737"/>
    <w:rsid w:val="00290836"/>
    <w:rsid w:val="00295D2D"/>
    <w:rsid w:val="002A6023"/>
    <w:rsid w:val="002B0D71"/>
    <w:rsid w:val="002B2679"/>
    <w:rsid w:val="002B4359"/>
    <w:rsid w:val="002B4BEC"/>
    <w:rsid w:val="002B5195"/>
    <w:rsid w:val="002B54AB"/>
    <w:rsid w:val="002C2C86"/>
    <w:rsid w:val="002D6F2F"/>
    <w:rsid w:val="002E44A3"/>
    <w:rsid w:val="002E44FF"/>
    <w:rsid w:val="002E4875"/>
    <w:rsid w:val="002E4E8C"/>
    <w:rsid w:val="002F03F8"/>
    <w:rsid w:val="00301AB1"/>
    <w:rsid w:val="0030210D"/>
    <w:rsid w:val="00302E1E"/>
    <w:rsid w:val="0030302E"/>
    <w:rsid w:val="00305B26"/>
    <w:rsid w:val="00306388"/>
    <w:rsid w:val="00306D24"/>
    <w:rsid w:val="00311FBF"/>
    <w:rsid w:val="00314529"/>
    <w:rsid w:val="00320D36"/>
    <w:rsid w:val="00334AD4"/>
    <w:rsid w:val="00336372"/>
    <w:rsid w:val="00342BFE"/>
    <w:rsid w:val="00343054"/>
    <w:rsid w:val="003557EC"/>
    <w:rsid w:val="00363F56"/>
    <w:rsid w:val="00367485"/>
    <w:rsid w:val="00372AF5"/>
    <w:rsid w:val="00381F96"/>
    <w:rsid w:val="00382EDF"/>
    <w:rsid w:val="0038458C"/>
    <w:rsid w:val="0038513F"/>
    <w:rsid w:val="00386187"/>
    <w:rsid w:val="0038665C"/>
    <w:rsid w:val="00393063"/>
    <w:rsid w:val="003A1178"/>
    <w:rsid w:val="003A2D3E"/>
    <w:rsid w:val="003A5E52"/>
    <w:rsid w:val="003B1033"/>
    <w:rsid w:val="003B159B"/>
    <w:rsid w:val="003B44D8"/>
    <w:rsid w:val="003C03C9"/>
    <w:rsid w:val="003D08E7"/>
    <w:rsid w:val="003D3FA5"/>
    <w:rsid w:val="003D4343"/>
    <w:rsid w:val="003D46D5"/>
    <w:rsid w:val="003E1AB7"/>
    <w:rsid w:val="003E266C"/>
    <w:rsid w:val="003E46D3"/>
    <w:rsid w:val="003E7AF4"/>
    <w:rsid w:val="003F2412"/>
    <w:rsid w:val="00412AE2"/>
    <w:rsid w:val="004162F1"/>
    <w:rsid w:val="0042260D"/>
    <w:rsid w:val="00427824"/>
    <w:rsid w:val="00430695"/>
    <w:rsid w:val="00430CF6"/>
    <w:rsid w:val="00437467"/>
    <w:rsid w:val="004534E7"/>
    <w:rsid w:val="00476D61"/>
    <w:rsid w:val="00477AF3"/>
    <w:rsid w:val="00480909"/>
    <w:rsid w:val="004845FA"/>
    <w:rsid w:val="00484629"/>
    <w:rsid w:val="004945FD"/>
    <w:rsid w:val="0049505E"/>
    <w:rsid w:val="004A454E"/>
    <w:rsid w:val="004A4C89"/>
    <w:rsid w:val="004A7F0A"/>
    <w:rsid w:val="004B5413"/>
    <w:rsid w:val="004B555C"/>
    <w:rsid w:val="004D0B36"/>
    <w:rsid w:val="004D3A0D"/>
    <w:rsid w:val="004D4916"/>
    <w:rsid w:val="004F0B70"/>
    <w:rsid w:val="004F3E9C"/>
    <w:rsid w:val="004F7853"/>
    <w:rsid w:val="004F7AC7"/>
    <w:rsid w:val="005039B9"/>
    <w:rsid w:val="00507B60"/>
    <w:rsid w:val="0051788F"/>
    <w:rsid w:val="00517EF7"/>
    <w:rsid w:val="005222CE"/>
    <w:rsid w:val="005254AF"/>
    <w:rsid w:val="00526268"/>
    <w:rsid w:val="00533EE7"/>
    <w:rsid w:val="00534706"/>
    <w:rsid w:val="005348D6"/>
    <w:rsid w:val="0053500D"/>
    <w:rsid w:val="005359F2"/>
    <w:rsid w:val="00540731"/>
    <w:rsid w:val="00546EE9"/>
    <w:rsid w:val="005470A4"/>
    <w:rsid w:val="00547D24"/>
    <w:rsid w:val="0055213F"/>
    <w:rsid w:val="0055707D"/>
    <w:rsid w:val="00560DB1"/>
    <w:rsid w:val="005671C3"/>
    <w:rsid w:val="0057082E"/>
    <w:rsid w:val="0057119B"/>
    <w:rsid w:val="005759BE"/>
    <w:rsid w:val="00576AFC"/>
    <w:rsid w:val="005806AC"/>
    <w:rsid w:val="00581703"/>
    <w:rsid w:val="0059343B"/>
    <w:rsid w:val="005951C6"/>
    <w:rsid w:val="005959A5"/>
    <w:rsid w:val="005A1700"/>
    <w:rsid w:val="005A3B2C"/>
    <w:rsid w:val="005B0253"/>
    <w:rsid w:val="005B1222"/>
    <w:rsid w:val="005B4BCB"/>
    <w:rsid w:val="005C0035"/>
    <w:rsid w:val="005C4424"/>
    <w:rsid w:val="005D3B85"/>
    <w:rsid w:val="005D6090"/>
    <w:rsid w:val="005D7638"/>
    <w:rsid w:val="005E2916"/>
    <w:rsid w:val="005E7AB0"/>
    <w:rsid w:val="00603A55"/>
    <w:rsid w:val="006044EC"/>
    <w:rsid w:val="0061346F"/>
    <w:rsid w:val="0061369C"/>
    <w:rsid w:val="00614433"/>
    <w:rsid w:val="00620CF1"/>
    <w:rsid w:val="00622F0C"/>
    <w:rsid w:val="006238E8"/>
    <w:rsid w:val="00623A7B"/>
    <w:rsid w:val="00626118"/>
    <w:rsid w:val="006318B6"/>
    <w:rsid w:val="006467E8"/>
    <w:rsid w:val="00647B3F"/>
    <w:rsid w:val="006513AC"/>
    <w:rsid w:val="00656233"/>
    <w:rsid w:val="00657246"/>
    <w:rsid w:val="006620E2"/>
    <w:rsid w:val="006631AB"/>
    <w:rsid w:val="00670923"/>
    <w:rsid w:val="006709A1"/>
    <w:rsid w:val="006719A3"/>
    <w:rsid w:val="006748A8"/>
    <w:rsid w:val="006813EB"/>
    <w:rsid w:val="00681755"/>
    <w:rsid w:val="006917AD"/>
    <w:rsid w:val="0069190C"/>
    <w:rsid w:val="00692EA1"/>
    <w:rsid w:val="00694A05"/>
    <w:rsid w:val="006A5E30"/>
    <w:rsid w:val="006A73A6"/>
    <w:rsid w:val="006B139E"/>
    <w:rsid w:val="006B1CD3"/>
    <w:rsid w:val="006B4C51"/>
    <w:rsid w:val="006B635B"/>
    <w:rsid w:val="006B65E1"/>
    <w:rsid w:val="006D2487"/>
    <w:rsid w:val="006D5231"/>
    <w:rsid w:val="006D5EED"/>
    <w:rsid w:val="006D6BE0"/>
    <w:rsid w:val="006E39C1"/>
    <w:rsid w:val="006E3AF5"/>
    <w:rsid w:val="00705942"/>
    <w:rsid w:val="0071154D"/>
    <w:rsid w:val="007121AE"/>
    <w:rsid w:val="00722A44"/>
    <w:rsid w:val="00751CC6"/>
    <w:rsid w:val="00753815"/>
    <w:rsid w:val="0075530A"/>
    <w:rsid w:val="00760732"/>
    <w:rsid w:val="00763B70"/>
    <w:rsid w:val="007659EE"/>
    <w:rsid w:val="00766A6B"/>
    <w:rsid w:val="00770802"/>
    <w:rsid w:val="00774E81"/>
    <w:rsid w:val="007813BB"/>
    <w:rsid w:val="00782869"/>
    <w:rsid w:val="00785AAB"/>
    <w:rsid w:val="0078739A"/>
    <w:rsid w:val="0078792B"/>
    <w:rsid w:val="00790B13"/>
    <w:rsid w:val="007914C8"/>
    <w:rsid w:val="00794575"/>
    <w:rsid w:val="007A03B2"/>
    <w:rsid w:val="007A2E8D"/>
    <w:rsid w:val="007A3B6B"/>
    <w:rsid w:val="007B4362"/>
    <w:rsid w:val="007C3D9E"/>
    <w:rsid w:val="007C4DBE"/>
    <w:rsid w:val="007D5378"/>
    <w:rsid w:val="007D5BC0"/>
    <w:rsid w:val="007E64DF"/>
    <w:rsid w:val="007F0FBF"/>
    <w:rsid w:val="007F4B43"/>
    <w:rsid w:val="007F76C7"/>
    <w:rsid w:val="008048B1"/>
    <w:rsid w:val="00806EB0"/>
    <w:rsid w:val="0080725D"/>
    <w:rsid w:val="00824994"/>
    <w:rsid w:val="00833088"/>
    <w:rsid w:val="008336A9"/>
    <w:rsid w:val="00834F78"/>
    <w:rsid w:val="008358B9"/>
    <w:rsid w:val="0083760E"/>
    <w:rsid w:val="008426C3"/>
    <w:rsid w:val="00844DC1"/>
    <w:rsid w:val="00854FE0"/>
    <w:rsid w:val="0085661A"/>
    <w:rsid w:val="008753AA"/>
    <w:rsid w:val="00876103"/>
    <w:rsid w:val="00880A98"/>
    <w:rsid w:val="00881196"/>
    <w:rsid w:val="00884539"/>
    <w:rsid w:val="008922A2"/>
    <w:rsid w:val="00892FBE"/>
    <w:rsid w:val="008A3C2E"/>
    <w:rsid w:val="008B225E"/>
    <w:rsid w:val="008D0535"/>
    <w:rsid w:val="008E0FB9"/>
    <w:rsid w:val="008F04E0"/>
    <w:rsid w:val="008F0934"/>
    <w:rsid w:val="00905A64"/>
    <w:rsid w:val="00916BFA"/>
    <w:rsid w:val="009221AC"/>
    <w:rsid w:val="00925725"/>
    <w:rsid w:val="00926EEE"/>
    <w:rsid w:val="00927CF8"/>
    <w:rsid w:val="00935FCD"/>
    <w:rsid w:val="00940E12"/>
    <w:rsid w:val="00952F6C"/>
    <w:rsid w:val="00954B22"/>
    <w:rsid w:val="00956A55"/>
    <w:rsid w:val="009579DE"/>
    <w:rsid w:val="00960A76"/>
    <w:rsid w:val="00964366"/>
    <w:rsid w:val="00973192"/>
    <w:rsid w:val="0097599C"/>
    <w:rsid w:val="00987F37"/>
    <w:rsid w:val="0099248E"/>
    <w:rsid w:val="009A5B36"/>
    <w:rsid w:val="009A7C72"/>
    <w:rsid w:val="009B1A59"/>
    <w:rsid w:val="009B2C6C"/>
    <w:rsid w:val="009B5048"/>
    <w:rsid w:val="009C1D79"/>
    <w:rsid w:val="009C7627"/>
    <w:rsid w:val="009D7804"/>
    <w:rsid w:val="009E0CE5"/>
    <w:rsid w:val="009F272F"/>
    <w:rsid w:val="009F3158"/>
    <w:rsid w:val="009F520F"/>
    <w:rsid w:val="00A078FD"/>
    <w:rsid w:val="00A12715"/>
    <w:rsid w:val="00A17077"/>
    <w:rsid w:val="00A244EC"/>
    <w:rsid w:val="00A2565D"/>
    <w:rsid w:val="00A31429"/>
    <w:rsid w:val="00A3387E"/>
    <w:rsid w:val="00A35EE0"/>
    <w:rsid w:val="00A370F8"/>
    <w:rsid w:val="00A4148A"/>
    <w:rsid w:val="00A46AE4"/>
    <w:rsid w:val="00A51629"/>
    <w:rsid w:val="00A64F2D"/>
    <w:rsid w:val="00A65CD7"/>
    <w:rsid w:val="00A75C31"/>
    <w:rsid w:val="00A83BD4"/>
    <w:rsid w:val="00A86AA5"/>
    <w:rsid w:val="00A876FC"/>
    <w:rsid w:val="00A91142"/>
    <w:rsid w:val="00A96576"/>
    <w:rsid w:val="00AA4C95"/>
    <w:rsid w:val="00AB1D02"/>
    <w:rsid w:val="00AB2250"/>
    <w:rsid w:val="00AB5D5F"/>
    <w:rsid w:val="00AC3289"/>
    <w:rsid w:val="00AC7F5E"/>
    <w:rsid w:val="00AE5169"/>
    <w:rsid w:val="00AF3114"/>
    <w:rsid w:val="00AF78C5"/>
    <w:rsid w:val="00B050A7"/>
    <w:rsid w:val="00B0779D"/>
    <w:rsid w:val="00B07DCF"/>
    <w:rsid w:val="00B24B7A"/>
    <w:rsid w:val="00B261C4"/>
    <w:rsid w:val="00B2689B"/>
    <w:rsid w:val="00B31E8D"/>
    <w:rsid w:val="00B37BBD"/>
    <w:rsid w:val="00B42681"/>
    <w:rsid w:val="00B52925"/>
    <w:rsid w:val="00B52BF7"/>
    <w:rsid w:val="00B62226"/>
    <w:rsid w:val="00B63226"/>
    <w:rsid w:val="00B66220"/>
    <w:rsid w:val="00B72E14"/>
    <w:rsid w:val="00B7766E"/>
    <w:rsid w:val="00B82A72"/>
    <w:rsid w:val="00B92CE8"/>
    <w:rsid w:val="00BA1F51"/>
    <w:rsid w:val="00BA2AB4"/>
    <w:rsid w:val="00BA7EEA"/>
    <w:rsid w:val="00BB29D3"/>
    <w:rsid w:val="00BB3622"/>
    <w:rsid w:val="00BD30A9"/>
    <w:rsid w:val="00BD3365"/>
    <w:rsid w:val="00BD4545"/>
    <w:rsid w:val="00BD6DD8"/>
    <w:rsid w:val="00BE61A8"/>
    <w:rsid w:val="00BE6C7A"/>
    <w:rsid w:val="00BF278B"/>
    <w:rsid w:val="00C01FA4"/>
    <w:rsid w:val="00C100F7"/>
    <w:rsid w:val="00C117B2"/>
    <w:rsid w:val="00C12491"/>
    <w:rsid w:val="00C158E7"/>
    <w:rsid w:val="00C17E0C"/>
    <w:rsid w:val="00C25B18"/>
    <w:rsid w:val="00C31690"/>
    <w:rsid w:val="00C374EB"/>
    <w:rsid w:val="00C42263"/>
    <w:rsid w:val="00C465F1"/>
    <w:rsid w:val="00C52CC0"/>
    <w:rsid w:val="00C56A77"/>
    <w:rsid w:val="00C67F37"/>
    <w:rsid w:val="00C70512"/>
    <w:rsid w:val="00C829CD"/>
    <w:rsid w:val="00C915A6"/>
    <w:rsid w:val="00CA06FB"/>
    <w:rsid w:val="00CB022D"/>
    <w:rsid w:val="00CB142A"/>
    <w:rsid w:val="00CC56BB"/>
    <w:rsid w:val="00CD0622"/>
    <w:rsid w:val="00CE4388"/>
    <w:rsid w:val="00CE6639"/>
    <w:rsid w:val="00CF440B"/>
    <w:rsid w:val="00D023E9"/>
    <w:rsid w:val="00D03280"/>
    <w:rsid w:val="00D068FC"/>
    <w:rsid w:val="00D10578"/>
    <w:rsid w:val="00D14F95"/>
    <w:rsid w:val="00D15715"/>
    <w:rsid w:val="00D1675D"/>
    <w:rsid w:val="00D22F03"/>
    <w:rsid w:val="00D25B40"/>
    <w:rsid w:val="00D267C0"/>
    <w:rsid w:val="00D35EB2"/>
    <w:rsid w:val="00D36B37"/>
    <w:rsid w:val="00D43C4B"/>
    <w:rsid w:val="00D43C7D"/>
    <w:rsid w:val="00D51181"/>
    <w:rsid w:val="00D66434"/>
    <w:rsid w:val="00D71B8F"/>
    <w:rsid w:val="00D71C74"/>
    <w:rsid w:val="00D75250"/>
    <w:rsid w:val="00D80E34"/>
    <w:rsid w:val="00D8130E"/>
    <w:rsid w:val="00D819A1"/>
    <w:rsid w:val="00D85D93"/>
    <w:rsid w:val="00D86678"/>
    <w:rsid w:val="00D92887"/>
    <w:rsid w:val="00D934A6"/>
    <w:rsid w:val="00D94B1D"/>
    <w:rsid w:val="00DA3A3E"/>
    <w:rsid w:val="00DB7C70"/>
    <w:rsid w:val="00DC5AB0"/>
    <w:rsid w:val="00DE21A0"/>
    <w:rsid w:val="00DE4A53"/>
    <w:rsid w:val="00DE63BA"/>
    <w:rsid w:val="00DE6ABA"/>
    <w:rsid w:val="00DF169B"/>
    <w:rsid w:val="00DF2E6D"/>
    <w:rsid w:val="00DF58D8"/>
    <w:rsid w:val="00E009DB"/>
    <w:rsid w:val="00E03289"/>
    <w:rsid w:val="00E0514F"/>
    <w:rsid w:val="00E12A46"/>
    <w:rsid w:val="00E13A7C"/>
    <w:rsid w:val="00E153D3"/>
    <w:rsid w:val="00E202F4"/>
    <w:rsid w:val="00E2544B"/>
    <w:rsid w:val="00E2679A"/>
    <w:rsid w:val="00E34B91"/>
    <w:rsid w:val="00E3672C"/>
    <w:rsid w:val="00E45362"/>
    <w:rsid w:val="00E4647D"/>
    <w:rsid w:val="00E5076E"/>
    <w:rsid w:val="00E5535E"/>
    <w:rsid w:val="00E57644"/>
    <w:rsid w:val="00E750F6"/>
    <w:rsid w:val="00E769C8"/>
    <w:rsid w:val="00E77B6B"/>
    <w:rsid w:val="00E80BF5"/>
    <w:rsid w:val="00E90FE6"/>
    <w:rsid w:val="00E919F4"/>
    <w:rsid w:val="00E971D6"/>
    <w:rsid w:val="00EA0999"/>
    <w:rsid w:val="00EA26CF"/>
    <w:rsid w:val="00EA6709"/>
    <w:rsid w:val="00EC4454"/>
    <w:rsid w:val="00ED691D"/>
    <w:rsid w:val="00ED7B3C"/>
    <w:rsid w:val="00EE0047"/>
    <w:rsid w:val="00EE245B"/>
    <w:rsid w:val="00EE5ECB"/>
    <w:rsid w:val="00EF0CD0"/>
    <w:rsid w:val="00EF528F"/>
    <w:rsid w:val="00F00060"/>
    <w:rsid w:val="00F0240A"/>
    <w:rsid w:val="00F15B19"/>
    <w:rsid w:val="00F169F0"/>
    <w:rsid w:val="00F21B5D"/>
    <w:rsid w:val="00F277D5"/>
    <w:rsid w:val="00F40028"/>
    <w:rsid w:val="00F465C5"/>
    <w:rsid w:val="00F51099"/>
    <w:rsid w:val="00F5366D"/>
    <w:rsid w:val="00F55C71"/>
    <w:rsid w:val="00F603A0"/>
    <w:rsid w:val="00F608D3"/>
    <w:rsid w:val="00F667E5"/>
    <w:rsid w:val="00F73828"/>
    <w:rsid w:val="00F772AF"/>
    <w:rsid w:val="00F77743"/>
    <w:rsid w:val="00F9066C"/>
    <w:rsid w:val="00F936EB"/>
    <w:rsid w:val="00F946C4"/>
    <w:rsid w:val="00F960CB"/>
    <w:rsid w:val="00FA7069"/>
    <w:rsid w:val="00FB15D0"/>
    <w:rsid w:val="00FB587D"/>
    <w:rsid w:val="00FB72FF"/>
    <w:rsid w:val="00FD08F1"/>
    <w:rsid w:val="00FD5E00"/>
    <w:rsid w:val="00FD6A68"/>
    <w:rsid w:val="00FE056B"/>
    <w:rsid w:val="00FE3890"/>
    <w:rsid w:val="00FE4640"/>
    <w:rsid w:val="00FE6644"/>
    <w:rsid w:val="00FF1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49B90B"/>
  <w15:chartTrackingRefBased/>
  <w15:docId w15:val="{A76E0DC1-A717-48DE-BF9F-C71DC2B0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440"/>
        <w:tab w:val="center" w:pos="4320"/>
        <w:tab w:val="right" w:pos="9072"/>
      </w:tabs>
      <w:snapToGrid w:val="0"/>
    </w:pPr>
    <w:rPr>
      <w:sz w:val="28"/>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s>
      <w:spacing w:line="360" w:lineRule="auto"/>
      <w:jc w:val="both"/>
    </w:pPr>
    <w:rPr>
      <w:color w:val="000000"/>
    </w:rPr>
  </w:style>
  <w:style w:type="paragraph" w:styleId="FootnoteText">
    <w:name w:val="footnote text"/>
    <w:basedOn w:val="Normal"/>
    <w:link w:val="FootnoteTextChar"/>
    <w:uiPriority w:val="99"/>
    <w:semiHidden/>
    <w:rPr>
      <w:sz w:val="20"/>
    </w:rPr>
  </w:style>
  <w:style w:type="character" w:styleId="FootnoteReference">
    <w:name w:val="footnote reference"/>
    <w:basedOn w:val="DefaultParagraphFont"/>
    <w:uiPriority w:val="94"/>
    <w:rPr>
      <w:vertAlign w:val="superscript"/>
    </w:rPr>
  </w:style>
  <w:style w:type="table" w:styleId="TableGrid">
    <w:name w:val="Table Grid"/>
    <w:basedOn w:val="TableNormal"/>
    <w:uiPriority w:val="59"/>
    <w:rsid w:val="00E03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67E8"/>
    <w:rPr>
      <w:rFonts w:ascii="Tahoma" w:hAnsi="Tahoma" w:cs="Tahoma"/>
      <w:sz w:val="16"/>
      <w:szCs w:val="16"/>
    </w:rPr>
  </w:style>
  <w:style w:type="character" w:customStyle="1" w:styleId="BalloonTextChar">
    <w:name w:val="Balloon Text Char"/>
    <w:basedOn w:val="DefaultParagraphFont"/>
    <w:link w:val="BalloonText"/>
    <w:uiPriority w:val="99"/>
    <w:semiHidden/>
    <w:rsid w:val="006467E8"/>
    <w:rPr>
      <w:rFonts w:ascii="Tahoma" w:hAnsi="Tahoma" w:cs="Tahoma"/>
      <w:sz w:val="16"/>
      <w:szCs w:val="16"/>
    </w:rPr>
  </w:style>
  <w:style w:type="paragraph" w:styleId="NormalWeb">
    <w:name w:val="Normal (Web)"/>
    <w:basedOn w:val="Normal"/>
    <w:uiPriority w:val="99"/>
    <w:rsid w:val="00026C99"/>
    <w:pPr>
      <w:tabs>
        <w:tab w:val="clear" w:pos="1440"/>
        <w:tab w:val="clear" w:pos="4320"/>
        <w:tab w:val="clear" w:pos="9072"/>
      </w:tabs>
      <w:snapToGrid/>
      <w:spacing w:before="100" w:beforeAutospacing="1" w:after="100" w:afterAutospacing="1"/>
    </w:pPr>
    <w:rPr>
      <w:rFonts w:ascii="宋体,新宋体,Times New Roman" w:eastAsia="宋体,新宋体,Times New Roman" w:hAnsi="Arial Unicode MS" w:cs="Arial Unicode MS" w:hint="eastAsia"/>
      <w:szCs w:val="28"/>
      <w:lang w:eastAsia="en-US"/>
    </w:rPr>
  </w:style>
  <w:style w:type="paragraph" w:styleId="ListParagraph">
    <w:name w:val="List Paragraph"/>
    <w:basedOn w:val="Normal"/>
    <w:uiPriority w:val="34"/>
    <w:qFormat/>
    <w:rsid w:val="00926EEE"/>
    <w:pPr>
      <w:ind w:left="720"/>
    </w:pPr>
  </w:style>
  <w:style w:type="paragraph" w:styleId="Date">
    <w:name w:val="Date"/>
    <w:basedOn w:val="Normal"/>
    <w:next w:val="Normal"/>
    <w:link w:val="DateChar"/>
    <w:semiHidden/>
    <w:rsid w:val="00CB142A"/>
    <w:pPr>
      <w:tabs>
        <w:tab w:val="clear" w:pos="1440"/>
        <w:tab w:val="clear" w:pos="4320"/>
        <w:tab w:val="clear" w:pos="9072"/>
      </w:tabs>
      <w:overflowPunct w:val="0"/>
      <w:autoSpaceDE w:val="0"/>
      <w:autoSpaceDN w:val="0"/>
      <w:adjustRightInd w:val="0"/>
      <w:snapToGrid/>
      <w:jc w:val="both"/>
      <w:textAlignment w:val="baseline"/>
    </w:pPr>
    <w:rPr>
      <w:rFonts w:ascii="宋体"/>
      <w:spacing w:val="100"/>
      <w:lang w:val="en-GB"/>
    </w:rPr>
  </w:style>
  <w:style w:type="character" w:customStyle="1" w:styleId="DateChar">
    <w:name w:val="Date Char"/>
    <w:basedOn w:val="DefaultParagraphFont"/>
    <w:link w:val="Date"/>
    <w:semiHidden/>
    <w:rsid w:val="00CB142A"/>
    <w:rPr>
      <w:rFonts w:ascii="宋体"/>
      <w:spacing w:val="100"/>
      <w:sz w:val="28"/>
      <w:lang w:val="en-GB"/>
    </w:rPr>
  </w:style>
  <w:style w:type="paragraph" w:customStyle="1" w:styleId="Quote1">
    <w:name w:val="Quote1"/>
    <w:basedOn w:val="Normal"/>
    <w:rsid w:val="00E90FE6"/>
    <w:pPr>
      <w:tabs>
        <w:tab w:val="clear" w:pos="1440"/>
        <w:tab w:val="clear" w:pos="4320"/>
        <w:tab w:val="clear" w:pos="9072"/>
      </w:tabs>
      <w:snapToGrid/>
      <w:spacing w:before="100" w:beforeAutospacing="1" w:after="100" w:afterAutospacing="1"/>
    </w:pPr>
    <w:rPr>
      <w:rFonts w:eastAsia="PMingLiU"/>
      <w:sz w:val="24"/>
      <w:szCs w:val="24"/>
    </w:rPr>
  </w:style>
  <w:style w:type="paragraph" w:customStyle="1" w:styleId="Quote2">
    <w:name w:val="Quote2"/>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character" w:styleId="PlaceholderText">
    <w:name w:val="Placeholder Text"/>
    <w:uiPriority w:val="99"/>
    <w:semiHidden/>
    <w:rsid w:val="0038513F"/>
    <w:rPr>
      <w:color w:val="808080"/>
    </w:rPr>
  </w:style>
  <w:style w:type="character" w:customStyle="1" w:styleId="FootnoteTextChar">
    <w:name w:val="Footnote Text Char"/>
    <w:link w:val="FootnoteText"/>
    <w:uiPriority w:val="99"/>
    <w:semiHidden/>
    <w:rsid w:val="005D7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98809">
      <w:bodyDiv w:val="1"/>
      <w:marLeft w:val="0"/>
      <w:marRight w:val="0"/>
      <w:marTop w:val="0"/>
      <w:marBottom w:val="0"/>
      <w:divBdr>
        <w:top w:val="none" w:sz="0" w:space="0" w:color="auto"/>
        <w:left w:val="none" w:sz="0" w:space="0" w:color="auto"/>
        <w:bottom w:val="none" w:sz="0" w:space="0" w:color="auto"/>
        <w:right w:val="none" w:sz="0" w:space="0" w:color="auto"/>
      </w:divBdr>
      <w:divsChild>
        <w:div w:id="454299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352353">
          <w:blockQuote w:val="1"/>
          <w:marLeft w:val="720"/>
          <w:marRight w:val="720"/>
          <w:marTop w:val="100"/>
          <w:marBottom w:val="100"/>
          <w:divBdr>
            <w:top w:val="none" w:sz="0" w:space="0" w:color="auto"/>
            <w:left w:val="none" w:sz="0" w:space="0" w:color="auto"/>
            <w:bottom w:val="none" w:sz="0" w:space="0" w:color="auto"/>
            <w:right w:val="none" w:sz="0" w:space="0" w:color="auto"/>
          </w:divBdr>
        </w:div>
        <w:div w:id="619072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134">
          <w:blockQuote w:val="1"/>
          <w:marLeft w:val="720"/>
          <w:marRight w:val="720"/>
          <w:marTop w:val="100"/>
          <w:marBottom w:val="100"/>
          <w:divBdr>
            <w:top w:val="none" w:sz="0" w:space="0" w:color="auto"/>
            <w:left w:val="none" w:sz="0" w:space="0" w:color="auto"/>
            <w:bottom w:val="none" w:sz="0" w:space="0" w:color="auto"/>
            <w:right w:val="none" w:sz="0" w:space="0" w:color="auto"/>
          </w:divBdr>
        </w:div>
        <w:div w:id="604969616">
          <w:blockQuote w:val="1"/>
          <w:marLeft w:val="720"/>
          <w:marRight w:val="720"/>
          <w:marTop w:val="100"/>
          <w:marBottom w:val="100"/>
          <w:divBdr>
            <w:top w:val="none" w:sz="0" w:space="0" w:color="auto"/>
            <w:left w:val="none" w:sz="0" w:space="0" w:color="auto"/>
            <w:bottom w:val="none" w:sz="0" w:space="0" w:color="auto"/>
            <w:right w:val="none" w:sz="0" w:space="0" w:color="auto"/>
          </w:divBdr>
        </w:div>
        <w:div w:id="69306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C74C9B796ED49CB977567D01536FF94"/>
        <w:category>
          <w:name w:val="General"/>
          <w:gallery w:val="placeholder"/>
        </w:category>
        <w:types>
          <w:type w:val="bbPlcHdr"/>
        </w:types>
        <w:behaviors>
          <w:behavior w:val="content"/>
        </w:behaviors>
        <w:guid w:val="{C439AB28-D8C0-45D5-B624-83805E1E6CD0}"/>
      </w:docPartPr>
      <w:docPartBody>
        <w:p w:rsidR="006004E4" w:rsidRDefault="00246455" w:rsidP="00246455">
          <w:pPr>
            <w:pStyle w:val="6C74C9B796ED49CB977567D01536FF94"/>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00000000"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455"/>
    <w:rsid w:val="000D711D"/>
    <w:rsid w:val="000F2CB4"/>
    <w:rsid w:val="00246455"/>
    <w:rsid w:val="00453EE9"/>
    <w:rsid w:val="005E6FF1"/>
    <w:rsid w:val="006004E4"/>
    <w:rsid w:val="00742054"/>
    <w:rsid w:val="00974D86"/>
    <w:rsid w:val="00AB4C00"/>
    <w:rsid w:val="00AF73CC"/>
    <w:rsid w:val="00BD31CD"/>
    <w:rsid w:val="00FA5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246455"/>
    <w:rPr>
      <w:color w:val="808080"/>
    </w:rPr>
  </w:style>
  <w:style w:type="paragraph" w:customStyle="1" w:styleId="6C74C9B796ED49CB977567D01536FF94">
    <w:name w:val="6C74C9B796ED49CB977567D01536FF94"/>
    <w:rsid w:val="00246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8A8C5-E426-4674-82AF-5B26BB3DD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5</TotalTime>
  <Pages>25</Pages>
  <Words>5030</Words>
  <Characters>28671</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33634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4</cp:revision>
  <cp:lastPrinted>2022-11-07T06:37:00Z</cp:lastPrinted>
  <dcterms:created xsi:type="dcterms:W3CDTF">2022-11-07T06:18:00Z</dcterms:created>
  <dcterms:modified xsi:type="dcterms:W3CDTF">2022-11-07T06:40:00Z</dcterms:modified>
</cp:coreProperties>
</file>