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3E9" w:rsidRDefault="00320F5A" w:rsidP="0086012E">
      <w:pPr>
        <w:tabs>
          <w:tab w:val="clear" w:pos="4320"/>
          <w:tab w:val="clear" w:pos="9072"/>
        </w:tabs>
        <w:jc w:val="right"/>
        <w:rPr>
          <w:rFonts w:eastAsia="PMingLiU"/>
          <w:szCs w:val="28"/>
        </w:rPr>
      </w:pPr>
      <w:r>
        <w:rPr>
          <w:rFonts w:eastAsia="PMingLiU"/>
          <w:szCs w:val="28"/>
        </w:rPr>
        <w:t>DCPI 2047/2011</w:t>
      </w:r>
      <w:r w:rsidR="00EB62CE">
        <w:rPr>
          <w:rFonts w:eastAsia="PMingLiU"/>
          <w:szCs w:val="28"/>
        </w:rPr>
        <w:t xml:space="preserve"> &amp; </w:t>
      </w:r>
      <w:r w:rsidR="008643E9" w:rsidRPr="009E0023">
        <w:rPr>
          <w:rFonts w:eastAsia="PMingLiU"/>
          <w:szCs w:val="28"/>
        </w:rPr>
        <w:t xml:space="preserve">DCEC </w:t>
      </w:r>
      <w:r>
        <w:rPr>
          <w:rFonts w:eastAsia="PMingLiU"/>
          <w:szCs w:val="28"/>
        </w:rPr>
        <w:t>1267</w:t>
      </w:r>
      <w:r w:rsidR="008643E9" w:rsidRPr="009E0023">
        <w:rPr>
          <w:rFonts w:eastAsia="PMingLiU"/>
          <w:szCs w:val="28"/>
        </w:rPr>
        <w:t>/20</w:t>
      </w:r>
      <w:r w:rsidR="00572FD9" w:rsidRPr="009E0023">
        <w:rPr>
          <w:rFonts w:eastAsia="PMingLiU"/>
          <w:szCs w:val="28"/>
        </w:rPr>
        <w:t>1</w:t>
      </w:r>
      <w:r>
        <w:rPr>
          <w:rFonts w:eastAsia="PMingLiU"/>
          <w:szCs w:val="28"/>
        </w:rPr>
        <w:t>0</w:t>
      </w:r>
    </w:p>
    <w:p w:rsidR="00320F5A" w:rsidRPr="009E0023" w:rsidRDefault="00320F5A" w:rsidP="0086012E">
      <w:pPr>
        <w:tabs>
          <w:tab w:val="clear" w:pos="4320"/>
          <w:tab w:val="clear" w:pos="9072"/>
        </w:tabs>
        <w:jc w:val="right"/>
        <w:rPr>
          <w:rFonts w:eastAsia="PMingLiU"/>
          <w:szCs w:val="28"/>
        </w:rPr>
      </w:pPr>
      <w:r>
        <w:rPr>
          <w:rFonts w:eastAsia="PMingLiU"/>
          <w:szCs w:val="28"/>
        </w:rPr>
        <w:t>(Heard Together)</w:t>
      </w:r>
    </w:p>
    <w:p w:rsidR="008643E9" w:rsidRPr="009E0023" w:rsidRDefault="008643E9" w:rsidP="0086012E">
      <w:pPr>
        <w:pStyle w:val="normal3"/>
        <w:tabs>
          <w:tab w:val="clear" w:pos="4320"/>
          <w:tab w:val="clear" w:pos="4500"/>
          <w:tab w:val="clear" w:pos="9000"/>
          <w:tab w:val="clear" w:pos="9072"/>
        </w:tabs>
        <w:overflowPunct/>
        <w:autoSpaceDE/>
        <w:autoSpaceDN/>
        <w:spacing w:line="240" w:lineRule="auto"/>
        <w:rPr>
          <w:rFonts w:eastAsia="PMingLiU"/>
          <w:szCs w:val="28"/>
          <w:lang w:val="en-US"/>
        </w:rPr>
      </w:pPr>
    </w:p>
    <w:p w:rsidR="008643E9" w:rsidRPr="009E0023" w:rsidRDefault="008643E9" w:rsidP="00E46C01">
      <w:pPr>
        <w:pStyle w:val="normal3"/>
        <w:tabs>
          <w:tab w:val="clear" w:pos="4320"/>
          <w:tab w:val="clear" w:pos="4500"/>
          <w:tab w:val="clear" w:pos="9000"/>
          <w:tab w:val="clear" w:pos="9072"/>
        </w:tabs>
        <w:overflowPunct/>
        <w:autoSpaceDE/>
        <w:autoSpaceDN/>
        <w:rPr>
          <w:rFonts w:eastAsia="PMingLiU"/>
          <w:szCs w:val="28"/>
          <w:lang w:val="en-US"/>
        </w:rPr>
        <w:sectPr w:rsidR="008643E9" w:rsidRPr="009E0023" w:rsidSect="009E002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320F5A" w:rsidRDefault="00320F5A" w:rsidP="00E46C01">
      <w:pPr>
        <w:tabs>
          <w:tab w:val="clear" w:pos="4320"/>
          <w:tab w:val="clear" w:pos="9072"/>
        </w:tabs>
        <w:spacing w:line="360" w:lineRule="auto"/>
        <w:jc w:val="center"/>
        <w:rPr>
          <w:b/>
          <w:szCs w:val="26"/>
        </w:rPr>
      </w:pPr>
      <w:r>
        <w:rPr>
          <w:b/>
          <w:szCs w:val="26"/>
        </w:rPr>
        <w:lastRenderedPageBreak/>
        <w:t>IN THE DISTRICT COURT OF THE</w:t>
      </w:r>
    </w:p>
    <w:p w:rsidR="00320F5A" w:rsidRDefault="00320F5A" w:rsidP="00E46C01">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320F5A" w:rsidRDefault="00320F5A" w:rsidP="00E46C01">
      <w:pPr>
        <w:tabs>
          <w:tab w:val="clear" w:pos="4320"/>
          <w:tab w:val="clear" w:pos="9072"/>
        </w:tabs>
        <w:spacing w:line="360" w:lineRule="auto"/>
        <w:jc w:val="center"/>
        <w:rPr>
          <w:szCs w:val="26"/>
        </w:rPr>
      </w:pPr>
      <w:r>
        <w:rPr>
          <w:szCs w:val="26"/>
        </w:rPr>
        <w:t xml:space="preserve">PERSONAL INJURIES ACTION NO </w:t>
      </w:r>
      <w:r>
        <w:rPr>
          <w:rFonts w:hint="eastAsia"/>
          <w:szCs w:val="26"/>
        </w:rPr>
        <w:t>2</w:t>
      </w:r>
      <w:r>
        <w:rPr>
          <w:szCs w:val="26"/>
        </w:rPr>
        <w:t>047</w:t>
      </w:r>
      <w:r>
        <w:rPr>
          <w:rFonts w:hint="eastAsia"/>
          <w:szCs w:val="26"/>
        </w:rPr>
        <w:t xml:space="preserve"> OF 20</w:t>
      </w:r>
      <w:r>
        <w:rPr>
          <w:szCs w:val="26"/>
        </w:rPr>
        <w:t>1</w:t>
      </w:r>
      <w:r>
        <w:rPr>
          <w:rFonts w:hint="eastAsia"/>
          <w:szCs w:val="26"/>
        </w:rPr>
        <w:t>1</w:t>
      </w:r>
    </w:p>
    <w:p w:rsidR="00320F5A" w:rsidRDefault="00320F5A" w:rsidP="00E46C01">
      <w:pPr>
        <w:tabs>
          <w:tab w:val="clear" w:pos="4320"/>
          <w:tab w:val="clear" w:pos="9072"/>
        </w:tabs>
        <w:spacing w:line="360" w:lineRule="auto"/>
        <w:jc w:val="center"/>
        <w:rPr>
          <w:szCs w:val="26"/>
        </w:rPr>
      </w:pPr>
    </w:p>
    <w:p w:rsidR="00320F5A" w:rsidRDefault="00320F5A" w:rsidP="00E46C01">
      <w:pPr>
        <w:tabs>
          <w:tab w:val="clear" w:pos="4320"/>
          <w:tab w:val="clear" w:pos="9072"/>
        </w:tabs>
        <w:spacing w:line="360" w:lineRule="auto"/>
        <w:jc w:val="center"/>
        <w:rPr>
          <w:szCs w:val="26"/>
        </w:rPr>
      </w:pPr>
      <w:r>
        <w:rPr>
          <w:szCs w:val="26"/>
        </w:rPr>
        <w:t>-------------------------</w:t>
      </w:r>
    </w:p>
    <w:p w:rsidR="00D545D3" w:rsidRDefault="00D545D3" w:rsidP="00D545D3">
      <w:pPr>
        <w:tabs>
          <w:tab w:val="clear" w:pos="4320"/>
          <w:tab w:val="clear" w:pos="9072"/>
        </w:tabs>
        <w:rPr>
          <w:szCs w:val="26"/>
        </w:rPr>
      </w:pPr>
      <w:r>
        <w:rPr>
          <w:szCs w:val="26"/>
        </w:rPr>
        <w:t>BETWEEN</w:t>
      </w:r>
    </w:p>
    <w:p w:rsidR="00D545D3" w:rsidRDefault="00D545D3" w:rsidP="00D545D3">
      <w:pPr>
        <w:tabs>
          <w:tab w:val="clear" w:pos="1440"/>
          <w:tab w:val="clear" w:pos="4320"/>
          <w:tab w:val="clear" w:pos="9072"/>
          <w:tab w:val="center" w:pos="4140"/>
          <w:tab w:val="left" w:pos="7140"/>
        </w:tabs>
        <w:ind w:right="-36"/>
        <w:rPr>
          <w:szCs w:val="26"/>
        </w:rPr>
      </w:pPr>
      <w:r>
        <w:rPr>
          <w:szCs w:val="26"/>
        </w:rPr>
        <w:tab/>
        <w:t>JIANG ZHONG (</w:t>
      </w:r>
      <w:r>
        <w:rPr>
          <w:rFonts w:eastAsia="PMingLiU" w:hint="eastAsia"/>
          <w:szCs w:val="26"/>
          <w:lang w:eastAsia="zh-TW"/>
        </w:rPr>
        <w:t>姜忠</w:t>
      </w:r>
      <w:r>
        <w:rPr>
          <w:szCs w:val="26"/>
        </w:rPr>
        <w:t>)</w:t>
      </w:r>
      <w:r>
        <w:rPr>
          <w:szCs w:val="26"/>
        </w:rPr>
        <w:tab/>
      </w:r>
      <w:r>
        <w:rPr>
          <w:rFonts w:eastAsia="PMingLiU" w:hint="eastAsia"/>
          <w:szCs w:val="26"/>
          <w:lang w:eastAsia="zh-TW"/>
        </w:rPr>
        <w:t>Pla</w:t>
      </w:r>
      <w:r>
        <w:rPr>
          <w:rFonts w:hint="eastAsia"/>
          <w:szCs w:val="26"/>
        </w:rPr>
        <w:t>intiff</w:t>
      </w:r>
    </w:p>
    <w:p w:rsidR="00D545D3" w:rsidRDefault="00D545D3" w:rsidP="00D545D3">
      <w:pPr>
        <w:tabs>
          <w:tab w:val="clear" w:pos="1440"/>
          <w:tab w:val="clear" w:pos="4320"/>
          <w:tab w:val="clear" w:pos="9072"/>
          <w:tab w:val="center" w:pos="4140"/>
          <w:tab w:val="left" w:pos="7140"/>
        </w:tabs>
        <w:ind w:right="-36"/>
        <w:rPr>
          <w:rFonts w:eastAsia="PMingLiU"/>
          <w:szCs w:val="26"/>
          <w:lang w:eastAsia="zh-TW"/>
        </w:rPr>
      </w:pPr>
    </w:p>
    <w:p w:rsidR="00D545D3" w:rsidRDefault="00D545D3" w:rsidP="00D545D3">
      <w:pPr>
        <w:tabs>
          <w:tab w:val="clear" w:pos="1440"/>
          <w:tab w:val="clear" w:pos="4320"/>
          <w:tab w:val="clear" w:pos="9072"/>
        </w:tabs>
        <w:ind w:right="-29"/>
        <w:jc w:val="center"/>
        <w:rPr>
          <w:szCs w:val="26"/>
        </w:rPr>
      </w:pPr>
      <w:proofErr w:type="gramStart"/>
      <w:r>
        <w:rPr>
          <w:rFonts w:hint="eastAsia"/>
          <w:szCs w:val="26"/>
        </w:rPr>
        <w:t>a</w:t>
      </w:r>
      <w:r>
        <w:rPr>
          <w:szCs w:val="26"/>
        </w:rPr>
        <w:t>nd</w:t>
      </w:r>
      <w:proofErr w:type="gramEnd"/>
    </w:p>
    <w:p w:rsidR="00D545D3" w:rsidRDefault="00D545D3" w:rsidP="00D545D3">
      <w:pPr>
        <w:tabs>
          <w:tab w:val="clear" w:pos="1440"/>
          <w:tab w:val="clear" w:pos="4320"/>
          <w:tab w:val="clear" w:pos="9072"/>
        </w:tabs>
        <w:ind w:right="-29"/>
        <w:jc w:val="center"/>
        <w:rPr>
          <w:szCs w:val="26"/>
        </w:rPr>
      </w:pPr>
    </w:p>
    <w:p w:rsidR="00D545D3" w:rsidRDefault="00D545D3" w:rsidP="00D545D3">
      <w:pPr>
        <w:tabs>
          <w:tab w:val="clear" w:pos="1440"/>
          <w:tab w:val="clear" w:pos="4320"/>
          <w:tab w:val="clear" w:pos="9072"/>
          <w:tab w:val="center" w:pos="4050"/>
          <w:tab w:val="right" w:pos="8280"/>
        </w:tabs>
      </w:pPr>
      <w:r>
        <w:rPr>
          <w:szCs w:val="26"/>
        </w:rPr>
        <w:tab/>
        <w:t>UP CHEER LIMITED</w:t>
      </w:r>
      <w:r>
        <w:rPr>
          <w:rFonts w:hint="eastAsia"/>
        </w:rPr>
        <w:tab/>
      </w:r>
      <w:r>
        <w:t>1</w:t>
      </w:r>
      <w:r w:rsidRPr="00343915">
        <w:rPr>
          <w:vertAlign w:val="superscript"/>
        </w:rPr>
        <w:t>st</w:t>
      </w:r>
      <w:r>
        <w:t xml:space="preserve"> Defendant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pPr>
      <w:r>
        <w:tab/>
        <w:t xml:space="preserve">YEUNG CHUN LEUNG formerly trading as </w:t>
      </w:r>
    </w:p>
    <w:p w:rsidR="00D545D3" w:rsidRDefault="00D545D3" w:rsidP="00D545D3">
      <w:pPr>
        <w:tabs>
          <w:tab w:val="clear" w:pos="1440"/>
          <w:tab w:val="clear" w:pos="4320"/>
          <w:tab w:val="clear" w:pos="9072"/>
          <w:tab w:val="center" w:pos="4050"/>
          <w:tab w:val="right" w:pos="8280"/>
        </w:tabs>
      </w:pPr>
      <w:r>
        <w:tab/>
        <w:t>DREAM HOME WORKSHOP</w:t>
      </w:r>
      <w:r>
        <w:tab/>
        <w:t>2</w:t>
      </w:r>
      <w:r w:rsidRPr="00343915">
        <w:rPr>
          <w:vertAlign w:val="superscript"/>
        </w:rPr>
        <w:t>nd</w:t>
      </w:r>
      <w:r>
        <w:t xml:space="preserve"> Defendant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pPr>
      <w:r>
        <w:tab/>
        <w:t>CHENG KWOK WEI trading as</w:t>
      </w:r>
    </w:p>
    <w:p w:rsidR="00D545D3" w:rsidRDefault="00D545D3" w:rsidP="00D545D3">
      <w:pPr>
        <w:tabs>
          <w:tab w:val="clear" w:pos="1440"/>
          <w:tab w:val="clear" w:pos="4320"/>
          <w:tab w:val="clear" w:pos="9072"/>
          <w:tab w:val="center" w:pos="4050"/>
          <w:tab w:val="right" w:pos="8280"/>
        </w:tabs>
      </w:pPr>
      <w:r>
        <w:tab/>
        <w:t>HON HING ENGINEERING COMPANY</w:t>
      </w:r>
      <w:r>
        <w:tab/>
        <w:t>3</w:t>
      </w:r>
      <w:r w:rsidRPr="00343915">
        <w:rPr>
          <w:vertAlign w:val="superscript"/>
        </w:rPr>
        <w:t>rd</w:t>
      </w:r>
      <w:r>
        <w:t xml:space="preserve"> Defendant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pPr>
      <w:r>
        <w:tab/>
        <w:t>EMPLOYEES COMPENSATION</w:t>
      </w:r>
    </w:p>
    <w:p w:rsidR="00D545D3" w:rsidRDefault="00D545D3" w:rsidP="00D545D3">
      <w:pPr>
        <w:tabs>
          <w:tab w:val="clear" w:pos="1440"/>
          <w:tab w:val="clear" w:pos="4320"/>
          <w:tab w:val="clear" w:pos="9072"/>
          <w:tab w:val="center" w:pos="4050"/>
          <w:tab w:val="right" w:pos="8280"/>
        </w:tabs>
      </w:pPr>
      <w:r>
        <w:tab/>
        <w:t xml:space="preserve">ASSISTANCE FUND BOARD </w:t>
      </w:r>
    </w:p>
    <w:p w:rsidR="00D545D3" w:rsidRDefault="00D545D3" w:rsidP="00D545D3">
      <w:pPr>
        <w:tabs>
          <w:tab w:val="clear" w:pos="1440"/>
          <w:tab w:val="clear" w:pos="4320"/>
          <w:tab w:val="clear" w:pos="9072"/>
          <w:tab w:val="center" w:pos="4050"/>
          <w:tab w:val="right" w:pos="8280"/>
        </w:tabs>
      </w:pPr>
      <w:r>
        <w:tab/>
        <w:t>(</w:t>
      </w:r>
      <w:r>
        <w:rPr>
          <w:rFonts w:ascii="PMingLiU" w:eastAsia="PMingLiU" w:hAnsi="PMingLiU" w:hint="eastAsia"/>
          <w:lang w:eastAsia="zh-TW"/>
        </w:rPr>
        <w:t>僱員補償援助基金管理局</w:t>
      </w:r>
      <w:r>
        <w:t>)</w:t>
      </w:r>
      <w:r>
        <w:tab/>
        <w:t>4</w:t>
      </w:r>
      <w:r w:rsidRPr="00345738">
        <w:rPr>
          <w:vertAlign w:val="superscript"/>
        </w:rPr>
        <w:t>th</w:t>
      </w:r>
      <w:r>
        <w:t xml:space="preserve"> Defendant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4320"/>
          <w:tab w:val="clear" w:pos="9072"/>
        </w:tabs>
        <w:spacing w:line="360" w:lineRule="auto"/>
        <w:jc w:val="center"/>
        <w:rPr>
          <w:szCs w:val="26"/>
        </w:rPr>
      </w:pPr>
      <w:r>
        <w:rPr>
          <w:szCs w:val="26"/>
        </w:rPr>
        <w:t>-------------------------</w:t>
      </w:r>
    </w:p>
    <w:p w:rsidR="00D545D3" w:rsidRDefault="00D545D3" w:rsidP="00D545D3">
      <w:pPr>
        <w:pStyle w:val="normal3"/>
        <w:tabs>
          <w:tab w:val="clear" w:pos="4320"/>
          <w:tab w:val="clear" w:pos="4500"/>
          <w:tab w:val="clear" w:pos="9000"/>
          <w:tab w:val="clear" w:pos="9072"/>
        </w:tabs>
        <w:overflowPunct/>
        <w:autoSpaceDE/>
        <w:autoSpaceDN/>
        <w:snapToGrid/>
        <w:rPr>
          <w:rFonts w:eastAsia="SimSun"/>
          <w:lang w:val="en-US"/>
        </w:rPr>
      </w:pPr>
    </w:p>
    <w:p w:rsidR="00D545D3" w:rsidRDefault="00D545D3" w:rsidP="00D545D3">
      <w:pPr>
        <w:pStyle w:val="normal2"/>
        <w:tabs>
          <w:tab w:val="clear" w:pos="1411"/>
          <w:tab w:val="clear" w:pos="4320"/>
          <w:tab w:val="clear" w:pos="9072"/>
        </w:tabs>
        <w:overflowPunct/>
        <w:autoSpaceDE/>
        <w:autoSpaceDN/>
        <w:adjustRightInd w:val="0"/>
        <w:snapToGrid/>
        <w:rPr>
          <w:rFonts w:eastAsia="SimSun"/>
          <w:b/>
          <w:bCs/>
          <w:caps w:val="0"/>
          <w:lang w:val="en-US"/>
        </w:rPr>
      </w:pPr>
      <w:r>
        <w:rPr>
          <w:rFonts w:eastAsia="SimSun" w:hint="eastAsia"/>
          <w:b/>
          <w:bCs/>
          <w:caps w:val="0"/>
          <w:lang w:val="en-US"/>
        </w:rPr>
        <w:t>IN THE DISTRICT COURT OF THE</w:t>
      </w:r>
    </w:p>
    <w:p w:rsidR="00D545D3" w:rsidRDefault="00D545D3" w:rsidP="00D545D3">
      <w:pPr>
        <w:pStyle w:val="normal1"/>
        <w:tabs>
          <w:tab w:val="clear" w:pos="1411"/>
          <w:tab w:val="clear" w:pos="4320"/>
          <w:tab w:val="clear" w:pos="9072"/>
        </w:tabs>
        <w:overflowPunct/>
        <w:autoSpaceDE/>
        <w:autoSpaceDN/>
        <w:adjustRightInd w:val="0"/>
        <w:snapToGrid/>
        <w:rPr>
          <w:rFonts w:eastAsia="SimSun"/>
          <w:bCs/>
          <w:caps w:val="0"/>
          <w:lang w:val="en-US"/>
        </w:rPr>
      </w:pPr>
      <w:r>
        <w:rPr>
          <w:rFonts w:eastAsia="SimSun" w:hint="eastAsia"/>
          <w:bCs/>
          <w:caps w:val="0"/>
          <w:lang w:val="en-US"/>
        </w:rPr>
        <w:t>HONG KONG SPECIAL ADMINISTRATIVE REGION</w:t>
      </w:r>
    </w:p>
    <w:p w:rsidR="00D545D3" w:rsidRDefault="00D545D3" w:rsidP="00D545D3">
      <w:pPr>
        <w:tabs>
          <w:tab w:val="clear" w:pos="4320"/>
          <w:tab w:val="clear" w:pos="9072"/>
        </w:tabs>
        <w:adjustRightInd w:val="0"/>
        <w:snapToGrid/>
        <w:spacing w:line="360" w:lineRule="auto"/>
        <w:jc w:val="center"/>
      </w:pPr>
      <w:r>
        <w:rPr>
          <w:rFonts w:hint="eastAsia"/>
        </w:rPr>
        <w:t>EMPLOYEES</w:t>
      </w:r>
      <w:r>
        <w:t>’</w:t>
      </w:r>
      <w:r>
        <w:rPr>
          <w:rFonts w:hint="eastAsia"/>
        </w:rPr>
        <w:t xml:space="preserve"> COMPENSATION CASE NO 1</w:t>
      </w:r>
      <w:r>
        <w:t>267</w:t>
      </w:r>
      <w:r>
        <w:rPr>
          <w:rFonts w:hint="eastAsia"/>
        </w:rPr>
        <w:t xml:space="preserve"> OF 2010</w:t>
      </w:r>
    </w:p>
    <w:p w:rsidR="00D545D3" w:rsidRDefault="00D545D3" w:rsidP="00D545D3">
      <w:pPr>
        <w:pStyle w:val="normal2"/>
        <w:tabs>
          <w:tab w:val="clear" w:pos="1411"/>
          <w:tab w:val="clear" w:pos="4320"/>
          <w:tab w:val="clear" w:pos="9072"/>
          <w:tab w:val="left" w:pos="1620"/>
        </w:tabs>
        <w:overflowPunct/>
        <w:autoSpaceDE/>
        <w:autoSpaceDN/>
        <w:adjustRightInd w:val="0"/>
        <w:snapToGrid/>
        <w:spacing w:line="240" w:lineRule="auto"/>
        <w:rPr>
          <w:rFonts w:eastAsia="SimSun"/>
          <w:caps w:val="0"/>
          <w:lang w:val="en-US"/>
        </w:rPr>
      </w:pPr>
    </w:p>
    <w:p w:rsidR="00D545D3" w:rsidRDefault="00D545D3" w:rsidP="00D545D3">
      <w:pPr>
        <w:pStyle w:val="normal2"/>
        <w:tabs>
          <w:tab w:val="clear" w:pos="1411"/>
          <w:tab w:val="clear" w:pos="4320"/>
          <w:tab w:val="clear" w:pos="9072"/>
          <w:tab w:val="left" w:pos="1620"/>
        </w:tabs>
        <w:overflowPunct/>
        <w:autoSpaceDE/>
        <w:autoSpaceDN/>
        <w:adjustRightInd w:val="0"/>
        <w:snapToGrid/>
        <w:spacing w:line="240" w:lineRule="auto"/>
        <w:rPr>
          <w:rFonts w:eastAsia="SimSun"/>
          <w:caps w:val="0"/>
          <w:lang w:val="en-US"/>
        </w:rPr>
      </w:pPr>
      <w:r>
        <w:rPr>
          <w:rFonts w:eastAsia="SimSun" w:hint="eastAsia"/>
          <w:caps w:val="0"/>
          <w:lang w:val="en-US"/>
        </w:rPr>
        <w:t>-------------------------</w:t>
      </w:r>
    </w:p>
    <w:p w:rsidR="00D545D3" w:rsidRDefault="00D545D3" w:rsidP="00D545D3">
      <w:pPr>
        <w:tabs>
          <w:tab w:val="clear" w:pos="4320"/>
          <w:tab w:val="clear" w:pos="9072"/>
        </w:tabs>
        <w:snapToGrid/>
      </w:pPr>
    </w:p>
    <w:p w:rsidR="00D545D3" w:rsidRDefault="00D545D3" w:rsidP="00D545D3">
      <w:pPr>
        <w:tabs>
          <w:tab w:val="clear" w:pos="4320"/>
          <w:tab w:val="clear" w:pos="9072"/>
        </w:tabs>
        <w:snapToGrid/>
      </w:pPr>
      <w:r>
        <w:rPr>
          <w:rFonts w:hint="eastAsia"/>
        </w:rPr>
        <w:t xml:space="preserve">IN THE MATTER </w:t>
      </w:r>
      <w:r>
        <w:t>O</w:t>
      </w:r>
      <w:r>
        <w:rPr>
          <w:rFonts w:hint="eastAsia"/>
        </w:rPr>
        <w:t xml:space="preserve">F AN </w:t>
      </w:r>
      <w:r>
        <w:t>A</w:t>
      </w:r>
      <w:r>
        <w:rPr>
          <w:rFonts w:hint="eastAsia"/>
        </w:rPr>
        <w:t>PPLICATION BETWEEN</w:t>
      </w:r>
      <w:r>
        <w:t>:</w:t>
      </w:r>
    </w:p>
    <w:p w:rsidR="00D545D3" w:rsidRDefault="00D545D3" w:rsidP="00D545D3">
      <w:pPr>
        <w:tabs>
          <w:tab w:val="clear" w:pos="1440"/>
          <w:tab w:val="clear" w:pos="4320"/>
          <w:tab w:val="clear" w:pos="9072"/>
          <w:tab w:val="left" w:pos="1680"/>
          <w:tab w:val="left" w:pos="7140"/>
        </w:tabs>
        <w:snapToGrid/>
      </w:pPr>
    </w:p>
    <w:p w:rsidR="00D545D3" w:rsidRDefault="00D545D3" w:rsidP="00D545D3">
      <w:pPr>
        <w:tabs>
          <w:tab w:val="clear" w:pos="1440"/>
          <w:tab w:val="clear" w:pos="4320"/>
          <w:tab w:val="clear" w:pos="9072"/>
          <w:tab w:val="center" w:pos="4140"/>
          <w:tab w:val="right" w:pos="8280"/>
        </w:tabs>
        <w:snapToGrid/>
      </w:pPr>
      <w:r>
        <w:rPr>
          <w:rFonts w:hint="eastAsia"/>
        </w:rPr>
        <w:tab/>
        <w:t>J</w:t>
      </w:r>
      <w:r>
        <w:t>IANG ZHONG</w:t>
      </w:r>
      <w:r>
        <w:rPr>
          <w:szCs w:val="26"/>
        </w:rPr>
        <w:t xml:space="preserve"> (</w:t>
      </w:r>
      <w:r>
        <w:rPr>
          <w:rFonts w:eastAsia="PMingLiU" w:hint="eastAsia"/>
          <w:szCs w:val="26"/>
          <w:lang w:eastAsia="zh-TW"/>
        </w:rPr>
        <w:t>姜忠</w:t>
      </w:r>
      <w:r>
        <w:rPr>
          <w:szCs w:val="26"/>
        </w:rPr>
        <w:t>)</w:t>
      </w:r>
      <w:r>
        <w:rPr>
          <w:rFonts w:hint="eastAsia"/>
        </w:rPr>
        <w:tab/>
      </w:r>
      <w:r>
        <w:t>Applicant</w:t>
      </w:r>
    </w:p>
    <w:p w:rsidR="00D545D3" w:rsidRDefault="00D545D3" w:rsidP="00D545D3">
      <w:pPr>
        <w:tabs>
          <w:tab w:val="clear" w:pos="1440"/>
          <w:tab w:val="clear" w:pos="4320"/>
          <w:tab w:val="clear" w:pos="9072"/>
          <w:tab w:val="left" w:pos="2240"/>
          <w:tab w:val="center" w:pos="4140"/>
          <w:tab w:val="right" w:pos="8280"/>
        </w:tabs>
        <w:snapToGrid/>
      </w:pPr>
    </w:p>
    <w:p w:rsidR="00D545D3" w:rsidRDefault="00D545D3" w:rsidP="00D545D3">
      <w:pPr>
        <w:pStyle w:val="Heading3"/>
        <w:tabs>
          <w:tab w:val="clear" w:pos="4320"/>
          <w:tab w:val="clear" w:pos="9072"/>
          <w:tab w:val="left" w:pos="2240"/>
          <w:tab w:val="center" w:pos="4140"/>
          <w:tab w:val="right" w:pos="8280"/>
        </w:tabs>
        <w:rPr>
          <w:b w:val="0"/>
          <w:sz w:val="28"/>
        </w:rPr>
      </w:pPr>
      <w:proofErr w:type="gramStart"/>
      <w:r>
        <w:rPr>
          <w:b w:val="0"/>
          <w:sz w:val="28"/>
        </w:rPr>
        <w:t>a</w:t>
      </w:r>
      <w:r>
        <w:rPr>
          <w:rFonts w:hint="eastAsia"/>
          <w:b w:val="0"/>
          <w:sz w:val="28"/>
        </w:rPr>
        <w:t>nd</w:t>
      </w:r>
      <w:proofErr w:type="gramEnd"/>
    </w:p>
    <w:p w:rsidR="00D545D3" w:rsidRDefault="00D545D3" w:rsidP="00D545D3">
      <w:pPr>
        <w:tabs>
          <w:tab w:val="clear" w:pos="1440"/>
          <w:tab w:val="clear" w:pos="4320"/>
          <w:tab w:val="clear" w:pos="9072"/>
          <w:tab w:val="center" w:pos="4050"/>
          <w:tab w:val="right" w:pos="8280"/>
        </w:tabs>
      </w:pPr>
    </w:p>
    <w:p w:rsidR="00EF238A" w:rsidRDefault="00D545D3" w:rsidP="00EF238A">
      <w:pPr>
        <w:tabs>
          <w:tab w:val="clear" w:pos="1440"/>
          <w:tab w:val="clear" w:pos="4320"/>
          <w:tab w:val="clear" w:pos="9072"/>
          <w:tab w:val="center" w:pos="4050"/>
          <w:tab w:val="right" w:pos="8280"/>
        </w:tabs>
      </w:pPr>
      <w:r>
        <w:tab/>
        <w:t>YEUNG CHUN LEUNG (</w:t>
      </w:r>
      <w:r>
        <w:rPr>
          <w:rFonts w:ascii="PMingLiU" w:eastAsia="PMingLiU" w:hAnsi="PMingLiU" w:hint="eastAsia"/>
          <w:lang w:eastAsia="zh-TW"/>
        </w:rPr>
        <w:t>楊振良</w:t>
      </w:r>
      <w:r>
        <w:t xml:space="preserve">) </w:t>
      </w:r>
    </w:p>
    <w:p w:rsidR="00D545D3" w:rsidRDefault="00D545D3" w:rsidP="00EF238A">
      <w:pPr>
        <w:tabs>
          <w:tab w:val="clear" w:pos="1440"/>
          <w:tab w:val="clear" w:pos="4320"/>
          <w:tab w:val="clear" w:pos="9072"/>
          <w:tab w:val="center" w:pos="4050"/>
          <w:tab w:val="right" w:pos="8280"/>
        </w:tabs>
      </w:pPr>
      <w:r>
        <w:tab/>
      </w:r>
      <w:proofErr w:type="gramStart"/>
      <w:r>
        <w:t>formerly</w:t>
      </w:r>
      <w:proofErr w:type="gramEnd"/>
      <w:r>
        <w:t xml:space="preserve"> trading as </w:t>
      </w:r>
    </w:p>
    <w:p w:rsidR="00D545D3" w:rsidRDefault="00D545D3" w:rsidP="00D545D3">
      <w:pPr>
        <w:tabs>
          <w:tab w:val="clear" w:pos="1440"/>
          <w:tab w:val="clear" w:pos="4320"/>
          <w:tab w:val="clear" w:pos="9072"/>
          <w:tab w:val="center" w:pos="4050"/>
          <w:tab w:val="right" w:pos="8280"/>
        </w:tabs>
      </w:pPr>
      <w:r>
        <w:tab/>
        <w:t>DREAM HOME WORKSHOP</w:t>
      </w:r>
      <w:r>
        <w:tab/>
        <w:t>1</w:t>
      </w:r>
      <w:r w:rsidRPr="00033474">
        <w:rPr>
          <w:vertAlign w:val="superscript"/>
        </w:rPr>
        <w:t>st</w:t>
      </w:r>
      <w:r>
        <w:t xml:space="preserve"> Respondent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pPr>
      <w:r>
        <w:tab/>
        <w:t>KWOK MAN LUNG (</w:t>
      </w:r>
      <w:r>
        <w:rPr>
          <w:rFonts w:ascii="PMingLiU" w:eastAsia="PMingLiU" w:hAnsi="PMingLiU" w:hint="eastAsia"/>
          <w:lang w:eastAsia="zh-TW"/>
        </w:rPr>
        <w:t>郭文龍</w:t>
      </w:r>
      <w:r>
        <w:t>)</w:t>
      </w:r>
      <w:r>
        <w:tab/>
        <w:t>2</w:t>
      </w:r>
      <w:r w:rsidRPr="00345738">
        <w:rPr>
          <w:vertAlign w:val="superscript"/>
        </w:rPr>
        <w:t>nd</w:t>
      </w:r>
      <w:r>
        <w:t xml:space="preserve"> Respondent</w:t>
      </w:r>
    </w:p>
    <w:p w:rsidR="00D545D3" w:rsidRDefault="00D545D3" w:rsidP="00D545D3">
      <w:pPr>
        <w:tabs>
          <w:tab w:val="clear" w:pos="1440"/>
          <w:tab w:val="clear" w:pos="4320"/>
          <w:tab w:val="clear" w:pos="9072"/>
          <w:tab w:val="center" w:pos="4050"/>
          <w:tab w:val="right" w:pos="8280"/>
        </w:tabs>
      </w:pPr>
      <w:r>
        <w:tab/>
      </w:r>
      <w:r>
        <w:tab/>
        <w:t>(Discontinued)</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rPr>
          <w:szCs w:val="26"/>
        </w:rPr>
      </w:pPr>
      <w:r>
        <w:rPr>
          <w:szCs w:val="26"/>
        </w:rPr>
        <w:tab/>
        <w:t xml:space="preserve">UP CHEER LIMITED </w:t>
      </w:r>
    </w:p>
    <w:p w:rsidR="00D545D3" w:rsidRDefault="00D545D3" w:rsidP="00D545D3">
      <w:pPr>
        <w:tabs>
          <w:tab w:val="clear" w:pos="1440"/>
          <w:tab w:val="clear" w:pos="4320"/>
          <w:tab w:val="clear" w:pos="9072"/>
          <w:tab w:val="center" w:pos="4050"/>
          <w:tab w:val="right" w:pos="8280"/>
        </w:tabs>
      </w:pPr>
      <w:r>
        <w:rPr>
          <w:szCs w:val="26"/>
        </w:rPr>
        <w:tab/>
        <w:t>(</w:t>
      </w:r>
      <w:r>
        <w:rPr>
          <w:rFonts w:ascii="PMingLiU" w:eastAsia="PMingLiU" w:hAnsi="PMingLiU" w:hint="eastAsia"/>
          <w:szCs w:val="26"/>
          <w:lang w:eastAsia="zh-TW"/>
        </w:rPr>
        <w:t>皆昇有限公司</w:t>
      </w:r>
      <w:r>
        <w:rPr>
          <w:szCs w:val="26"/>
        </w:rPr>
        <w:t>)</w:t>
      </w:r>
      <w:r>
        <w:rPr>
          <w:rFonts w:hint="eastAsia"/>
        </w:rPr>
        <w:tab/>
      </w:r>
      <w:r>
        <w:t>3</w:t>
      </w:r>
      <w:r w:rsidRPr="00033474">
        <w:rPr>
          <w:vertAlign w:val="superscript"/>
        </w:rPr>
        <w:t>rd</w:t>
      </w:r>
      <w:r>
        <w:t xml:space="preserve"> Respondent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pPr>
      <w:r>
        <w:tab/>
        <w:t>CHENG KWOK WEI trading as</w:t>
      </w:r>
    </w:p>
    <w:p w:rsidR="00D545D3" w:rsidRDefault="00D545D3" w:rsidP="00D545D3">
      <w:pPr>
        <w:tabs>
          <w:tab w:val="clear" w:pos="1440"/>
          <w:tab w:val="clear" w:pos="4320"/>
          <w:tab w:val="clear" w:pos="9072"/>
          <w:tab w:val="center" w:pos="4050"/>
          <w:tab w:val="right" w:pos="8280"/>
        </w:tabs>
      </w:pPr>
      <w:r>
        <w:tab/>
        <w:t>HON HING ENGINEERING COMPANY</w:t>
      </w:r>
      <w:r>
        <w:tab/>
        <w:t>4</w:t>
      </w:r>
      <w:r w:rsidRPr="00033474">
        <w:rPr>
          <w:vertAlign w:val="superscript"/>
        </w:rPr>
        <w:t>th</w:t>
      </w:r>
      <w:r>
        <w:t xml:space="preserve"> Respondent</w:t>
      </w:r>
    </w:p>
    <w:p w:rsidR="00D545D3" w:rsidRDefault="00D545D3" w:rsidP="00D545D3">
      <w:pPr>
        <w:tabs>
          <w:tab w:val="clear" w:pos="1440"/>
          <w:tab w:val="clear" w:pos="4320"/>
          <w:tab w:val="clear" w:pos="9072"/>
          <w:tab w:val="center" w:pos="4050"/>
          <w:tab w:val="right" w:pos="8280"/>
        </w:tabs>
      </w:pPr>
    </w:p>
    <w:p w:rsidR="00D545D3" w:rsidRDefault="00D545D3" w:rsidP="00D545D3">
      <w:pPr>
        <w:tabs>
          <w:tab w:val="clear" w:pos="1440"/>
          <w:tab w:val="clear" w:pos="4320"/>
          <w:tab w:val="clear" w:pos="9072"/>
          <w:tab w:val="center" w:pos="4050"/>
          <w:tab w:val="right" w:pos="8280"/>
        </w:tabs>
      </w:pPr>
      <w:r>
        <w:tab/>
        <w:t>EMPLOYEES COMPENSATION</w:t>
      </w:r>
    </w:p>
    <w:p w:rsidR="00D545D3" w:rsidRDefault="00D545D3" w:rsidP="00D545D3">
      <w:pPr>
        <w:tabs>
          <w:tab w:val="clear" w:pos="1440"/>
          <w:tab w:val="clear" w:pos="4320"/>
          <w:tab w:val="clear" w:pos="9072"/>
          <w:tab w:val="center" w:pos="4050"/>
          <w:tab w:val="right" w:pos="8280"/>
        </w:tabs>
      </w:pPr>
      <w:r>
        <w:tab/>
        <w:t xml:space="preserve">ASSISTANCE FUND BOARD </w:t>
      </w:r>
    </w:p>
    <w:p w:rsidR="00D545D3" w:rsidRDefault="00D545D3" w:rsidP="00D545D3">
      <w:pPr>
        <w:tabs>
          <w:tab w:val="clear" w:pos="1440"/>
          <w:tab w:val="clear" w:pos="4320"/>
          <w:tab w:val="clear" w:pos="9072"/>
          <w:tab w:val="center" w:pos="4050"/>
          <w:tab w:val="right" w:pos="8280"/>
        </w:tabs>
      </w:pPr>
      <w:r>
        <w:tab/>
        <w:t>(</w:t>
      </w:r>
      <w:r>
        <w:rPr>
          <w:rFonts w:ascii="PMingLiU" w:eastAsia="PMingLiU" w:hAnsi="PMingLiU" w:hint="eastAsia"/>
          <w:lang w:eastAsia="zh-TW"/>
        </w:rPr>
        <w:t>僱員補償援助基金管理局</w:t>
      </w:r>
      <w:r>
        <w:t>)</w:t>
      </w:r>
      <w:r>
        <w:tab/>
        <w:t>5</w:t>
      </w:r>
      <w:r w:rsidRPr="00033474">
        <w:rPr>
          <w:vertAlign w:val="superscript"/>
        </w:rPr>
        <w:t>th</w:t>
      </w:r>
      <w:r>
        <w:t xml:space="preserve"> Respondent</w:t>
      </w:r>
    </w:p>
    <w:p w:rsidR="00D545D3" w:rsidRDefault="00D545D3" w:rsidP="00D545D3">
      <w:pPr>
        <w:tabs>
          <w:tab w:val="clear" w:pos="1440"/>
          <w:tab w:val="clear" w:pos="4320"/>
          <w:tab w:val="clear" w:pos="9072"/>
          <w:tab w:val="center" w:pos="4140"/>
          <w:tab w:val="right" w:pos="8280"/>
        </w:tabs>
        <w:snapToGrid/>
      </w:pPr>
    </w:p>
    <w:p w:rsidR="00D545D3" w:rsidRDefault="00D545D3" w:rsidP="00D545D3">
      <w:pPr>
        <w:tabs>
          <w:tab w:val="clear" w:pos="4320"/>
          <w:tab w:val="clear" w:pos="9072"/>
          <w:tab w:val="left" w:pos="1620"/>
        </w:tabs>
        <w:adjustRightInd w:val="0"/>
        <w:snapToGrid/>
        <w:spacing w:line="360" w:lineRule="auto"/>
        <w:jc w:val="center"/>
      </w:pPr>
      <w:r>
        <w:rPr>
          <w:rFonts w:hint="eastAsia"/>
        </w:rPr>
        <w:t>--------------------</w:t>
      </w:r>
    </w:p>
    <w:p w:rsidR="004B255A" w:rsidRDefault="004B255A" w:rsidP="00E46C01">
      <w:pPr>
        <w:pStyle w:val="normal2"/>
        <w:tabs>
          <w:tab w:val="clear" w:pos="1411"/>
          <w:tab w:val="clear" w:pos="4320"/>
          <w:tab w:val="clear" w:pos="9072"/>
        </w:tabs>
        <w:overflowPunct/>
        <w:autoSpaceDE/>
        <w:autoSpaceDN/>
        <w:adjustRightInd w:val="0"/>
        <w:rPr>
          <w:rFonts w:eastAsia="SimSun"/>
          <w:caps w:val="0"/>
          <w:lang w:val="en-US"/>
        </w:rPr>
      </w:pPr>
      <w:r>
        <w:rPr>
          <w:rFonts w:eastAsia="SimSun"/>
          <w:caps w:val="0"/>
          <w:lang w:val="en-US"/>
        </w:rPr>
        <w:t>(Heard together)</w:t>
      </w:r>
    </w:p>
    <w:p w:rsidR="004B255A" w:rsidRDefault="004B255A" w:rsidP="00E46C01">
      <w:pPr>
        <w:pStyle w:val="normal2"/>
        <w:tabs>
          <w:tab w:val="clear" w:pos="1411"/>
          <w:tab w:val="clear" w:pos="4320"/>
          <w:tab w:val="clear" w:pos="9072"/>
        </w:tabs>
        <w:overflowPunct/>
        <w:autoSpaceDE/>
        <w:autoSpaceDN/>
        <w:adjustRightInd w:val="0"/>
        <w:rPr>
          <w:rFonts w:eastAsia="SimSun"/>
          <w:caps w:val="0"/>
          <w:lang w:val="en-US"/>
        </w:rPr>
      </w:pPr>
    </w:p>
    <w:p w:rsidR="00320F5A" w:rsidRDefault="00320F5A" w:rsidP="00E46C01">
      <w:pPr>
        <w:tabs>
          <w:tab w:val="clear" w:pos="4320"/>
          <w:tab w:val="clear" w:pos="9072"/>
        </w:tabs>
        <w:spacing w:line="360" w:lineRule="auto"/>
      </w:pPr>
      <w:r>
        <w:rPr>
          <w:rFonts w:hint="eastAsia"/>
        </w:rPr>
        <w:t xml:space="preserve">Before:  </w:t>
      </w:r>
      <w:r>
        <w:t>Deputy District Judge Elaine Liu in Court</w:t>
      </w:r>
    </w:p>
    <w:p w:rsidR="00320F5A" w:rsidRDefault="00320F5A" w:rsidP="00E46C01">
      <w:pPr>
        <w:tabs>
          <w:tab w:val="clear" w:pos="4320"/>
          <w:tab w:val="clear" w:pos="9072"/>
        </w:tabs>
        <w:spacing w:line="360" w:lineRule="auto"/>
      </w:pPr>
      <w:r>
        <w:t>Date of Hearing</w:t>
      </w:r>
      <w:r>
        <w:rPr>
          <w:rFonts w:hint="eastAsia"/>
        </w:rPr>
        <w:t xml:space="preserve">:  </w:t>
      </w:r>
      <w:r w:rsidR="00EF238A">
        <w:rPr>
          <w:rFonts w:hint="eastAsia"/>
        </w:rPr>
        <w:t>20 October</w:t>
      </w:r>
      <w:r>
        <w:t xml:space="preserve"> 2016</w:t>
      </w:r>
    </w:p>
    <w:p w:rsidR="00320F5A" w:rsidRDefault="00320F5A" w:rsidP="00E46C01">
      <w:pPr>
        <w:tabs>
          <w:tab w:val="clear" w:pos="4320"/>
          <w:tab w:val="clear" w:pos="9072"/>
        </w:tabs>
        <w:adjustRightInd w:val="0"/>
        <w:snapToGrid/>
        <w:spacing w:line="360" w:lineRule="auto"/>
      </w:pPr>
      <w:r>
        <w:t xml:space="preserve">Date of </w:t>
      </w:r>
      <w:r>
        <w:rPr>
          <w:rFonts w:hint="eastAsia"/>
        </w:rPr>
        <w:t>Decision</w:t>
      </w:r>
      <w:r>
        <w:t>:</w:t>
      </w:r>
      <w:r>
        <w:rPr>
          <w:rFonts w:hint="eastAsia"/>
        </w:rPr>
        <w:t xml:space="preserve"> </w:t>
      </w:r>
      <w:r w:rsidR="00A478CD">
        <w:t xml:space="preserve">10 </w:t>
      </w:r>
      <w:r w:rsidR="00EF238A">
        <w:rPr>
          <w:rFonts w:hint="eastAsia"/>
        </w:rPr>
        <w:t>November</w:t>
      </w:r>
      <w:r>
        <w:rPr>
          <w:rFonts w:hint="eastAsia"/>
        </w:rPr>
        <w:t xml:space="preserve"> 2016</w:t>
      </w:r>
    </w:p>
    <w:p w:rsidR="00320F5A" w:rsidRDefault="00320F5A" w:rsidP="00E46C01">
      <w:pPr>
        <w:tabs>
          <w:tab w:val="clear" w:pos="4320"/>
          <w:tab w:val="clear" w:pos="9072"/>
        </w:tabs>
        <w:spacing w:line="360" w:lineRule="auto"/>
        <w:rPr>
          <w:rFonts w:eastAsia="PMingLiU"/>
          <w:szCs w:val="26"/>
          <w:lang w:eastAsia="zh-TW"/>
        </w:rPr>
      </w:pPr>
    </w:p>
    <w:p w:rsidR="00572FD9" w:rsidRPr="009E0023" w:rsidRDefault="00572FD9"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w:t>
      </w:r>
      <w:r w:rsidR="00CF64C3" w:rsidRPr="009E0023">
        <w:rPr>
          <w:rFonts w:eastAsia="PMingLiU"/>
          <w:caps w:val="0"/>
          <w:snapToGrid w:val="0"/>
          <w:szCs w:val="28"/>
          <w:lang w:val="en-US"/>
        </w:rPr>
        <w:t>-----</w:t>
      </w:r>
      <w:r w:rsidRPr="009E0023">
        <w:rPr>
          <w:rFonts w:eastAsia="PMingLiU"/>
          <w:caps w:val="0"/>
          <w:snapToGrid w:val="0"/>
          <w:szCs w:val="28"/>
          <w:lang w:val="en-US"/>
        </w:rPr>
        <w:t>------</w:t>
      </w:r>
      <w:r w:rsidR="009A26C8" w:rsidRPr="009E0023">
        <w:rPr>
          <w:rFonts w:eastAsia="PMingLiU"/>
          <w:caps w:val="0"/>
          <w:snapToGrid w:val="0"/>
          <w:szCs w:val="28"/>
          <w:lang w:val="en-US"/>
        </w:rPr>
        <w:t>---</w:t>
      </w:r>
    </w:p>
    <w:p w:rsidR="00572FD9" w:rsidRPr="009E0023" w:rsidRDefault="00446E1B"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DECISION</w:t>
      </w:r>
    </w:p>
    <w:p w:rsidR="008622BE" w:rsidRPr="009E0023" w:rsidRDefault="00CF64C3"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w:t>
      </w:r>
      <w:r w:rsidR="009A26C8" w:rsidRPr="009E0023">
        <w:rPr>
          <w:rFonts w:eastAsia="PMingLiU"/>
          <w:caps w:val="0"/>
          <w:snapToGrid w:val="0"/>
          <w:szCs w:val="28"/>
          <w:lang w:val="en-US"/>
        </w:rPr>
        <w:t>---</w:t>
      </w:r>
    </w:p>
    <w:p w:rsidR="0073711D" w:rsidRDefault="0073711D" w:rsidP="00EF238A">
      <w:pPr>
        <w:tabs>
          <w:tab w:val="clear" w:pos="4320"/>
          <w:tab w:val="clear" w:pos="9072"/>
        </w:tabs>
        <w:spacing w:line="360" w:lineRule="auto"/>
        <w:jc w:val="both"/>
      </w:pPr>
    </w:p>
    <w:p w:rsidR="00AF5AF0" w:rsidRDefault="00AF5AF0" w:rsidP="00EF238A">
      <w:pPr>
        <w:tabs>
          <w:tab w:val="clear" w:pos="4320"/>
          <w:tab w:val="clear" w:pos="9072"/>
        </w:tabs>
        <w:spacing w:line="360" w:lineRule="auto"/>
        <w:jc w:val="both"/>
      </w:pPr>
    </w:p>
    <w:p w:rsidR="00AF5AF0" w:rsidRDefault="00AF5AF0" w:rsidP="00EF238A">
      <w:pPr>
        <w:tabs>
          <w:tab w:val="clear" w:pos="4320"/>
          <w:tab w:val="clear" w:pos="9072"/>
        </w:tabs>
        <w:spacing w:line="360" w:lineRule="auto"/>
        <w:jc w:val="both"/>
      </w:pPr>
    </w:p>
    <w:p w:rsidR="00AF5AF0" w:rsidRDefault="00AF5AF0" w:rsidP="00EF238A">
      <w:pPr>
        <w:tabs>
          <w:tab w:val="clear" w:pos="4320"/>
          <w:tab w:val="clear" w:pos="9072"/>
        </w:tabs>
        <w:spacing w:line="360" w:lineRule="auto"/>
        <w:jc w:val="both"/>
      </w:pPr>
    </w:p>
    <w:p w:rsidR="00EF238A" w:rsidRPr="008C3313" w:rsidRDefault="00EF238A" w:rsidP="00EF238A">
      <w:pPr>
        <w:tabs>
          <w:tab w:val="clear" w:pos="4320"/>
          <w:tab w:val="clear" w:pos="9072"/>
        </w:tabs>
        <w:spacing w:line="360" w:lineRule="auto"/>
        <w:jc w:val="both"/>
        <w:rPr>
          <w:i/>
          <w:iCs/>
          <w:caps/>
        </w:rPr>
      </w:pPr>
      <w:r>
        <w:rPr>
          <w:i/>
          <w:iCs/>
          <w:caps/>
        </w:rPr>
        <w:lastRenderedPageBreak/>
        <w:t>the application</w:t>
      </w:r>
    </w:p>
    <w:p w:rsidR="00EF238A" w:rsidRPr="00F73577" w:rsidRDefault="00EF238A" w:rsidP="00EF238A">
      <w:pPr>
        <w:tabs>
          <w:tab w:val="clear" w:pos="4320"/>
          <w:tab w:val="clear" w:pos="9072"/>
        </w:tabs>
        <w:spacing w:line="360" w:lineRule="auto"/>
        <w:jc w:val="both"/>
        <w:rPr>
          <w:rFonts w:eastAsia="PMingLiU"/>
        </w:rPr>
      </w:pPr>
    </w:p>
    <w:p w:rsidR="00EF238A" w:rsidRPr="00FE6AAB" w:rsidRDefault="00EF238A" w:rsidP="00EF238A">
      <w:pPr>
        <w:numPr>
          <w:ilvl w:val="0"/>
          <w:numId w:val="34"/>
        </w:numPr>
        <w:tabs>
          <w:tab w:val="clear" w:pos="4320"/>
          <w:tab w:val="clear" w:pos="9072"/>
        </w:tabs>
        <w:spacing w:line="360" w:lineRule="auto"/>
        <w:ind w:left="0" w:firstLine="0"/>
        <w:jc w:val="both"/>
        <w:rPr>
          <w:rFonts w:eastAsia="PMingLiU"/>
        </w:rPr>
      </w:pPr>
      <w:r w:rsidRPr="00FE6AAB">
        <w:rPr>
          <w:rFonts w:eastAsia="PMingLiU"/>
        </w:rPr>
        <w:t>This is an application made by the Employees Compensation Assistance Fund Board</w:t>
      </w:r>
      <w:r>
        <w:rPr>
          <w:rStyle w:val="FootnoteReference"/>
          <w:rFonts w:eastAsia="PMingLiU"/>
        </w:rPr>
        <w:footnoteReference w:id="1"/>
      </w:r>
      <w:r w:rsidRPr="00FE6AAB">
        <w:rPr>
          <w:rFonts w:eastAsia="PMingLiU"/>
        </w:rPr>
        <w:t xml:space="preserve"> </w:t>
      </w:r>
      <w:r w:rsidRPr="00272F26">
        <w:rPr>
          <w:rFonts w:eastAsia="PMingLiU"/>
        </w:rPr>
        <w:t>(“Fund Board”)</w:t>
      </w:r>
      <w:r w:rsidRPr="00FE6AAB">
        <w:rPr>
          <w:rFonts w:eastAsia="PMingLiU"/>
        </w:rPr>
        <w:t xml:space="preserve"> for leave to appeal against certain part of the costs orders made by this Court on 11 April 2016 in DCEC 1267 of 2010 </w:t>
      </w:r>
      <w:r w:rsidRPr="00272F26">
        <w:rPr>
          <w:rFonts w:eastAsia="PMingLiU"/>
        </w:rPr>
        <w:t>(“EC Action”)</w:t>
      </w:r>
      <w:r w:rsidRPr="00FE6AAB">
        <w:rPr>
          <w:rFonts w:eastAsia="PMingLiU"/>
        </w:rPr>
        <w:t xml:space="preserve"> and DCPI 2047 of 2011 </w:t>
      </w:r>
      <w:r w:rsidRPr="00272F26">
        <w:rPr>
          <w:rFonts w:eastAsia="PMingLiU"/>
        </w:rPr>
        <w:t>(“PI Action”).</w:t>
      </w:r>
      <w:r w:rsidRPr="00FE6AAB">
        <w:rPr>
          <w:rFonts w:eastAsia="PMingLiU"/>
        </w:rPr>
        <w:t xml:space="preserve">  </w:t>
      </w:r>
    </w:p>
    <w:p w:rsidR="00EF238A" w:rsidRDefault="00EF238A" w:rsidP="00EF238A">
      <w:pPr>
        <w:tabs>
          <w:tab w:val="clear" w:pos="4320"/>
          <w:tab w:val="clear" w:pos="9072"/>
        </w:tabs>
        <w:spacing w:line="360" w:lineRule="auto"/>
        <w:jc w:val="both"/>
        <w:rPr>
          <w:rFonts w:eastAsia="PMingLiU"/>
        </w:rPr>
      </w:pPr>
    </w:p>
    <w:p w:rsidR="00EF238A" w:rsidRPr="00272F26"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Specifically, the Fund Board sought leave to appeal against the following costs order:</w:t>
      </w:r>
      <w:r w:rsidR="00272F26">
        <w:rPr>
          <w:rFonts w:hint="eastAsia"/>
        </w:rPr>
        <w:t>-</w:t>
      </w:r>
    </w:p>
    <w:p w:rsidR="00272F26" w:rsidRDefault="00272F26" w:rsidP="00272F26">
      <w:pPr>
        <w:pStyle w:val="ListParagraph"/>
        <w:rPr>
          <w:rFonts w:eastAsia="PMingLiU"/>
        </w:rPr>
      </w:pPr>
    </w:p>
    <w:p w:rsidR="00EF238A" w:rsidRDefault="00EF238A" w:rsidP="00272F26">
      <w:pPr>
        <w:tabs>
          <w:tab w:val="clear" w:pos="1440"/>
          <w:tab w:val="clear" w:pos="4320"/>
          <w:tab w:val="clear" w:pos="9072"/>
          <w:tab w:val="left" w:pos="2160"/>
        </w:tabs>
        <w:spacing w:line="360" w:lineRule="auto"/>
        <w:ind w:left="2160" w:hanging="720"/>
        <w:jc w:val="both"/>
        <w:rPr>
          <w:rFonts w:eastAsia="PMingLiU"/>
        </w:rPr>
      </w:pPr>
      <w:r>
        <w:rPr>
          <w:rFonts w:eastAsia="PMingLiU"/>
        </w:rPr>
        <w:t>(1)</w:t>
      </w:r>
      <w:r>
        <w:rPr>
          <w:rFonts w:eastAsia="PMingLiU"/>
        </w:rPr>
        <w:tab/>
        <w:t xml:space="preserve">in the EC Action, </w:t>
      </w:r>
      <w:r w:rsidR="00C55F5D">
        <w:rPr>
          <w:rFonts w:eastAsia="PMingLiU"/>
        </w:rPr>
        <w:t xml:space="preserve">the </w:t>
      </w:r>
      <w:r>
        <w:rPr>
          <w:rFonts w:eastAsia="PMingLiU"/>
        </w:rPr>
        <w:t>costs of Jiang</w:t>
      </w:r>
      <w:r>
        <w:rPr>
          <w:rStyle w:val="FootnoteReference"/>
          <w:rFonts w:eastAsia="PMingLiU"/>
        </w:rPr>
        <w:footnoteReference w:id="2"/>
      </w:r>
      <w:r>
        <w:rPr>
          <w:rFonts w:eastAsia="PMingLiU"/>
        </w:rPr>
        <w:t xml:space="preserve"> </w:t>
      </w:r>
      <w:r w:rsidR="00C55F5D">
        <w:rPr>
          <w:rFonts w:eastAsia="PMingLiU"/>
        </w:rPr>
        <w:t xml:space="preserve">be paid by </w:t>
      </w:r>
      <w:r>
        <w:rPr>
          <w:rFonts w:eastAsia="PMingLiU"/>
        </w:rPr>
        <w:t>Yeung</w:t>
      </w:r>
      <w:r>
        <w:rPr>
          <w:rStyle w:val="FootnoteReference"/>
          <w:rFonts w:eastAsia="PMingLiU"/>
        </w:rPr>
        <w:footnoteReference w:id="3"/>
      </w:r>
      <w:r>
        <w:rPr>
          <w:rFonts w:eastAsia="PMingLiU"/>
        </w:rPr>
        <w:t xml:space="preserve"> </w:t>
      </w:r>
      <w:r w:rsidR="00C55F5D">
        <w:rPr>
          <w:rFonts w:eastAsia="PMingLiU"/>
        </w:rPr>
        <w:t xml:space="preserve">and the Fund Board jointly and severally, </w:t>
      </w:r>
      <w:r>
        <w:rPr>
          <w:rFonts w:eastAsia="PMingLiU"/>
        </w:rPr>
        <w:t xml:space="preserve">and that the Fund Board’s own costs </w:t>
      </w:r>
      <w:r w:rsidR="00C55F5D">
        <w:rPr>
          <w:rFonts w:eastAsia="PMingLiU"/>
        </w:rPr>
        <w:t xml:space="preserve">including </w:t>
      </w:r>
      <w:r>
        <w:rPr>
          <w:rFonts w:eastAsia="PMingLiU"/>
        </w:rPr>
        <w:t>the costs to be paid by the Fund Board to Jiang be paid by Yeung;</w:t>
      </w:r>
    </w:p>
    <w:p w:rsidR="00272F26" w:rsidRDefault="00272F26" w:rsidP="00272F26">
      <w:pPr>
        <w:tabs>
          <w:tab w:val="clear" w:pos="1440"/>
          <w:tab w:val="clear" w:pos="4320"/>
          <w:tab w:val="clear" w:pos="9072"/>
          <w:tab w:val="left" w:pos="2160"/>
        </w:tabs>
        <w:spacing w:line="360" w:lineRule="auto"/>
        <w:ind w:left="2160" w:hanging="720"/>
        <w:jc w:val="both"/>
      </w:pPr>
    </w:p>
    <w:p w:rsidR="00EF238A" w:rsidRDefault="00EF238A" w:rsidP="00272F26">
      <w:pPr>
        <w:tabs>
          <w:tab w:val="clear" w:pos="1440"/>
          <w:tab w:val="clear" w:pos="4320"/>
          <w:tab w:val="clear" w:pos="9072"/>
          <w:tab w:val="left" w:pos="2160"/>
        </w:tabs>
        <w:spacing w:line="360" w:lineRule="auto"/>
        <w:ind w:left="2160" w:hanging="720"/>
        <w:jc w:val="both"/>
        <w:rPr>
          <w:rFonts w:eastAsia="PMingLiU"/>
        </w:rPr>
      </w:pPr>
      <w:r>
        <w:rPr>
          <w:rFonts w:eastAsia="PMingLiU"/>
        </w:rPr>
        <w:t>(2)</w:t>
      </w:r>
      <w:r>
        <w:rPr>
          <w:rFonts w:eastAsia="PMingLiU"/>
        </w:rPr>
        <w:tab/>
        <w:t xml:space="preserve">in the PI Action, the costs of Jiang </w:t>
      </w:r>
      <w:r w:rsidR="00C55F5D">
        <w:rPr>
          <w:rFonts w:eastAsia="PMingLiU"/>
        </w:rPr>
        <w:t xml:space="preserve">be paid by </w:t>
      </w:r>
      <w:r>
        <w:rPr>
          <w:rFonts w:eastAsia="PMingLiU"/>
        </w:rPr>
        <w:t>Up Cheer</w:t>
      </w:r>
      <w:r>
        <w:rPr>
          <w:rStyle w:val="FootnoteReference"/>
          <w:rFonts w:eastAsia="PMingLiU"/>
        </w:rPr>
        <w:footnoteReference w:id="4"/>
      </w:r>
      <w:r w:rsidR="00C55F5D">
        <w:rPr>
          <w:rFonts w:eastAsia="PMingLiU"/>
        </w:rPr>
        <w:t>, Yeung</w:t>
      </w:r>
      <w:r>
        <w:rPr>
          <w:rFonts w:eastAsia="PMingLiU"/>
        </w:rPr>
        <w:t xml:space="preserve"> and </w:t>
      </w:r>
      <w:r w:rsidR="00C55F5D">
        <w:rPr>
          <w:rFonts w:eastAsia="PMingLiU"/>
        </w:rPr>
        <w:t xml:space="preserve">the Fund Board jointly and severally, and </w:t>
      </w:r>
      <w:r>
        <w:rPr>
          <w:rFonts w:eastAsia="PMingLiU"/>
        </w:rPr>
        <w:t xml:space="preserve">that the Fund Board’s own costs </w:t>
      </w:r>
      <w:r w:rsidR="00C55F5D">
        <w:rPr>
          <w:rFonts w:eastAsia="PMingLiU"/>
        </w:rPr>
        <w:t xml:space="preserve">including </w:t>
      </w:r>
      <w:r>
        <w:rPr>
          <w:rFonts w:eastAsia="PMingLiU"/>
        </w:rPr>
        <w:t xml:space="preserve">the costs to be paid by the Fund Board to Jiang be paid by </w:t>
      </w:r>
      <w:r w:rsidR="00C55F5D">
        <w:rPr>
          <w:rFonts w:eastAsia="PMingLiU"/>
        </w:rPr>
        <w:t>Up Cheer and Yeung jointly and severally</w:t>
      </w:r>
      <w:r>
        <w:rPr>
          <w:rFonts w:eastAsia="PMingLiU"/>
        </w:rPr>
        <w:t>.</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There was no complaint </w:t>
      </w:r>
      <w:r w:rsidR="00B41FD0">
        <w:rPr>
          <w:rFonts w:eastAsia="PMingLiU"/>
        </w:rPr>
        <w:t>about</w:t>
      </w:r>
      <w:r>
        <w:rPr>
          <w:rFonts w:eastAsia="PMingLiU"/>
        </w:rPr>
        <w:t xml:space="preserve"> the order that Yeung (in both actions) and Up Cheer (in the PI Action) </w:t>
      </w:r>
      <w:r w:rsidR="00BC6980">
        <w:rPr>
          <w:rFonts w:eastAsia="PMingLiU"/>
        </w:rPr>
        <w:t xml:space="preserve">shall be </w:t>
      </w:r>
      <w:r>
        <w:rPr>
          <w:rFonts w:eastAsia="PMingLiU"/>
        </w:rPr>
        <w:t>ultimate</w:t>
      </w:r>
      <w:r w:rsidR="00BC6980">
        <w:rPr>
          <w:rFonts w:eastAsia="PMingLiU"/>
        </w:rPr>
        <w:t>ly responsible for paying</w:t>
      </w:r>
      <w:r>
        <w:rPr>
          <w:rFonts w:eastAsia="PMingLiU"/>
        </w:rPr>
        <w:t xml:space="preserve"> the Fund Board’s costs, including the costs that the Fund Board are to be paid to Jiang.  The challenge was on the order against the Fund Board </w:t>
      </w:r>
      <w:r>
        <w:rPr>
          <w:rFonts w:eastAsia="PMingLiU"/>
        </w:rPr>
        <w:lastRenderedPageBreak/>
        <w:t xml:space="preserve">to bear Jiang’s costs jointly and severally </w:t>
      </w:r>
      <w:r w:rsidR="00BC6980">
        <w:rPr>
          <w:rFonts w:eastAsia="PMingLiU"/>
        </w:rPr>
        <w:t xml:space="preserve">with Yeung and Up Cheer (as the case may be) </w:t>
      </w:r>
      <w:r>
        <w:rPr>
          <w:rFonts w:eastAsia="PMingLiU"/>
        </w:rPr>
        <w:t>notwithstanding that such costs are recoverable from</w:t>
      </w:r>
      <w:r w:rsidR="00BC6980">
        <w:rPr>
          <w:rFonts w:eastAsia="PMingLiU"/>
        </w:rPr>
        <w:t xml:space="preserve"> Yeung and/or Up Cheer</w:t>
      </w:r>
      <w:r>
        <w:rPr>
          <w:rFonts w:eastAsia="PMingLiU"/>
        </w:rPr>
        <w:t>.</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The background</w:t>
      </w:r>
      <w:r w:rsidR="00745EBA">
        <w:rPr>
          <w:rFonts w:eastAsia="PMingLiU"/>
        </w:rPr>
        <w:t xml:space="preserve"> of these two proceedings was</w:t>
      </w:r>
      <w:r>
        <w:rPr>
          <w:rFonts w:eastAsia="PMingLiU"/>
        </w:rPr>
        <w:t xml:space="preserve"> set out in the Judgment handed down on 5 February 2016 and the Reason for the Decision on Costs handed down on 18 April 2016.  </w:t>
      </w:r>
    </w:p>
    <w:p w:rsidR="00EF238A" w:rsidRDefault="00EF238A" w:rsidP="00EF238A">
      <w:pPr>
        <w:tabs>
          <w:tab w:val="clear" w:pos="4320"/>
          <w:tab w:val="clear" w:pos="9072"/>
        </w:tabs>
        <w:spacing w:line="360" w:lineRule="auto"/>
        <w:jc w:val="both"/>
        <w:rPr>
          <w:rFonts w:eastAsia="PMingLiU"/>
        </w:rPr>
      </w:pPr>
    </w:p>
    <w:p w:rsidR="00EF238A" w:rsidRDefault="00EF238A" w:rsidP="00EF238A">
      <w:pPr>
        <w:tabs>
          <w:tab w:val="clear" w:pos="4320"/>
          <w:tab w:val="clear" w:pos="9072"/>
        </w:tabs>
        <w:spacing w:line="360" w:lineRule="auto"/>
        <w:jc w:val="both"/>
        <w:rPr>
          <w:rFonts w:eastAsia="PMingLiU"/>
          <w:i/>
        </w:rPr>
      </w:pPr>
      <w:r>
        <w:rPr>
          <w:rFonts w:eastAsia="PMingLiU"/>
          <w:i/>
        </w:rPr>
        <w:t>PROPOSED GROUNDS OF APPEAL</w:t>
      </w:r>
    </w:p>
    <w:p w:rsidR="00EF238A" w:rsidRPr="000A5B96" w:rsidRDefault="00EF238A" w:rsidP="00EF238A">
      <w:pPr>
        <w:tabs>
          <w:tab w:val="clear" w:pos="4320"/>
          <w:tab w:val="clear" w:pos="9072"/>
        </w:tabs>
        <w:spacing w:line="360" w:lineRule="auto"/>
        <w:jc w:val="both"/>
        <w:rPr>
          <w:rFonts w:eastAsia="PMingLiU"/>
          <w:i/>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The Fund Board has submitted a 10-page draft Notice of Appeal in the PI Action and a 6-page draft Notice of Appeal in the EC Action.  In sum, the Fund Board’s proposed grounds of appeal were two:</w:t>
      </w:r>
      <w:r w:rsidR="00FE0147">
        <w:rPr>
          <w:rFonts w:hint="eastAsia"/>
        </w:rPr>
        <w:t>-</w:t>
      </w:r>
    </w:p>
    <w:p w:rsidR="00EF238A" w:rsidRDefault="00EF238A" w:rsidP="00EF238A">
      <w:pPr>
        <w:tabs>
          <w:tab w:val="clear" w:pos="4320"/>
          <w:tab w:val="clear" w:pos="9072"/>
        </w:tabs>
        <w:spacing w:line="360" w:lineRule="auto"/>
        <w:jc w:val="both"/>
        <w:rPr>
          <w:rFonts w:eastAsia="PMingLiU"/>
        </w:rPr>
      </w:pPr>
    </w:p>
    <w:p w:rsidR="00EF238A" w:rsidRDefault="00EF238A" w:rsidP="00FE0147">
      <w:pPr>
        <w:tabs>
          <w:tab w:val="clear" w:pos="1440"/>
          <w:tab w:val="clear" w:pos="4320"/>
          <w:tab w:val="clear" w:pos="9072"/>
          <w:tab w:val="left" w:pos="2160"/>
        </w:tabs>
        <w:spacing w:line="360" w:lineRule="auto"/>
        <w:ind w:left="2160" w:hanging="720"/>
        <w:jc w:val="both"/>
        <w:rPr>
          <w:rFonts w:eastAsia="PMingLiU"/>
        </w:rPr>
      </w:pPr>
      <w:r>
        <w:rPr>
          <w:rFonts w:eastAsia="PMingLiU"/>
        </w:rPr>
        <w:t>(1)</w:t>
      </w:r>
      <w:r>
        <w:rPr>
          <w:rFonts w:eastAsia="PMingLiU"/>
        </w:rPr>
        <w:tab/>
      </w:r>
      <w:r w:rsidRPr="00915E19">
        <w:rPr>
          <w:rFonts w:eastAsia="PMingLiU"/>
          <w:u w:val="single"/>
        </w:rPr>
        <w:t>Jurisdictional Ground</w:t>
      </w:r>
      <w:r>
        <w:rPr>
          <w:rFonts w:eastAsia="PMingLiU"/>
        </w:rPr>
        <w:t xml:space="preserve"> – it was contended that this Court was wrong in relying on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i/>
        </w:rPr>
        <w:t xml:space="preserve"> v Fung Man &amp; Ors</w:t>
      </w:r>
      <w:r>
        <w:rPr>
          <w:rFonts w:eastAsia="PMingLiU"/>
        </w:rPr>
        <w:t xml:space="preserve"> [2014] 6 HKC 361 and was wrong to hold that the provisions in Employees Compensation Assistance Ordinance (“</w:t>
      </w:r>
      <w:r w:rsidRPr="00FE0147">
        <w:rPr>
          <w:rFonts w:eastAsia="PMingLiU"/>
        </w:rPr>
        <w:t>ECAO</w:t>
      </w:r>
      <w:r>
        <w:rPr>
          <w:rFonts w:eastAsia="PMingLiU"/>
        </w:rPr>
        <w:t xml:space="preserve">”) did not impact on the Court’s discretion to award costs against the Fund Board in a common law claim.  The Fund Board contended that the Court has no jurisdiction to order costs against the Fund Board in the PI Action.  </w:t>
      </w:r>
    </w:p>
    <w:p w:rsidR="00EF238A" w:rsidRDefault="00EF238A" w:rsidP="00FE0147">
      <w:pPr>
        <w:tabs>
          <w:tab w:val="clear" w:pos="1440"/>
          <w:tab w:val="clear" w:pos="4320"/>
          <w:tab w:val="clear" w:pos="9072"/>
          <w:tab w:val="left" w:pos="2160"/>
        </w:tabs>
        <w:spacing w:line="360" w:lineRule="auto"/>
        <w:ind w:left="2160" w:hanging="720"/>
        <w:jc w:val="both"/>
        <w:rPr>
          <w:rFonts w:eastAsia="PMingLiU"/>
        </w:rPr>
      </w:pPr>
    </w:p>
    <w:p w:rsidR="00EF238A" w:rsidRDefault="00EF238A" w:rsidP="00FE0147">
      <w:pPr>
        <w:tabs>
          <w:tab w:val="clear" w:pos="1440"/>
          <w:tab w:val="clear" w:pos="4320"/>
          <w:tab w:val="clear" w:pos="9072"/>
          <w:tab w:val="left" w:pos="2160"/>
        </w:tabs>
        <w:spacing w:line="360" w:lineRule="auto"/>
        <w:ind w:left="2160" w:hanging="720"/>
        <w:jc w:val="both"/>
        <w:rPr>
          <w:rFonts w:eastAsia="PMingLiU"/>
        </w:rPr>
      </w:pPr>
      <w:r>
        <w:rPr>
          <w:rFonts w:eastAsia="PMingLiU"/>
        </w:rPr>
        <w:t>(2)</w:t>
      </w:r>
      <w:r>
        <w:rPr>
          <w:rFonts w:eastAsia="PMingLiU"/>
        </w:rPr>
        <w:tab/>
      </w:r>
      <w:r w:rsidRPr="00915E19">
        <w:rPr>
          <w:rFonts w:eastAsia="PMingLiU"/>
          <w:u w:val="single"/>
        </w:rPr>
        <w:t>Discretion Ground</w:t>
      </w:r>
      <w:r>
        <w:rPr>
          <w:rFonts w:eastAsia="PMingLiU"/>
        </w:rPr>
        <w:t xml:space="preserve"> – it was contended that even if this Court has the jurisdiction to award costs against the Fund Board, the discretion was wrongly exercised, or that this Court had failed to exercise the discretion </w:t>
      </w:r>
      <w:r>
        <w:rPr>
          <w:rFonts w:eastAsia="PMingLiU"/>
        </w:rPr>
        <w:lastRenderedPageBreak/>
        <w:t>judicially.  The Fund Board mainly relied on the affirmation</w:t>
      </w:r>
      <w:r w:rsidR="00670B59">
        <w:rPr>
          <w:rFonts w:eastAsia="PMingLiU"/>
        </w:rPr>
        <w:t>s</w:t>
      </w:r>
      <w:r>
        <w:rPr>
          <w:rFonts w:eastAsia="PMingLiU"/>
        </w:rPr>
        <w:t xml:space="preserve"> in support of its joinder application and contended that this Court has wrongly came to the view that the Fund Board did not join in the proceedings for the </w:t>
      </w:r>
      <w:proofErr w:type="spellStart"/>
      <w:r>
        <w:rPr>
          <w:rFonts w:eastAsia="PMingLiU"/>
        </w:rPr>
        <w:t>defence</w:t>
      </w:r>
      <w:proofErr w:type="spellEnd"/>
      <w:r>
        <w:rPr>
          <w:rFonts w:eastAsia="PMingLiU"/>
        </w:rPr>
        <w:t xml:space="preserve"> of Cheng only.</w:t>
      </w:r>
    </w:p>
    <w:p w:rsidR="00EF238A" w:rsidRDefault="00EF238A" w:rsidP="00EF238A">
      <w:pPr>
        <w:tabs>
          <w:tab w:val="clear" w:pos="4320"/>
          <w:tab w:val="clear" w:pos="9072"/>
        </w:tabs>
        <w:spacing w:line="360" w:lineRule="auto"/>
        <w:jc w:val="both"/>
        <w:rPr>
          <w:rFonts w:eastAsia="PMingLiU"/>
        </w:rPr>
      </w:pPr>
    </w:p>
    <w:p w:rsidR="00EF238A" w:rsidRPr="00FD3687" w:rsidRDefault="00EF238A" w:rsidP="00EF238A">
      <w:pPr>
        <w:numPr>
          <w:ilvl w:val="0"/>
          <w:numId w:val="34"/>
        </w:numPr>
        <w:tabs>
          <w:tab w:val="clear" w:pos="4320"/>
          <w:tab w:val="clear" w:pos="9072"/>
        </w:tabs>
        <w:spacing w:line="360" w:lineRule="auto"/>
        <w:ind w:left="0" w:firstLine="0"/>
        <w:jc w:val="both"/>
        <w:rPr>
          <w:rFonts w:eastAsia="PMingLiU"/>
        </w:rPr>
      </w:pPr>
      <w:r w:rsidRPr="00FD3687">
        <w:rPr>
          <w:rFonts w:eastAsia="PMingLiU"/>
        </w:rPr>
        <w:t>The Fund Board relied on both grounds in the PI Action, and only the Discretion Ground</w:t>
      </w:r>
      <w:r>
        <w:rPr>
          <w:rFonts w:eastAsia="PMingLiU"/>
        </w:rPr>
        <w:t xml:space="preserve"> in the EC Action</w:t>
      </w:r>
      <w:r w:rsidRPr="00FD3687">
        <w:rPr>
          <w:rFonts w:eastAsia="PMingLiU"/>
        </w:rPr>
        <w:t xml:space="preserve">. </w:t>
      </w:r>
    </w:p>
    <w:p w:rsidR="00EF238A" w:rsidRDefault="00EF238A" w:rsidP="00EF238A">
      <w:pPr>
        <w:tabs>
          <w:tab w:val="clear" w:pos="4320"/>
          <w:tab w:val="clear" w:pos="9072"/>
        </w:tabs>
        <w:spacing w:line="360" w:lineRule="auto"/>
        <w:jc w:val="both"/>
        <w:rPr>
          <w:rFonts w:eastAsia="PMingLiU"/>
        </w:rPr>
      </w:pPr>
    </w:p>
    <w:p w:rsidR="00EF238A" w:rsidRDefault="00EF238A" w:rsidP="00EF238A">
      <w:pPr>
        <w:tabs>
          <w:tab w:val="clear" w:pos="4320"/>
          <w:tab w:val="clear" w:pos="9072"/>
        </w:tabs>
        <w:spacing w:line="360" w:lineRule="auto"/>
        <w:jc w:val="both"/>
        <w:rPr>
          <w:rFonts w:eastAsia="PMingLiU"/>
          <w:i/>
        </w:rPr>
      </w:pPr>
      <w:r>
        <w:rPr>
          <w:rFonts w:eastAsia="PMingLiU"/>
          <w:i/>
        </w:rPr>
        <w:t>LEGAL PRINCIPLES ON GRANTING LEAVE TO APPEAL</w:t>
      </w:r>
    </w:p>
    <w:p w:rsidR="00EF238A" w:rsidRPr="00822BD4" w:rsidRDefault="00EF238A" w:rsidP="00EF238A">
      <w:pPr>
        <w:tabs>
          <w:tab w:val="clear" w:pos="4320"/>
          <w:tab w:val="clear" w:pos="9072"/>
        </w:tabs>
        <w:spacing w:line="360" w:lineRule="auto"/>
        <w:jc w:val="both"/>
        <w:rPr>
          <w:rFonts w:eastAsia="PMingLiU"/>
          <w:i/>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The legal principles on granting leave to appeal are well established and are not disputed by the parties.</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Under section </w:t>
      </w:r>
      <w:proofErr w:type="gramStart"/>
      <w:r>
        <w:rPr>
          <w:rFonts w:eastAsia="PMingLiU"/>
        </w:rPr>
        <w:t>63A(</w:t>
      </w:r>
      <w:proofErr w:type="gramEnd"/>
      <w:r>
        <w:rPr>
          <w:rFonts w:eastAsia="PMingLiU"/>
        </w:rPr>
        <w:t>2) of the District Court Ordinance, leave to appeal shall not be granted unless this Court is satisfied that the appeal has a reasonable prospect of success; or there is some other reason in the interests of justice why the appeal should be heard.</w:t>
      </w:r>
    </w:p>
    <w:p w:rsidR="00EF238A" w:rsidRDefault="00EF238A" w:rsidP="00EF238A">
      <w:pPr>
        <w:tabs>
          <w:tab w:val="clear" w:pos="4320"/>
          <w:tab w:val="clear" w:pos="9072"/>
        </w:tabs>
        <w:spacing w:line="360" w:lineRule="auto"/>
        <w:jc w:val="both"/>
        <w:rPr>
          <w:rFonts w:eastAsia="PMingLiU"/>
        </w:rPr>
      </w:pPr>
    </w:p>
    <w:p w:rsidR="00EF238A" w:rsidRPr="00A7455F" w:rsidRDefault="00EF238A" w:rsidP="00EF238A">
      <w:pPr>
        <w:numPr>
          <w:ilvl w:val="0"/>
          <w:numId w:val="34"/>
        </w:numPr>
        <w:tabs>
          <w:tab w:val="clear" w:pos="4320"/>
          <w:tab w:val="clear" w:pos="9072"/>
        </w:tabs>
        <w:spacing w:line="360" w:lineRule="auto"/>
        <w:ind w:left="0" w:firstLine="0"/>
        <w:jc w:val="both"/>
        <w:rPr>
          <w:rFonts w:eastAsia="PMingLiU"/>
        </w:rPr>
      </w:pPr>
      <w:r w:rsidRPr="00A7455F">
        <w:rPr>
          <w:rFonts w:eastAsia="PMingLiU"/>
        </w:rPr>
        <w:t xml:space="preserve">The test of “reasonable prospect of success” will be met if an applicant can show that there is more than just an arguable case, it is an appeal that has merits and ought to be heard.  The test of reasonable prospect of success involves the notion of reasonableness and therefore is more than ‘fanciful’, but does not have to be ‘probable’. (See: </w:t>
      </w:r>
      <w:r w:rsidRPr="00A7455F">
        <w:rPr>
          <w:rFonts w:eastAsia="PMingLiU"/>
          <w:i/>
        </w:rPr>
        <w:t xml:space="preserve">Wynn Resorts (Macau) SA v </w:t>
      </w:r>
      <w:proofErr w:type="spellStart"/>
      <w:r w:rsidRPr="00A7455F">
        <w:rPr>
          <w:rFonts w:eastAsia="PMingLiU"/>
          <w:i/>
        </w:rPr>
        <w:t>Mong</w:t>
      </w:r>
      <w:proofErr w:type="spellEnd"/>
      <w:r w:rsidRPr="00A7455F">
        <w:rPr>
          <w:rFonts w:eastAsia="PMingLiU"/>
          <w:i/>
        </w:rPr>
        <w:t xml:space="preserve"> Henry</w:t>
      </w:r>
      <w:r w:rsidRPr="00A7455F">
        <w:rPr>
          <w:rFonts w:eastAsia="PMingLiU"/>
        </w:rPr>
        <w:t xml:space="preserve"> [2009] 5 HKC 515, </w:t>
      </w:r>
      <w:r w:rsidRPr="00A7455F">
        <w:rPr>
          <w:rFonts w:eastAsia="PMingLiU"/>
          <w:i/>
        </w:rPr>
        <w:t xml:space="preserve">per </w:t>
      </w:r>
      <w:r w:rsidRPr="00A7455F">
        <w:rPr>
          <w:rFonts w:eastAsia="PMingLiU"/>
        </w:rPr>
        <w:t xml:space="preserve">Chu J (as she then was); </w:t>
      </w:r>
      <w:r w:rsidRPr="00A7455F">
        <w:rPr>
          <w:rFonts w:eastAsia="PMingLiU"/>
          <w:i/>
        </w:rPr>
        <w:t>Ma Bik Yung v Ko Chuen</w:t>
      </w:r>
      <w:r w:rsidR="00670B59">
        <w:rPr>
          <w:rFonts w:eastAsia="PMingLiU"/>
        </w:rPr>
        <w:t xml:space="preserve"> [2009] 3 HKC 359,</w:t>
      </w:r>
      <w:r w:rsidRPr="00A7455F">
        <w:rPr>
          <w:rFonts w:eastAsia="PMingLiU"/>
        </w:rPr>
        <w:t xml:space="preserve"> </w:t>
      </w:r>
      <w:r w:rsidRPr="00A7455F">
        <w:rPr>
          <w:rFonts w:eastAsia="PMingLiU"/>
          <w:i/>
        </w:rPr>
        <w:t>per</w:t>
      </w:r>
      <w:r w:rsidRPr="00A7455F">
        <w:rPr>
          <w:rFonts w:eastAsia="PMingLiU"/>
        </w:rPr>
        <w:t xml:space="preserve"> Leong JA; </w:t>
      </w:r>
      <w:r w:rsidRPr="00A7455F">
        <w:rPr>
          <w:rFonts w:eastAsia="PMingLiU"/>
          <w:i/>
        </w:rPr>
        <w:t>KNM v HTF</w:t>
      </w:r>
      <w:r w:rsidRPr="00A7455F">
        <w:rPr>
          <w:rFonts w:eastAsia="PMingLiU"/>
        </w:rPr>
        <w:t xml:space="preserve">, unreported, HCMP 288/2011, 7 September 2011, </w:t>
      </w:r>
      <w:r w:rsidRPr="00A7455F">
        <w:rPr>
          <w:rFonts w:eastAsia="PMingLiU"/>
          <w:i/>
        </w:rPr>
        <w:t>per</w:t>
      </w:r>
      <w:r w:rsidRPr="00A7455F">
        <w:rPr>
          <w:rFonts w:eastAsia="PMingLiU"/>
        </w:rPr>
        <w:t xml:space="preserve"> </w:t>
      </w:r>
      <w:proofErr w:type="spellStart"/>
      <w:r w:rsidRPr="00A7455F">
        <w:rPr>
          <w:rFonts w:eastAsia="PMingLiU"/>
        </w:rPr>
        <w:t>Fok</w:t>
      </w:r>
      <w:proofErr w:type="spellEnd"/>
      <w:r w:rsidRPr="00A7455F">
        <w:rPr>
          <w:rFonts w:eastAsia="PMingLiU"/>
        </w:rPr>
        <w:t xml:space="preserve"> JA </w:t>
      </w:r>
      <w:r w:rsidRPr="00A7455F">
        <w:rPr>
          <w:rFonts w:eastAsia="PMingLiU"/>
        </w:rPr>
        <w:lastRenderedPageBreak/>
        <w:t xml:space="preserve">(as he then was), </w:t>
      </w:r>
      <w:r w:rsidRPr="00A7455F">
        <w:rPr>
          <w:rFonts w:eastAsia="PMingLiU"/>
          <w:i/>
        </w:rPr>
        <w:t>Wing Tat Haberdashery Co Ltd v Elegance Development &amp; Industrial Co Ltd</w:t>
      </w:r>
      <w:r w:rsidRPr="00A7455F">
        <w:rPr>
          <w:rFonts w:eastAsia="PMingLiU"/>
        </w:rPr>
        <w:t xml:space="preserve"> [2011] 5 HKC 474 </w:t>
      </w:r>
      <w:r w:rsidRPr="00A7455F">
        <w:rPr>
          <w:rFonts w:eastAsia="PMingLiU"/>
          <w:i/>
        </w:rPr>
        <w:t>per</w:t>
      </w:r>
      <w:r w:rsidRPr="00A7455F">
        <w:rPr>
          <w:rFonts w:eastAsia="PMingLiU"/>
        </w:rPr>
        <w:t xml:space="preserve"> </w:t>
      </w:r>
      <w:proofErr w:type="spellStart"/>
      <w:r w:rsidRPr="00A7455F">
        <w:rPr>
          <w:rFonts w:eastAsia="PMingLiU"/>
        </w:rPr>
        <w:t>Fok</w:t>
      </w:r>
      <w:proofErr w:type="spellEnd"/>
      <w:r w:rsidRPr="00A7455F">
        <w:rPr>
          <w:rFonts w:eastAsia="PMingLiU"/>
        </w:rPr>
        <w:t xml:space="preserve"> JA (as he then was))</w:t>
      </w:r>
    </w:p>
    <w:p w:rsidR="00EF238A" w:rsidRDefault="00EF238A" w:rsidP="00EF238A">
      <w:pPr>
        <w:tabs>
          <w:tab w:val="clear" w:pos="4320"/>
          <w:tab w:val="clear" w:pos="9072"/>
        </w:tabs>
        <w:spacing w:line="360" w:lineRule="auto"/>
        <w:jc w:val="both"/>
        <w:rPr>
          <w:rFonts w:eastAsia="PMingLiU"/>
        </w:rPr>
      </w:pPr>
    </w:p>
    <w:p w:rsidR="00EF238A" w:rsidRDefault="006D6D41" w:rsidP="00EF238A">
      <w:pPr>
        <w:numPr>
          <w:ilvl w:val="0"/>
          <w:numId w:val="34"/>
        </w:numPr>
        <w:tabs>
          <w:tab w:val="clear" w:pos="4320"/>
          <w:tab w:val="clear" w:pos="9072"/>
        </w:tabs>
        <w:spacing w:line="360" w:lineRule="auto"/>
        <w:ind w:left="0" w:firstLine="0"/>
        <w:jc w:val="both"/>
        <w:rPr>
          <w:rFonts w:eastAsia="PMingLiU"/>
        </w:rPr>
      </w:pPr>
      <w:r>
        <w:rPr>
          <w:rFonts w:eastAsia="PMingLiU"/>
        </w:rPr>
        <w:t>The threshold for</w:t>
      </w:r>
      <w:r w:rsidR="00EF238A">
        <w:rPr>
          <w:rFonts w:eastAsia="PMingLiU"/>
        </w:rPr>
        <w:t xml:space="preserve"> granting leave to appeal against an exercise of discretion is higher, and was described by Mr Wong SC (appearing with </w:t>
      </w:r>
      <w:proofErr w:type="spellStart"/>
      <w:r w:rsidR="00EF238A">
        <w:rPr>
          <w:rFonts w:eastAsia="PMingLiU"/>
        </w:rPr>
        <w:t>Mr</w:t>
      </w:r>
      <w:proofErr w:type="spellEnd"/>
      <w:r w:rsidR="00EF238A">
        <w:rPr>
          <w:rFonts w:eastAsia="PMingLiU"/>
        </w:rPr>
        <w:t xml:space="preserve"> </w:t>
      </w:r>
      <w:proofErr w:type="spellStart"/>
      <w:r w:rsidR="00EF238A">
        <w:rPr>
          <w:rFonts w:eastAsia="PMingLiU"/>
        </w:rPr>
        <w:t>Phang</w:t>
      </w:r>
      <w:proofErr w:type="spellEnd"/>
      <w:r w:rsidR="00EF238A">
        <w:rPr>
          <w:rFonts w:eastAsia="PMingLiU"/>
        </w:rPr>
        <w:t xml:space="preserve">), </w:t>
      </w:r>
      <w:r w:rsidR="00480C81">
        <w:rPr>
          <w:rFonts w:hint="eastAsia"/>
        </w:rPr>
        <w:t>c</w:t>
      </w:r>
      <w:r w:rsidR="00EF238A">
        <w:rPr>
          <w:rFonts w:eastAsia="PMingLiU"/>
        </w:rPr>
        <w:t>ounsel for the Fund</w:t>
      </w:r>
      <w:r w:rsidR="00A7455F">
        <w:rPr>
          <w:rFonts w:eastAsia="PMingLiU"/>
        </w:rPr>
        <w:t xml:space="preserve"> Board, as “not easy to meet”. </w:t>
      </w:r>
    </w:p>
    <w:p w:rsidR="00EF238A" w:rsidRDefault="00EF238A" w:rsidP="00EF238A">
      <w:pPr>
        <w:tabs>
          <w:tab w:val="clear" w:pos="4320"/>
          <w:tab w:val="clear" w:pos="9072"/>
        </w:tabs>
        <w:spacing w:line="360" w:lineRule="auto"/>
        <w:jc w:val="both"/>
        <w:rPr>
          <w:rFonts w:eastAsia="PMingLiU"/>
        </w:rPr>
      </w:pPr>
    </w:p>
    <w:p w:rsidR="00EF238A" w:rsidRPr="00036FE3"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The award of costs is a matter of discretion for the trial judge.  An appellant court will not interfere with the exercise of discretion unless it was shown that the decision was plainly wrong, the judge has erred in law or in principle, or has taken into account matters which he should not have taken into account</w:t>
      </w:r>
      <w:r w:rsidR="00631857">
        <w:rPr>
          <w:rFonts w:eastAsia="PMingLiU"/>
        </w:rPr>
        <w:t>,</w:t>
      </w:r>
      <w:r>
        <w:rPr>
          <w:rFonts w:eastAsia="PMingLiU"/>
        </w:rPr>
        <w:t xml:space="preserve"> or has not taken into account matters which he should have taken into account. (See: </w:t>
      </w:r>
      <w:proofErr w:type="spellStart"/>
      <w:r w:rsidRPr="00A74000">
        <w:rPr>
          <w:rFonts w:eastAsia="PMingLiU"/>
          <w:i/>
        </w:rPr>
        <w:t>Lakhan</w:t>
      </w:r>
      <w:proofErr w:type="spellEnd"/>
      <w:r w:rsidRPr="00A74000">
        <w:rPr>
          <w:rFonts w:eastAsia="PMingLiU"/>
          <w:i/>
        </w:rPr>
        <w:t xml:space="preserve"> v Wu Wing Tat &amp; Anor</w:t>
      </w:r>
      <w:r>
        <w:rPr>
          <w:rFonts w:eastAsia="PMingLiU"/>
        </w:rPr>
        <w:t xml:space="preserve"> [1987] 3 HKC 54, 58-59, citing </w:t>
      </w:r>
      <w:proofErr w:type="spellStart"/>
      <w:r>
        <w:rPr>
          <w:rFonts w:eastAsia="PMingLiU"/>
          <w:i/>
        </w:rPr>
        <w:t>Alltrans</w:t>
      </w:r>
      <w:proofErr w:type="spellEnd"/>
      <w:r>
        <w:rPr>
          <w:rFonts w:eastAsia="PMingLiU"/>
          <w:i/>
        </w:rPr>
        <w:t xml:space="preserve"> Express v CVA Holdings</w:t>
      </w:r>
      <w:r>
        <w:rPr>
          <w:rFonts w:eastAsia="PMingLiU"/>
        </w:rPr>
        <w:t xml:space="preserve"> [1984] 1 WLR 394</w:t>
      </w:r>
      <w:r w:rsidR="00631857" w:rsidRPr="00036FE3">
        <w:rPr>
          <w:rFonts w:eastAsia="PMingLiU"/>
        </w:rPr>
        <w:t xml:space="preserve">; </w:t>
      </w:r>
      <w:r w:rsidR="00631857" w:rsidRPr="008D092F">
        <w:rPr>
          <w:rFonts w:eastAsia="PMingLiU"/>
          <w:i/>
        </w:rPr>
        <w:t>RK v YS</w:t>
      </w:r>
      <w:r w:rsidR="00631857" w:rsidRPr="008D092F">
        <w:rPr>
          <w:rFonts w:eastAsia="PMingLiU"/>
        </w:rPr>
        <w:t>, unreported, HCMP</w:t>
      </w:r>
      <w:r w:rsidR="00631857" w:rsidRPr="00036FE3">
        <w:rPr>
          <w:rFonts w:eastAsia="PMingLiU"/>
        </w:rPr>
        <w:t xml:space="preserve"> 1969/2012, 1 November 2012, CA</w:t>
      </w:r>
      <w:r>
        <w:rPr>
          <w:rFonts w:eastAsia="PMingLiU"/>
        </w:rPr>
        <w:t xml:space="preserve">)  It is not sufficient to merely show that </w:t>
      </w:r>
      <w:r w:rsidRPr="00036FE3">
        <w:rPr>
          <w:rFonts w:eastAsia="PMingLiU"/>
        </w:rPr>
        <w:t>the appellant court would prefer a solution which the judge had not chosen. (</w:t>
      </w:r>
      <w:r w:rsidRPr="000C7EDE">
        <w:rPr>
          <w:rFonts w:eastAsia="PMingLiU"/>
          <w:i/>
        </w:rPr>
        <w:t>Hong Kong Civil Procedure 2016</w:t>
      </w:r>
      <w:r w:rsidRPr="00036FE3">
        <w:rPr>
          <w:rFonts w:eastAsia="PMingLiU"/>
        </w:rPr>
        <w:t xml:space="preserve"> Vol 1 §59/2A/4)</w:t>
      </w:r>
    </w:p>
    <w:p w:rsidR="00EF238A" w:rsidRDefault="00EF238A" w:rsidP="00EF238A">
      <w:pPr>
        <w:tabs>
          <w:tab w:val="clear" w:pos="4320"/>
          <w:tab w:val="clear" w:pos="9072"/>
        </w:tabs>
        <w:spacing w:line="360" w:lineRule="auto"/>
        <w:jc w:val="both"/>
        <w:rPr>
          <w:rFonts w:eastAsia="PMingLiU"/>
        </w:rPr>
      </w:pPr>
    </w:p>
    <w:p w:rsidR="00EF238A" w:rsidRPr="00777887" w:rsidRDefault="00EF238A" w:rsidP="00EF238A">
      <w:pPr>
        <w:tabs>
          <w:tab w:val="clear" w:pos="4320"/>
          <w:tab w:val="clear" w:pos="9072"/>
        </w:tabs>
        <w:spacing w:line="360" w:lineRule="auto"/>
        <w:jc w:val="both"/>
        <w:rPr>
          <w:rFonts w:eastAsia="PMingLiU"/>
          <w:i/>
        </w:rPr>
      </w:pPr>
      <w:r w:rsidRPr="00777887">
        <w:rPr>
          <w:rFonts w:eastAsia="PMingLiU"/>
          <w:i/>
        </w:rPr>
        <w:t>JURISDICTIONAL GROUND</w:t>
      </w:r>
    </w:p>
    <w:p w:rsidR="00EF238A" w:rsidRPr="0008549C" w:rsidRDefault="00EF238A" w:rsidP="00EF238A">
      <w:pPr>
        <w:tabs>
          <w:tab w:val="clear" w:pos="4320"/>
          <w:tab w:val="clear" w:pos="9072"/>
        </w:tabs>
        <w:spacing w:line="360" w:lineRule="auto"/>
        <w:jc w:val="both"/>
        <w:rPr>
          <w:rFonts w:eastAsia="PMingLiU"/>
          <w:u w:val="single"/>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sidRPr="0075227A">
        <w:rPr>
          <w:rFonts w:eastAsia="PMingLiU"/>
        </w:rPr>
        <w:t>Th</w:t>
      </w:r>
      <w:r w:rsidR="00A62D12">
        <w:rPr>
          <w:rFonts w:eastAsia="PMingLiU"/>
        </w:rPr>
        <w:t>e</w:t>
      </w:r>
      <w:r w:rsidRPr="0075227A">
        <w:rPr>
          <w:rFonts w:eastAsia="PMingLiU"/>
        </w:rPr>
        <w:t xml:space="preserve"> </w:t>
      </w:r>
      <w:r>
        <w:rPr>
          <w:rFonts w:eastAsia="PMingLiU"/>
        </w:rPr>
        <w:t xml:space="preserve">proposed </w:t>
      </w:r>
      <w:r w:rsidRPr="0075227A">
        <w:rPr>
          <w:rFonts w:eastAsia="PMingLiU"/>
        </w:rPr>
        <w:t>ground of appeal</w:t>
      </w:r>
      <w:r w:rsidR="00A62D12">
        <w:rPr>
          <w:rFonts w:eastAsia="PMingLiU"/>
        </w:rPr>
        <w:t xml:space="preserve"> on jurisdiction</w:t>
      </w:r>
      <w:r w:rsidRPr="0075227A">
        <w:rPr>
          <w:rFonts w:eastAsia="PMingLiU"/>
        </w:rPr>
        <w:t xml:space="preserve"> only relate</w:t>
      </w:r>
      <w:r>
        <w:rPr>
          <w:rFonts w:eastAsia="PMingLiU"/>
        </w:rPr>
        <w:t>s</w:t>
      </w:r>
      <w:r w:rsidRPr="0075227A">
        <w:rPr>
          <w:rFonts w:eastAsia="PMingLiU"/>
        </w:rPr>
        <w:t xml:space="preserve"> to the PI Action. </w:t>
      </w:r>
      <w:r w:rsidR="000C7EDE">
        <w:rPr>
          <w:rFonts w:hint="eastAsia"/>
        </w:rPr>
        <w:t xml:space="preserve"> </w:t>
      </w:r>
      <w:r>
        <w:rPr>
          <w:rFonts w:eastAsia="PMingLiU"/>
        </w:rPr>
        <w:t>This is the first occasion when the Fund Board raised this jurisdictional challenge in the present proceedings.  This point has never been raised at trial or at the hearing on costs.</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sidRPr="0075227A">
        <w:rPr>
          <w:rFonts w:eastAsia="PMingLiU"/>
        </w:rPr>
        <w:t xml:space="preserve">The Fund Board’s major criticism was that this Court should not follow the comments of </w:t>
      </w:r>
      <w:proofErr w:type="spellStart"/>
      <w:r w:rsidRPr="0075227A">
        <w:rPr>
          <w:rFonts w:eastAsia="PMingLiU"/>
        </w:rPr>
        <w:t>Mr</w:t>
      </w:r>
      <w:proofErr w:type="spellEnd"/>
      <w:r w:rsidRPr="0075227A">
        <w:rPr>
          <w:rFonts w:eastAsia="PMingLiU"/>
        </w:rPr>
        <w:t xml:space="preserve"> Justice </w:t>
      </w:r>
      <w:proofErr w:type="spellStart"/>
      <w:r w:rsidRPr="0075227A">
        <w:rPr>
          <w:rFonts w:eastAsia="PMingLiU"/>
        </w:rPr>
        <w:t>Bharwaney</w:t>
      </w:r>
      <w:proofErr w:type="spellEnd"/>
      <w:r w:rsidRPr="0075227A">
        <w:rPr>
          <w:rFonts w:eastAsia="PMingLiU"/>
        </w:rPr>
        <w:t xml:space="preserve"> in </w:t>
      </w:r>
      <w:r w:rsidRPr="0075227A">
        <w:rPr>
          <w:rFonts w:eastAsia="PMingLiU"/>
          <w:i/>
        </w:rPr>
        <w:t xml:space="preserve">Kwan </w:t>
      </w:r>
      <w:proofErr w:type="spellStart"/>
      <w:r w:rsidRPr="0075227A">
        <w:rPr>
          <w:rFonts w:eastAsia="PMingLiU"/>
          <w:i/>
        </w:rPr>
        <w:t>Kam</w:t>
      </w:r>
      <w:proofErr w:type="spellEnd"/>
      <w:r w:rsidRPr="0075227A">
        <w:rPr>
          <w:rFonts w:eastAsia="PMingLiU"/>
          <w:i/>
        </w:rPr>
        <w:t xml:space="preserve"> </w:t>
      </w:r>
      <w:proofErr w:type="spellStart"/>
      <w:r w:rsidRPr="0075227A">
        <w:rPr>
          <w:rFonts w:eastAsia="PMingLiU"/>
          <w:i/>
        </w:rPr>
        <w:t>Pui</w:t>
      </w:r>
      <w:proofErr w:type="spellEnd"/>
      <w:r w:rsidRPr="0075227A">
        <w:rPr>
          <w:rFonts w:eastAsia="PMingLiU"/>
          <w:i/>
        </w:rPr>
        <w:t xml:space="preserve">, </w:t>
      </w:r>
      <w:r w:rsidRPr="0075227A">
        <w:rPr>
          <w:rFonts w:eastAsia="PMingLiU"/>
        </w:rPr>
        <w:lastRenderedPageBreak/>
        <w:t xml:space="preserve">which </w:t>
      </w:r>
      <w:r>
        <w:rPr>
          <w:rFonts w:eastAsia="PMingLiU"/>
        </w:rPr>
        <w:t>wa</w:t>
      </w:r>
      <w:r w:rsidRPr="0075227A">
        <w:rPr>
          <w:rFonts w:eastAsia="PMingLiU"/>
        </w:rPr>
        <w:t xml:space="preserve">s </w:t>
      </w:r>
      <w:r w:rsidRPr="0075227A">
        <w:rPr>
          <w:rFonts w:eastAsia="PMingLiU"/>
          <w:i/>
        </w:rPr>
        <w:t>obiter</w:t>
      </w:r>
      <w:r>
        <w:rPr>
          <w:rFonts w:eastAsia="PMingLiU"/>
          <w:i/>
        </w:rPr>
        <w:t xml:space="preserve"> dicta</w:t>
      </w:r>
      <w:r>
        <w:rPr>
          <w:rFonts w:eastAsia="PMingLiU"/>
        </w:rPr>
        <w:t xml:space="preserve">, and that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rPr>
        <w:t xml:space="preserve"> was wrongly decided</w:t>
      </w:r>
      <w:r w:rsidRPr="0075227A">
        <w:rPr>
          <w:rFonts w:eastAsia="PMingLiU"/>
        </w:rPr>
        <w:t xml:space="preserve">. </w:t>
      </w:r>
      <w:r w:rsidR="000C7EDE">
        <w:rPr>
          <w:rFonts w:hint="eastAsia"/>
        </w:rPr>
        <w:t xml:space="preserve"> </w:t>
      </w:r>
      <w:r w:rsidRPr="0075227A">
        <w:rPr>
          <w:rFonts w:eastAsia="PMingLiU"/>
        </w:rPr>
        <w:t xml:space="preserve">The Fund Board submitted that the effect of section </w:t>
      </w:r>
      <w:proofErr w:type="gramStart"/>
      <w:r w:rsidRPr="0075227A">
        <w:rPr>
          <w:rFonts w:eastAsia="PMingLiU"/>
        </w:rPr>
        <w:t>20B(</w:t>
      </w:r>
      <w:proofErr w:type="gramEnd"/>
      <w:r w:rsidRPr="0075227A">
        <w:rPr>
          <w:rFonts w:eastAsia="PMingLiU"/>
        </w:rPr>
        <w:t xml:space="preserve">3) of </w:t>
      </w:r>
      <w:r>
        <w:rPr>
          <w:rFonts w:eastAsia="PMingLiU"/>
        </w:rPr>
        <w:t xml:space="preserve">ECAO </w:t>
      </w:r>
      <w:r w:rsidRPr="0075227A">
        <w:rPr>
          <w:rFonts w:eastAsia="PMingLiU"/>
        </w:rPr>
        <w:t xml:space="preserve">is that the Court does not have jurisdiction to order costs against the Fund Board in the PI Action.  </w:t>
      </w:r>
    </w:p>
    <w:p w:rsidR="00EF238A" w:rsidRPr="0075227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Section </w:t>
      </w:r>
      <w:proofErr w:type="gramStart"/>
      <w:r>
        <w:rPr>
          <w:rFonts w:eastAsia="PMingLiU"/>
        </w:rPr>
        <w:t>20B(</w:t>
      </w:r>
      <w:proofErr w:type="gramEnd"/>
      <w:r>
        <w:rPr>
          <w:rFonts w:eastAsia="PMingLiU"/>
        </w:rPr>
        <w:t xml:space="preserve">3) of ECAO defines the meaning of “relief payment” that an eligible person may apply to the Fund Board under section 20A for compensation in a claim for common law damages. </w:t>
      </w:r>
      <w:r w:rsidR="000C7EDE">
        <w:rPr>
          <w:rFonts w:hint="eastAsia"/>
        </w:rPr>
        <w:t xml:space="preserve"> </w:t>
      </w:r>
      <w:r>
        <w:rPr>
          <w:rFonts w:eastAsia="PMingLiU"/>
        </w:rPr>
        <w:t xml:space="preserve">Interest and costs were excluded from the definition of “relief payment”. </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Mr Wong SC for the Fund Board argued that taking into account the history of ECAO, the amendments thereto in 2002, the specific provisions in section </w:t>
      </w:r>
      <w:proofErr w:type="gramStart"/>
      <w:r>
        <w:rPr>
          <w:rFonts w:eastAsia="PMingLiU"/>
        </w:rPr>
        <w:t>20B(</w:t>
      </w:r>
      <w:proofErr w:type="gramEnd"/>
      <w:r>
        <w:rPr>
          <w:rFonts w:eastAsia="PMingLiU"/>
        </w:rPr>
        <w:t>3) of ECAO as well as the legislative intent to encourage the Fund Board to intervene in proceedings, the ECAO ought to be interpreted as having the effect of insulating the Fund Board from any adverse costs order in an employee’s claim for common law damages.  The Court thus</w:t>
      </w:r>
      <w:r w:rsidR="00A62D12">
        <w:rPr>
          <w:rFonts w:eastAsia="PMingLiU"/>
        </w:rPr>
        <w:t>, he contended,</w:t>
      </w:r>
      <w:r>
        <w:rPr>
          <w:rFonts w:eastAsia="PMingLiU"/>
        </w:rPr>
        <w:t xml:space="preserve"> has no jurisdiction to order costs against the Fund Board in </w:t>
      </w:r>
      <w:r w:rsidR="006D6D41">
        <w:rPr>
          <w:rFonts w:eastAsia="PMingLiU"/>
        </w:rPr>
        <w:t>a</w:t>
      </w:r>
      <w:r>
        <w:rPr>
          <w:rFonts w:eastAsia="PMingLiU"/>
        </w:rPr>
        <w:t xml:space="preserve"> common law claim when the Fund Board chose to join in as a party under section 25A of ECAO.  This, however, does not affect the Fund Board’s right to have costs awarded </w:t>
      </w:r>
      <w:r w:rsidR="00E26968">
        <w:rPr>
          <w:rFonts w:eastAsia="PMingLiU"/>
        </w:rPr>
        <w:t xml:space="preserve">in </w:t>
      </w:r>
      <w:proofErr w:type="spellStart"/>
      <w:r w:rsidR="00E26968">
        <w:rPr>
          <w:rFonts w:eastAsia="PMingLiU"/>
        </w:rPr>
        <w:t>favour</w:t>
      </w:r>
      <w:proofErr w:type="spellEnd"/>
      <w:r w:rsidR="00E26968">
        <w:rPr>
          <w:rFonts w:eastAsia="PMingLiU"/>
        </w:rPr>
        <w:t xml:space="preserve"> of </w:t>
      </w:r>
      <w:r>
        <w:rPr>
          <w:rFonts w:eastAsia="PMingLiU"/>
        </w:rPr>
        <w:t>it if the Fund Board intervenes or be sued under section</w:t>
      </w:r>
      <w:r w:rsidR="00CC55CD">
        <w:rPr>
          <w:rFonts w:eastAsia="PMingLiU"/>
        </w:rPr>
        <w:t>s</w:t>
      </w:r>
      <w:r>
        <w:rPr>
          <w:rFonts w:eastAsia="PMingLiU"/>
        </w:rPr>
        <w:t xml:space="preserve"> 25 and 25A of ECAO.</w:t>
      </w:r>
    </w:p>
    <w:p w:rsidR="00EF238A" w:rsidRDefault="00EF238A" w:rsidP="00EF238A">
      <w:pPr>
        <w:tabs>
          <w:tab w:val="clear" w:pos="4320"/>
          <w:tab w:val="clear" w:pos="9072"/>
        </w:tabs>
        <w:spacing w:line="360" w:lineRule="auto"/>
        <w:jc w:val="both"/>
      </w:pPr>
    </w:p>
    <w:p w:rsidR="00EF238A" w:rsidRDefault="00EF238A" w:rsidP="00EF238A">
      <w:pPr>
        <w:tabs>
          <w:tab w:val="clear" w:pos="4320"/>
          <w:tab w:val="clear" w:pos="9072"/>
        </w:tabs>
        <w:spacing w:line="360" w:lineRule="auto"/>
        <w:jc w:val="both"/>
        <w:rPr>
          <w:rFonts w:eastAsia="PMingLiU"/>
          <w:i/>
        </w:rPr>
      </w:pPr>
      <w:r>
        <w:rPr>
          <w:rFonts w:eastAsia="PMingLiU"/>
          <w:i/>
        </w:rPr>
        <w:t>Reasonable prospect of success</w:t>
      </w:r>
    </w:p>
    <w:p w:rsidR="00EF238A" w:rsidRPr="005410DE" w:rsidRDefault="00EF238A" w:rsidP="00EF238A">
      <w:pPr>
        <w:tabs>
          <w:tab w:val="clear" w:pos="4320"/>
          <w:tab w:val="clear" w:pos="9072"/>
        </w:tabs>
        <w:spacing w:line="360" w:lineRule="auto"/>
        <w:jc w:val="both"/>
        <w:rPr>
          <w:rFonts w:eastAsia="PMingLiU"/>
          <w:i/>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Mr Wong SC accepted that </w:t>
      </w:r>
      <w:r w:rsidR="006D6D41">
        <w:rPr>
          <w:rFonts w:eastAsia="PMingLiU"/>
        </w:rPr>
        <w:t xml:space="preserve">his arguments on this proposed ground </w:t>
      </w:r>
      <w:r>
        <w:rPr>
          <w:rFonts w:eastAsia="PMingLiU"/>
        </w:rPr>
        <w:t xml:space="preserve">was a rehash of the arguments made at the hearing before </w:t>
      </w:r>
      <w:proofErr w:type="spellStart"/>
      <w:r>
        <w:rPr>
          <w:rFonts w:eastAsia="PMingLiU"/>
        </w:rPr>
        <w:t>Mr</w:t>
      </w:r>
      <w:proofErr w:type="spellEnd"/>
      <w:r>
        <w:rPr>
          <w:rFonts w:eastAsia="PMingLiU"/>
        </w:rPr>
        <w:t xml:space="preserve"> Justice </w:t>
      </w:r>
      <w:proofErr w:type="spellStart"/>
      <w:r>
        <w:rPr>
          <w:rFonts w:eastAsia="PMingLiU"/>
        </w:rPr>
        <w:t>Bharwaney</w:t>
      </w:r>
      <w:proofErr w:type="spellEnd"/>
      <w:r>
        <w:rPr>
          <w:rFonts w:eastAsia="PMingLiU"/>
        </w:rPr>
        <w:t xml:space="preserve"> in </w:t>
      </w:r>
      <w:r w:rsidRPr="007D5746">
        <w:rPr>
          <w:rFonts w:eastAsia="PMingLiU"/>
          <w:i/>
        </w:rPr>
        <w:t xml:space="preserve">Kwan </w:t>
      </w:r>
      <w:proofErr w:type="spellStart"/>
      <w:r w:rsidRPr="007D5746">
        <w:rPr>
          <w:rFonts w:eastAsia="PMingLiU"/>
          <w:i/>
        </w:rPr>
        <w:t>Kam</w:t>
      </w:r>
      <w:proofErr w:type="spellEnd"/>
      <w:r w:rsidRPr="007D5746">
        <w:rPr>
          <w:rFonts w:eastAsia="PMingLiU"/>
          <w:i/>
        </w:rPr>
        <w:t xml:space="preserve"> </w:t>
      </w:r>
      <w:proofErr w:type="spellStart"/>
      <w:r w:rsidRPr="007D5746">
        <w:rPr>
          <w:rFonts w:eastAsia="PMingLiU"/>
          <w:i/>
        </w:rPr>
        <w:t>Pui</w:t>
      </w:r>
      <w:proofErr w:type="spellEnd"/>
      <w:r>
        <w:rPr>
          <w:rStyle w:val="FootnoteReference"/>
          <w:rFonts w:eastAsia="PMingLiU"/>
          <w:i/>
        </w:rPr>
        <w:footnoteReference w:id="5"/>
      </w:r>
      <w:r>
        <w:rPr>
          <w:rFonts w:eastAsia="PMingLiU"/>
        </w:rPr>
        <w:t xml:space="preserve">.  In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rPr>
        <w:t xml:space="preserve">, </w:t>
      </w:r>
      <w:proofErr w:type="spellStart"/>
      <w:r>
        <w:rPr>
          <w:rFonts w:eastAsia="PMingLiU"/>
        </w:rPr>
        <w:t>Mr</w:t>
      </w:r>
      <w:proofErr w:type="spellEnd"/>
      <w:r>
        <w:rPr>
          <w:rFonts w:eastAsia="PMingLiU"/>
        </w:rPr>
        <w:t xml:space="preserve"> Justice </w:t>
      </w:r>
      <w:proofErr w:type="spellStart"/>
      <w:r>
        <w:rPr>
          <w:rFonts w:eastAsia="PMingLiU"/>
        </w:rPr>
        <w:lastRenderedPageBreak/>
        <w:t>Bharwaney</w:t>
      </w:r>
      <w:proofErr w:type="spellEnd"/>
      <w:r>
        <w:rPr>
          <w:rFonts w:eastAsia="PMingLiU"/>
        </w:rPr>
        <w:t xml:space="preserve"> has enunciated his rejection of these arguments with detailed reasons</w:t>
      </w:r>
      <w:r>
        <w:rPr>
          <w:rStyle w:val="FootnoteReference"/>
          <w:rFonts w:eastAsia="PMingLiU"/>
        </w:rPr>
        <w:footnoteReference w:id="6"/>
      </w:r>
      <w:r>
        <w:rPr>
          <w:rFonts w:eastAsia="PMingLiU"/>
        </w:rPr>
        <w:t xml:space="preserve">.  </w:t>
      </w:r>
    </w:p>
    <w:p w:rsidR="00EF238A" w:rsidRDefault="00EF238A" w:rsidP="00EF238A">
      <w:pPr>
        <w:tabs>
          <w:tab w:val="clear" w:pos="4320"/>
          <w:tab w:val="clear" w:pos="9072"/>
        </w:tabs>
        <w:spacing w:line="360" w:lineRule="auto"/>
        <w:jc w:val="both"/>
        <w:rPr>
          <w:rFonts w:eastAsia="PMingLiU"/>
        </w:rPr>
      </w:pPr>
    </w:p>
    <w:p w:rsidR="00EF238A" w:rsidRDefault="00ED2C5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In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sidRPr="00ED2C5A">
        <w:rPr>
          <w:rFonts w:eastAsia="PMingLiU"/>
          <w:i/>
        </w:rPr>
        <w:t>Pui</w:t>
      </w:r>
      <w:proofErr w:type="spellEnd"/>
      <w:r>
        <w:rPr>
          <w:rFonts w:eastAsia="PMingLiU"/>
        </w:rPr>
        <w:t>, t</w:t>
      </w:r>
      <w:r w:rsidR="00EF238A" w:rsidRPr="00ED2C5A">
        <w:rPr>
          <w:rFonts w:eastAsia="PMingLiU"/>
        </w:rPr>
        <w:t>he</w:t>
      </w:r>
      <w:r w:rsidR="00EF238A">
        <w:rPr>
          <w:rFonts w:eastAsia="PMingLiU"/>
        </w:rPr>
        <w:t xml:space="preserve"> Learned Judge has considered</w:t>
      </w:r>
      <w:r w:rsidR="00842846">
        <w:rPr>
          <w:rFonts w:eastAsia="PMingLiU"/>
        </w:rPr>
        <w:t xml:space="preserve">, </w:t>
      </w:r>
      <w:r w:rsidR="00842846">
        <w:rPr>
          <w:rFonts w:eastAsia="PMingLiU"/>
          <w:i/>
        </w:rPr>
        <w:t>inter alia</w:t>
      </w:r>
      <w:r w:rsidR="00842846">
        <w:rPr>
          <w:rFonts w:eastAsia="PMingLiU"/>
        </w:rPr>
        <w:t>,</w:t>
      </w:r>
      <w:r>
        <w:rPr>
          <w:rFonts w:eastAsia="PMingLiU"/>
        </w:rPr>
        <w:t xml:space="preserve"> the history of E</w:t>
      </w:r>
      <w:r w:rsidR="00EF238A">
        <w:rPr>
          <w:rFonts w:eastAsia="PMingLiU"/>
        </w:rPr>
        <w:t>C</w:t>
      </w:r>
      <w:r>
        <w:rPr>
          <w:rFonts w:eastAsia="PMingLiU"/>
        </w:rPr>
        <w:t>A</w:t>
      </w:r>
      <w:r w:rsidR="00EF238A">
        <w:rPr>
          <w:rFonts w:eastAsia="PMingLiU"/>
        </w:rPr>
        <w:t>O</w:t>
      </w:r>
      <w:r w:rsidR="008733C3">
        <w:rPr>
          <w:rFonts w:eastAsia="PMingLiU"/>
        </w:rPr>
        <w:t>,</w:t>
      </w:r>
      <w:r w:rsidR="00EF238A">
        <w:rPr>
          <w:rFonts w:eastAsia="PMingLiU"/>
        </w:rPr>
        <w:t xml:space="preserve"> the circumstances leading to the amendments in 2002, </w:t>
      </w:r>
      <w:r w:rsidR="00842846">
        <w:rPr>
          <w:rFonts w:eastAsia="PMingLiU"/>
        </w:rPr>
        <w:t>the proper construction of section</w:t>
      </w:r>
      <w:r w:rsidR="00AF69EA">
        <w:rPr>
          <w:rFonts w:eastAsia="PMingLiU"/>
        </w:rPr>
        <w:t>s</w:t>
      </w:r>
      <w:r w:rsidR="00842846">
        <w:rPr>
          <w:rFonts w:eastAsia="PMingLiU"/>
        </w:rPr>
        <w:t xml:space="preserve"> 20A and 20B in regard to relief payment, </w:t>
      </w:r>
      <w:r w:rsidR="00EF238A">
        <w:rPr>
          <w:rFonts w:eastAsia="PMingLiU"/>
        </w:rPr>
        <w:t>the proper construction of section 25A which specif</w:t>
      </w:r>
      <w:r w:rsidR="00AF69EA">
        <w:rPr>
          <w:rFonts w:eastAsia="PMingLiU"/>
        </w:rPr>
        <w:t>ies</w:t>
      </w:r>
      <w:r w:rsidR="00EF238A">
        <w:rPr>
          <w:rFonts w:eastAsia="PMingLiU"/>
        </w:rPr>
        <w:t xml:space="preserve"> that the Fund Board was to join in as a party in accordance with Order 15 rule 6 of the Rules of High Court or District Court</w:t>
      </w:r>
      <w:r w:rsidR="00842846">
        <w:rPr>
          <w:rFonts w:eastAsia="PMingLiU"/>
        </w:rPr>
        <w:t xml:space="preserve">, </w:t>
      </w:r>
      <w:r w:rsidR="00AF69EA">
        <w:rPr>
          <w:rFonts w:eastAsia="PMingLiU"/>
        </w:rPr>
        <w:t>as well as</w:t>
      </w:r>
      <w:r w:rsidR="00842846">
        <w:rPr>
          <w:rFonts w:eastAsia="PMingLiU"/>
        </w:rPr>
        <w:t xml:space="preserve"> the different role of the Fund Board when considering an application for relief payment (which was quasi-judicial) and when joining in as a party (which was adversarial)</w:t>
      </w:r>
      <w:r w:rsidR="00EF238A">
        <w:rPr>
          <w:rFonts w:eastAsia="PMingLiU"/>
        </w:rPr>
        <w:t xml:space="preserve">.  The Learned Judge came to the view that the reference to intervention </w:t>
      </w:r>
      <w:r w:rsidR="006D6D41">
        <w:rPr>
          <w:rFonts w:eastAsia="PMingLiU"/>
        </w:rPr>
        <w:t xml:space="preserve">being governed by </w:t>
      </w:r>
      <w:r w:rsidR="00EF238A">
        <w:rPr>
          <w:rFonts w:eastAsia="PMingLiU"/>
        </w:rPr>
        <w:t xml:space="preserve">Order 15 rule 6 reinforces the conclusion that section 25A does not seek to curtail the power of the </w:t>
      </w:r>
      <w:r w:rsidR="00427893">
        <w:rPr>
          <w:rFonts w:hint="eastAsia"/>
        </w:rPr>
        <w:t>C</w:t>
      </w:r>
      <w:r w:rsidR="00EF238A">
        <w:rPr>
          <w:rFonts w:eastAsia="PMingLiU"/>
        </w:rPr>
        <w:t xml:space="preserve">ourt in the conduct of the proceedings and </w:t>
      </w:r>
      <w:r w:rsidR="00842846">
        <w:rPr>
          <w:rFonts w:eastAsia="PMingLiU"/>
        </w:rPr>
        <w:t>the</w:t>
      </w:r>
      <w:r w:rsidR="00EF238A">
        <w:rPr>
          <w:rFonts w:eastAsia="PMingLiU"/>
        </w:rPr>
        <w:t xml:space="preserve"> discretion to award costs.  In the context of considering section</w:t>
      </w:r>
      <w:r w:rsidR="00480C81">
        <w:rPr>
          <w:rFonts w:eastAsia="PMingLiU"/>
        </w:rPr>
        <w:t> </w:t>
      </w:r>
      <w:r w:rsidR="00EF238A">
        <w:rPr>
          <w:rFonts w:eastAsia="PMingLiU"/>
        </w:rPr>
        <w:t>29 of ECAO</w:t>
      </w:r>
      <w:r w:rsidR="006242C4">
        <w:rPr>
          <w:rStyle w:val="FootnoteReference"/>
          <w:rFonts w:eastAsia="PMingLiU"/>
        </w:rPr>
        <w:footnoteReference w:id="7"/>
      </w:r>
      <w:r w:rsidR="00EF238A">
        <w:rPr>
          <w:rFonts w:eastAsia="PMingLiU"/>
        </w:rPr>
        <w:t xml:space="preserve">, the Learned Judge commented that it would be an incongruous state of affairs if the Fund Board could take advantage of a section in the ECAO and </w:t>
      </w:r>
      <w:r w:rsidR="006242C4">
        <w:rPr>
          <w:rFonts w:eastAsia="PMingLiU"/>
        </w:rPr>
        <w:t xml:space="preserve">could </w:t>
      </w:r>
      <w:r w:rsidR="00EF238A">
        <w:rPr>
          <w:rFonts w:eastAsia="PMingLiU"/>
        </w:rPr>
        <w:t xml:space="preserve">obtain costs in its </w:t>
      </w:r>
      <w:proofErr w:type="spellStart"/>
      <w:r w:rsidR="00EF238A">
        <w:rPr>
          <w:rFonts w:eastAsia="PMingLiU"/>
        </w:rPr>
        <w:t>favour</w:t>
      </w:r>
      <w:proofErr w:type="spellEnd"/>
      <w:r w:rsidR="006242C4">
        <w:rPr>
          <w:rFonts w:eastAsia="PMingLiU"/>
        </w:rPr>
        <w:t xml:space="preserve"> by making a written without prejudice save as to costs settlement offer</w:t>
      </w:r>
      <w:r w:rsidR="00EF238A">
        <w:rPr>
          <w:rFonts w:eastAsia="PMingLiU"/>
        </w:rPr>
        <w:t>, but</w:t>
      </w:r>
      <w:r w:rsidR="006242C4">
        <w:rPr>
          <w:rFonts w:eastAsia="PMingLiU"/>
        </w:rPr>
        <w:t xml:space="preserve"> was</w:t>
      </w:r>
      <w:r w:rsidR="00EF238A">
        <w:rPr>
          <w:rFonts w:eastAsia="PMingLiU"/>
        </w:rPr>
        <w:t xml:space="preserve"> not liable to pay any costs if the </w:t>
      </w:r>
      <w:r w:rsidR="00C961A5">
        <w:rPr>
          <w:rFonts w:eastAsia="PMingLiU"/>
        </w:rPr>
        <w:t xml:space="preserve">plaintiff </w:t>
      </w:r>
      <w:r w:rsidR="00EF238A">
        <w:rPr>
          <w:rFonts w:eastAsia="PMingLiU"/>
        </w:rPr>
        <w:t>succeed</w:t>
      </w:r>
      <w:r w:rsidR="006242C4">
        <w:rPr>
          <w:rFonts w:eastAsia="PMingLiU"/>
        </w:rPr>
        <w:t>ed</w:t>
      </w:r>
      <w:r w:rsidR="00EF238A">
        <w:rPr>
          <w:rFonts w:eastAsia="PMingLiU"/>
        </w:rPr>
        <w:t xml:space="preserve"> in obtaining a </w:t>
      </w:r>
      <w:r w:rsidR="00CC55CD">
        <w:rPr>
          <w:rFonts w:eastAsia="PMingLiU"/>
        </w:rPr>
        <w:t xml:space="preserve">judgment </w:t>
      </w:r>
      <w:r w:rsidR="006242C4">
        <w:rPr>
          <w:rFonts w:eastAsia="PMingLiU"/>
        </w:rPr>
        <w:t>sum higher than the written offer</w:t>
      </w:r>
      <w:r w:rsidR="00EF238A">
        <w:rPr>
          <w:rFonts w:eastAsia="PMingLiU"/>
        </w:rPr>
        <w:t>.</w:t>
      </w:r>
    </w:p>
    <w:p w:rsidR="00AF5AF0" w:rsidRPr="00AF5AF0" w:rsidRDefault="00AF5AF0" w:rsidP="00EF238A">
      <w:pPr>
        <w:tabs>
          <w:tab w:val="clear" w:pos="4320"/>
          <w:tab w:val="clear" w:pos="9072"/>
        </w:tabs>
        <w:spacing w:line="360" w:lineRule="auto"/>
        <w:jc w:val="both"/>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The Learned Judge came to the conclusion that the statutory provisions in ECAO did not fetter the Court’s wide discretion in the award </w:t>
      </w:r>
      <w:r>
        <w:rPr>
          <w:rFonts w:eastAsia="PMingLiU"/>
        </w:rPr>
        <w:lastRenderedPageBreak/>
        <w:t xml:space="preserve">of costs, including </w:t>
      </w:r>
      <w:r w:rsidR="00C80573">
        <w:rPr>
          <w:rFonts w:eastAsia="PMingLiU"/>
        </w:rPr>
        <w:t xml:space="preserve">the </w:t>
      </w:r>
      <w:r>
        <w:rPr>
          <w:rFonts w:eastAsia="PMingLiU"/>
        </w:rPr>
        <w:t>award</w:t>
      </w:r>
      <w:r w:rsidR="00C80573">
        <w:rPr>
          <w:rFonts w:eastAsia="PMingLiU"/>
        </w:rPr>
        <w:t xml:space="preserve"> of</w:t>
      </w:r>
      <w:r>
        <w:rPr>
          <w:rFonts w:eastAsia="PMingLiU"/>
        </w:rPr>
        <w:t xml:space="preserve"> costs against the Fund Board when it chose to join in as a party in a common law claim. </w:t>
      </w:r>
    </w:p>
    <w:p w:rsidR="00EF238A" w:rsidRDefault="00EF238A" w:rsidP="00EF238A">
      <w:pPr>
        <w:tabs>
          <w:tab w:val="clear" w:pos="4320"/>
          <w:tab w:val="clear" w:pos="9072"/>
        </w:tabs>
        <w:spacing w:line="360" w:lineRule="auto"/>
        <w:jc w:val="both"/>
        <w:rPr>
          <w:rFonts w:eastAsia="PMingLiU"/>
        </w:rPr>
      </w:pPr>
    </w:p>
    <w:p w:rsidR="00EF238A" w:rsidRPr="00006787"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Mr Chan, counsel for Jiang, argued that the Fund Board’s construction of ECAO was not proper nor reasonable and could not be the intention of the Legislature. </w:t>
      </w:r>
      <w:r w:rsidR="00480C81">
        <w:rPr>
          <w:rFonts w:hint="eastAsia"/>
        </w:rPr>
        <w:t xml:space="preserve"> </w:t>
      </w:r>
      <w:r>
        <w:rPr>
          <w:rFonts w:eastAsia="PMingLiU"/>
        </w:rPr>
        <w:t>In the context of Order 15 rule 6</w:t>
      </w:r>
      <w:r w:rsidR="00D5371E">
        <w:rPr>
          <w:rFonts w:eastAsia="PMingLiU"/>
        </w:rPr>
        <w:t xml:space="preserve">, Mr Chan referred to </w:t>
      </w:r>
      <w:r>
        <w:rPr>
          <w:rFonts w:eastAsia="PMingLiU"/>
          <w:i/>
        </w:rPr>
        <w:t>Wong Chun Leong Tony v Ada Ltd</w:t>
      </w:r>
      <w:r>
        <w:rPr>
          <w:rFonts w:eastAsia="PMingLiU"/>
        </w:rPr>
        <w:t xml:space="preserve"> [1991] 1 HKC 86</w:t>
      </w:r>
      <w:r w:rsidR="00D5371E">
        <w:rPr>
          <w:rFonts w:eastAsia="PMingLiU"/>
        </w:rPr>
        <w:t xml:space="preserve"> in which the Court of Appeal has held that</w:t>
      </w:r>
      <w:r>
        <w:rPr>
          <w:rFonts w:eastAsia="PMingLiU"/>
        </w:rPr>
        <w:t xml:space="preserve"> it </w:t>
      </w:r>
      <w:r w:rsidR="00D5371E">
        <w:rPr>
          <w:rFonts w:eastAsia="PMingLiU"/>
        </w:rPr>
        <w:t xml:space="preserve">could not be right </w:t>
      </w:r>
      <w:r>
        <w:rPr>
          <w:rFonts w:eastAsia="PMingLiU"/>
        </w:rPr>
        <w:t xml:space="preserve">for the </w:t>
      </w:r>
      <w:r w:rsidR="00427893">
        <w:rPr>
          <w:rFonts w:hint="eastAsia"/>
        </w:rPr>
        <w:t>C</w:t>
      </w:r>
      <w:r>
        <w:rPr>
          <w:rFonts w:eastAsia="PMingLiU"/>
        </w:rPr>
        <w:t>ourt when ordering a party to be joined under Order 15 rule 6 of the then Rules of Supreme Court</w:t>
      </w:r>
      <w:r w:rsidR="00D5371E">
        <w:rPr>
          <w:rFonts w:eastAsia="PMingLiU"/>
        </w:rPr>
        <w:t>,</w:t>
      </w:r>
      <w:r>
        <w:rPr>
          <w:rFonts w:eastAsia="PMingLiU"/>
        </w:rPr>
        <w:t xml:space="preserve"> to order preemptively </w:t>
      </w:r>
      <w:r w:rsidR="00D5371E">
        <w:rPr>
          <w:rFonts w:eastAsia="PMingLiU"/>
        </w:rPr>
        <w:t xml:space="preserve">at the same time </w:t>
      </w:r>
      <w:r>
        <w:rPr>
          <w:rFonts w:eastAsia="PMingLiU"/>
        </w:rPr>
        <w:t xml:space="preserve">that the newly joined party would be precluded from asking costs in any proceedings in the action.  </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The </w:t>
      </w:r>
      <w:r w:rsidRPr="004B4A2B">
        <w:rPr>
          <w:rFonts w:eastAsia="PMingLiU"/>
        </w:rPr>
        <w:t xml:space="preserve">same jurisdictional arguments were made </w:t>
      </w:r>
      <w:r>
        <w:rPr>
          <w:rFonts w:eastAsia="PMingLiU"/>
        </w:rPr>
        <w:t xml:space="preserve">by the Fund Board (not represented by Mr Wong SC) </w:t>
      </w:r>
      <w:r w:rsidRPr="004B4A2B">
        <w:rPr>
          <w:rFonts w:eastAsia="PMingLiU"/>
        </w:rPr>
        <w:t xml:space="preserve">before Madam Justice </w:t>
      </w:r>
      <w:proofErr w:type="spellStart"/>
      <w:r w:rsidRPr="004B4A2B">
        <w:rPr>
          <w:rFonts w:eastAsia="PMingLiU"/>
        </w:rPr>
        <w:t>Bebe</w:t>
      </w:r>
      <w:proofErr w:type="spellEnd"/>
      <w:r w:rsidRPr="004B4A2B">
        <w:rPr>
          <w:rFonts w:eastAsia="PMingLiU"/>
        </w:rPr>
        <w:t xml:space="preserve"> Chu in </w:t>
      </w:r>
      <w:proofErr w:type="spellStart"/>
      <w:r w:rsidRPr="004B4A2B">
        <w:rPr>
          <w:rFonts w:eastAsia="PMingLiU"/>
          <w:i/>
        </w:rPr>
        <w:t>Chak</w:t>
      </w:r>
      <w:proofErr w:type="spellEnd"/>
      <w:r w:rsidRPr="004B4A2B">
        <w:rPr>
          <w:rFonts w:eastAsia="PMingLiU"/>
          <w:i/>
        </w:rPr>
        <w:t xml:space="preserve"> King </w:t>
      </w:r>
      <w:proofErr w:type="spellStart"/>
      <w:r w:rsidRPr="004B4A2B">
        <w:rPr>
          <w:rFonts w:eastAsia="PMingLiU"/>
          <w:i/>
        </w:rPr>
        <w:t>Por</w:t>
      </w:r>
      <w:proofErr w:type="spellEnd"/>
      <w:r w:rsidRPr="004B4A2B">
        <w:rPr>
          <w:rFonts w:eastAsia="PMingLiU"/>
          <w:i/>
        </w:rPr>
        <w:t xml:space="preserve"> v Wong Chun Fai</w:t>
      </w:r>
      <w:r w:rsidRPr="004B4A2B">
        <w:rPr>
          <w:rFonts w:eastAsia="PMingLiU"/>
        </w:rPr>
        <w:t xml:space="preserve"> [2016] 2 HKLRD 1076</w:t>
      </w:r>
      <w:r>
        <w:rPr>
          <w:rFonts w:eastAsia="PMingLiU"/>
        </w:rPr>
        <w:t xml:space="preserve">. </w:t>
      </w:r>
      <w:r w:rsidR="00480C81">
        <w:rPr>
          <w:rFonts w:hint="eastAsia"/>
        </w:rPr>
        <w:t xml:space="preserve"> </w:t>
      </w:r>
      <w:r w:rsidRPr="004B4A2B">
        <w:rPr>
          <w:rFonts w:eastAsia="PMingLiU"/>
        </w:rPr>
        <w:t xml:space="preserve">Madam Justice </w:t>
      </w:r>
      <w:proofErr w:type="spellStart"/>
      <w:r w:rsidRPr="004B4A2B">
        <w:rPr>
          <w:rFonts w:eastAsia="PMingLiU"/>
        </w:rPr>
        <w:t>Bebe</w:t>
      </w:r>
      <w:proofErr w:type="spellEnd"/>
      <w:r w:rsidRPr="004B4A2B">
        <w:rPr>
          <w:rFonts w:eastAsia="PMingLiU"/>
        </w:rPr>
        <w:t xml:space="preserve"> Chu </w:t>
      </w:r>
      <w:r>
        <w:rPr>
          <w:rFonts w:eastAsia="PMingLiU"/>
        </w:rPr>
        <w:t xml:space="preserve">considered the arguments independently, </w:t>
      </w:r>
      <w:r w:rsidRPr="004B4A2B">
        <w:rPr>
          <w:rFonts w:eastAsia="PMingLiU"/>
        </w:rPr>
        <w:t xml:space="preserve">came to the same conclusion reached by </w:t>
      </w:r>
      <w:proofErr w:type="spellStart"/>
      <w:r w:rsidRPr="004B4A2B">
        <w:rPr>
          <w:rFonts w:eastAsia="PMingLiU"/>
        </w:rPr>
        <w:t>Mr</w:t>
      </w:r>
      <w:proofErr w:type="spellEnd"/>
      <w:r w:rsidRPr="004B4A2B">
        <w:rPr>
          <w:rFonts w:eastAsia="PMingLiU"/>
        </w:rPr>
        <w:t xml:space="preserve"> Justice </w:t>
      </w:r>
      <w:proofErr w:type="spellStart"/>
      <w:r w:rsidRPr="004B4A2B">
        <w:rPr>
          <w:rFonts w:eastAsia="PMingLiU"/>
        </w:rPr>
        <w:t>Bharwaney</w:t>
      </w:r>
      <w:proofErr w:type="spellEnd"/>
      <w:r w:rsidRPr="004B4A2B">
        <w:rPr>
          <w:rFonts w:eastAsia="PMingLiU"/>
        </w:rPr>
        <w:t xml:space="preserve">, </w:t>
      </w:r>
      <w:r>
        <w:rPr>
          <w:rFonts w:eastAsia="PMingLiU"/>
        </w:rPr>
        <w:t>and held</w:t>
      </w:r>
      <w:r w:rsidRPr="004B4A2B">
        <w:rPr>
          <w:rFonts w:eastAsia="PMingLiU"/>
        </w:rPr>
        <w:t xml:space="preserve"> that the ECAO does not immune the Fund Board from any adverse costs order.</w:t>
      </w:r>
      <w:r w:rsidR="00480C81">
        <w:rPr>
          <w:rFonts w:hint="eastAsia"/>
        </w:rPr>
        <w:t xml:space="preserve"> </w:t>
      </w:r>
      <w:r w:rsidR="00C80573">
        <w:t>The Fund Board has confirmed (through</w:t>
      </w:r>
      <w:r w:rsidR="00480C81">
        <w:rPr>
          <w:rFonts w:hint="eastAsia"/>
        </w:rPr>
        <w:t xml:space="preserve"> </w:t>
      </w:r>
      <w:r w:rsidR="00C80573">
        <w:t xml:space="preserve">Mr Wong SC) </w:t>
      </w:r>
      <w:r w:rsidRPr="004B4A2B">
        <w:rPr>
          <w:rFonts w:eastAsia="PMingLiU"/>
        </w:rPr>
        <w:t xml:space="preserve">that </w:t>
      </w:r>
      <w:r w:rsidR="00C80573">
        <w:rPr>
          <w:rFonts w:eastAsia="PMingLiU"/>
        </w:rPr>
        <w:t xml:space="preserve">there was no appeal </w:t>
      </w:r>
      <w:r>
        <w:rPr>
          <w:rFonts w:eastAsia="PMingLiU"/>
        </w:rPr>
        <w:t xml:space="preserve">against Madam Justice </w:t>
      </w:r>
      <w:proofErr w:type="spellStart"/>
      <w:r>
        <w:rPr>
          <w:rFonts w:eastAsia="PMingLiU"/>
        </w:rPr>
        <w:t>Bebe</w:t>
      </w:r>
      <w:proofErr w:type="spellEnd"/>
      <w:r>
        <w:rPr>
          <w:rFonts w:eastAsia="PMingLiU"/>
        </w:rPr>
        <w:t xml:space="preserve"> Chu’s decision in</w:t>
      </w:r>
      <w:r w:rsidRPr="004B4A2B">
        <w:rPr>
          <w:rFonts w:eastAsia="PMingLiU"/>
        </w:rPr>
        <w:t xml:space="preserve"> </w:t>
      </w:r>
      <w:proofErr w:type="spellStart"/>
      <w:r w:rsidRPr="004B4A2B">
        <w:rPr>
          <w:rFonts w:eastAsia="PMingLiU"/>
          <w:i/>
        </w:rPr>
        <w:t>Chak</w:t>
      </w:r>
      <w:proofErr w:type="spellEnd"/>
      <w:r w:rsidRPr="004B4A2B">
        <w:rPr>
          <w:rFonts w:eastAsia="PMingLiU"/>
          <w:i/>
        </w:rPr>
        <w:t xml:space="preserve"> King Por</w:t>
      </w:r>
      <w:r w:rsidRPr="004B4A2B">
        <w:rPr>
          <w:rFonts w:eastAsia="PMingLiU"/>
        </w:rPr>
        <w:t>.</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Although the decision of </w:t>
      </w:r>
      <w:proofErr w:type="spellStart"/>
      <w:r>
        <w:rPr>
          <w:rFonts w:eastAsia="PMingLiU"/>
          <w:i/>
        </w:rPr>
        <w:t>Chak</w:t>
      </w:r>
      <w:proofErr w:type="spellEnd"/>
      <w:r>
        <w:rPr>
          <w:rFonts w:eastAsia="PMingLiU"/>
          <w:i/>
        </w:rPr>
        <w:t xml:space="preserve"> King </w:t>
      </w:r>
      <w:proofErr w:type="spellStart"/>
      <w:r>
        <w:rPr>
          <w:rFonts w:eastAsia="PMingLiU"/>
          <w:i/>
        </w:rPr>
        <w:t>Por</w:t>
      </w:r>
      <w:proofErr w:type="spellEnd"/>
      <w:r>
        <w:rPr>
          <w:rFonts w:eastAsia="PMingLiU"/>
        </w:rPr>
        <w:t xml:space="preserve"> was handed down one day after this Court’s decision on costs, it was not disputed that the legal proposition</w:t>
      </w:r>
      <w:r w:rsidR="00D5371E">
        <w:rPr>
          <w:rFonts w:eastAsia="PMingLiU"/>
        </w:rPr>
        <w:t>s</w:t>
      </w:r>
      <w:r>
        <w:rPr>
          <w:rFonts w:eastAsia="PMingLiU"/>
        </w:rPr>
        <w:t xml:space="preserve"> held therei</w:t>
      </w:r>
      <w:r w:rsidR="00D5371E">
        <w:rPr>
          <w:rFonts w:eastAsia="PMingLiU"/>
        </w:rPr>
        <w:t>n are</w:t>
      </w:r>
      <w:r>
        <w:rPr>
          <w:rFonts w:eastAsia="PMingLiU"/>
        </w:rPr>
        <w:t xml:space="preserve"> binding on this Court.</w:t>
      </w:r>
    </w:p>
    <w:p w:rsidR="00EF238A" w:rsidRDefault="00EF238A" w:rsidP="00EF238A">
      <w:pPr>
        <w:tabs>
          <w:tab w:val="clear" w:pos="4320"/>
          <w:tab w:val="clear" w:pos="9072"/>
        </w:tabs>
        <w:spacing w:line="360" w:lineRule="auto"/>
        <w:jc w:val="both"/>
        <w:rPr>
          <w:rFonts w:eastAsia="PMingLiU"/>
        </w:rPr>
      </w:pPr>
    </w:p>
    <w:p w:rsidR="00EF238A" w:rsidRPr="000A1EC5" w:rsidRDefault="00EF238A" w:rsidP="00EF238A">
      <w:pPr>
        <w:numPr>
          <w:ilvl w:val="0"/>
          <w:numId w:val="34"/>
        </w:numPr>
        <w:tabs>
          <w:tab w:val="clear" w:pos="4320"/>
          <w:tab w:val="clear" w:pos="9072"/>
        </w:tabs>
        <w:spacing w:line="360" w:lineRule="auto"/>
        <w:ind w:left="0" w:firstLine="0"/>
        <w:jc w:val="both"/>
        <w:rPr>
          <w:rFonts w:eastAsia="PMingLiU"/>
        </w:rPr>
      </w:pPr>
      <w:r w:rsidRPr="00465AF1">
        <w:rPr>
          <w:rFonts w:eastAsia="PMingLiU"/>
        </w:rPr>
        <w:t xml:space="preserve">In </w:t>
      </w:r>
      <w:r w:rsidRPr="00465AF1">
        <w:rPr>
          <w:rFonts w:eastAsia="PMingLiU"/>
          <w:i/>
        </w:rPr>
        <w:t>Hussain Kamran v Khan Amar and Anor</w:t>
      </w:r>
      <w:r w:rsidRPr="00465AF1">
        <w:rPr>
          <w:rFonts w:eastAsia="PMingLiU"/>
        </w:rPr>
        <w:t>, unreported, HCPI 95</w:t>
      </w:r>
      <w:r>
        <w:rPr>
          <w:rFonts w:eastAsia="PMingLiU"/>
        </w:rPr>
        <w:t>3/2012, 13 November 2014,</w:t>
      </w:r>
      <w:r w:rsidRPr="00465AF1">
        <w:rPr>
          <w:rFonts w:eastAsia="PMingLiU"/>
        </w:rPr>
        <w:t xml:space="preserve"> Master Chow of the Court of First </w:t>
      </w:r>
      <w:r w:rsidRPr="00465AF1">
        <w:rPr>
          <w:rFonts w:eastAsia="PMingLiU"/>
        </w:rPr>
        <w:lastRenderedPageBreak/>
        <w:t xml:space="preserve">Instance agreed with </w:t>
      </w:r>
      <w:proofErr w:type="spellStart"/>
      <w:r w:rsidRPr="00465AF1">
        <w:rPr>
          <w:rFonts w:eastAsia="PMingLiU"/>
        </w:rPr>
        <w:t>Mr</w:t>
      </w:r>
      <w:proofErr w:type="spellEnd"/>
      <w:r w:rsidRPr="00465AF1">
        <w:rPr>
          <w:rFonts w:eastAsia="PMingLiU"/>
        </w:rPr>
        <w:t xml:space="preserve"> Justice </w:t>
      </w:r>
      <w:proofErr w:type="spellStart"/>
      <w:r w:rsidRPr="00465AF1">
        <w:rPr>
          <w:rFonts w:eastAsia="PMingLiU"/>
        </w:rPr>
        <w:t>Bharwaney</w:t>
      </w:r>
      <w:proofErr w:type="spellEnd"/>
      <w:r w:rsidRPr="00465AF1">
        <w:rPr>
          <w:rFonts w:eastAsia="PMingLiU"/>
        </w:rPr>
        <w:t xml:space="preserve"> on the point of jurisdiction but she refused to exercise her discretion in ordering costs against the Fund Board.  The plaintiff</w:t>
      </w:r>
      <w:r>
        <w:rPr>
          <w:rFonts w:eastAsia="PMingLiU"/>
        </w:rPr>
        <w:t xml:space="preserve"> appealed against Master Chow</w:t>
      </w:r>
      <w:r w:rsidRPr="00465AF1">
        <w:rPr>
          <w:rFonts w:eastAsia="PMingLiU"/>
        </w:rPr>
        <w:t>’s</w:t>
      </w:r>
      <w:r>
        <w:rPr>
          <w:rFonts w:eastAsia="PMingLiU"/>
        </w:rPr>
        <w:t xml:space="preserve"> exercise of discretion on costs.  The Fund Board did not take out any respondent notice to raise </w:t>
      </w:r>
      <w:r w:rsidR="00D5371E">
        <w:rPr>
          <w:rFonts w:eastAsia="PMingLiU"/>
        </w:rPr>
        <w:t>a</w:t>
      </w:r>
      <w:r>
        <w:rPr>
          <w:rFonts w:eastAsia="PMingLiU"/>
        </w:rPr>
        <w:t xml:space="preserve"> challenge on the jurisdictional issue.  The Court of Appeal</w:t>
      </w:r>
      <w:r>
        <w:rPr>
          <w:rStyle w:val="FootnoteReference"/>
          <w:rFonts w:eastAsia="PMingLiU"/>
        </w:rPr>
        <w:footnoteReference w:id="8"/>
      </w:r>
      <w:r>
        <w:rPr>
          <w:rFonts w:eastAsia="PMingLiU"/>
        </w:rPr>
        <w:t xml:space="preserve"> allowed the plaintiff’s appeal </w:t>
      </w:r>
      <w:r w:rsidR="00D5371E">
        <w:rPr>
          <w:rFonts w:eastAsia="PMingLiU"/>
        </w:rPr>
        <w:t>against</w:t>
      </w:r>
      <w:r w:rsidRPr="00465AF1">
        <w:rPr>
          <w:rFonts w:eastAsia="PMingLiU"/>
        </w:rPr>
        <w:t xml:space="preserve"> Master Chow’s exercise of discretion</w:t>
      </w:r>
      <w:r>
        <w:rPr>
          <w:rFonts w:eastAsia="PMingLiU"/>
        </w:rPr>
        <w:t>, and awarded costs against the Fund Board.</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In th</w:t>
      </w:r>
      <w:r w:rsidR="00C324D7">
        <w:rPr>
          <w:rFonts w:eastAsia="PMingLiU"/>
        </w:rPr>
        <w:t>e present</w:t>
      </w:r>
      <w:r>
        <w:rPr>
          <w:rFonts w:eastAsia="PMingLiU"/>
        </w:rPr>
        <w:t xml:space="preserve"> application, Mr Wong SC submitted that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rPr>
        <w:t xml:space="preserve"> was wrongly decided</w:t>
      </w:r>
      <w:r w:rsidR="00D5371E">
        <w:rPr>
          <w:rFonts w:eastAsia="PMingLiU"/>
        </w:rPr>
        <w:t>, and explained that th</w:t>
      </w:r>
      <w:r>
        <w:rPr>
          <w:rFonts w:eastAsia="PMingLiU"/>
        </w:rPr>
        <w:t xml:space="preserve">e Fund Board </w:t>
      </w:r>
      <w:r w:rsidR="00C324D7">
        <w:rPr>
          <w:rFonts w:eastAsia="PMingLiU"/>
        </w:rPr>
        <w:t xml:space="preserve">has not lodged an </w:t>
      </w:r>
      <w:r>
        <w:rPr>
          <w:rFonts w:eastAsia="PMingLiU"/>
        </w:rPr>
        <w:t xml:space="preserve">appeal in that case as the result was in </w:t>
      </w:r>
      <w:proofErr w:type="spellStart"/>
      <w:r>
        <w:rPr>
          <w:rFonts w:eastAsia="PMingLiU"/>
        </w:rPr>
        <w:t>favour</w:t>
      </w:r>
      <w:proofErr w:type="spellEnd"/>
      <w:r>
        <w:rPr>
          <w:rFonts w:eastAsia="PMingLiU"/>
        </w:rPr>
        <w:t xml:space="preserve"> of the Fund Board.</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The Fund Board also contended that this Court has failed to give any or sufficient regard that </w:t>
      </w:r>
      <w:proofErr w:type="spellStart"/>
      <w:r>
        <w:rPr>
          <w:rFonts w:eastAsia="PMingLiU"/>
        </w:rPr>
        <w:t>Mr</w:t>
      </w:r>
      <w:proofErr w:type="spellEnd"/>
      <w:r>
        <w:rPr>
          <w:rFonts w:eastAsia="PMingLiU"/>
        </w:rPr>
        <w:t xml:space="preserve"> Justice </w:t>
      </w:r>
      <w:proofErr w:type="spellStart"/>
      <w:r>
        <w:rPr>
          <w:rFonts w:eastAsia="PMingLiU"/>
        </w:rPr>
        <w:t>Bharwaney’s</w:t>
      </w:r>
      <w:proofErr w:type="spellEnd"/>
      <w:r>
        <w:rPr>
          <w:rFonts w:eastAsia="PMingLiU"/>
        </w:rPr>
        <w:t xml:space="preserve"> comments in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i/>
        </w:rPr>
        <w:t xml:space="preserve"> </w:t>
      </w:r>
      <w:r>
        <w:rPr>
          <w:rFonts w:eastAsia="PMingLiU"/>
        </w:rPr>
        <w:t xml:space="preserve">were </w:t>
      </w:r>
      <w:r>
        <w:rPr>
          <w:rFonts w:eastAsia="PMingLiU"/>
          <w:i/>
        </w:rPr>
        <w:t>obiter,</w:t>
      </w:r>
      <w:r>
        <w:rPr>
          <w:rFonts w:eastAsia="PMingLiU"/>
        </w:rPr>
        <w:t xml:space="preserve"> and </w:t>
      </w:r>
      <w:r w:rsidR="00D5371E">
        <w:rPr>
          <w:rFonts w:eastAsia="PMingLiU"/>
        </w:rPr>
        <w:t>was</w:t>
      </w:r>
      <w:r>
        <w:rPr>
          <w:rFonts w:eastAsia="PMingLiU"/>
        </w:rPr>
        <w:t xml:space="preserve"> not binding on this Court.  It is clear from the judgment in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rPr>
        <w:t xml:space="preserve"> that the comments were </w:t>
      </w:r>
      <w:r>
        <w:rPr>
          <w:rFonts w:eastAsia="PMingLiU"/>
          <w:i/>
        </w:rPr>
        <w:t>obiter</w:t>
      </w:r>
      <w:r>
        <w:rPr>
          <w:rFonts w:eastAsia="PMingLiU"/>
        </w:rPr>
        <w:t xml:space="preserve">.  This </w:t>
      </w:r>
      <w:r w:rsidR="00313B6A">
        <w:rPr>
          <w:rFonts w:hint="eastAsia"/>
        </w:rPr>
        <w:t>C</w:t>
      </w:r>
      <w:r>
        <w:rPr>
          <w:rFonts w:eastAsia="PMingLiU"/>
        </w:rPr>
        <w:t xml:space="preserve">ourt has not lost sight of this fact when making the costs order.  These comments from the High Court Judge, albeit </w:t>
      </w:r>
      <w:r>
        <w:rPr>
          <w:rFonts w:eastAsia="PMingLiU"/>
          <w:i/>
        </w:rPr>
        <w:t>obiter</w:t>
      </w:r>
      <w:r>
        <w:rPr>
          <w:rFonts w:eastAsia="PMingLiU"/>
        </w:rPr>
        <w:t xml:space="preserve">, was highly persuasive.  In any event, after the decision of </w:t>
      </w:r>
      <w:proofErr w:type="spellStart"/>
      <w:r>
        <w:rPr>
          <w:rFonts w:eastAsia="PMingLiU"/>
          <w:i/>
        </w:rPr>
        <w:t>Chak</w:t>
      </w:r>
      <w:proofErr w:type="spellEnd"/>
      <w:r>
        <w:rPr>
          <w:rFonts w:eastAsia="PMingLiU"/>
          <w:i/>
        </w:rPr>
        <w:t xml:space="preserve"> King </w:t>
      </w:r>
      <w:proofErr w:type="spellStart"/>
      <w:r>
        <w:rPr>
          <w:rFonts w:eastAsia="PMingLiU"/>
          <w:i/>
        </w:rPr>
        <w:t>Por</w:t>
      </w:r>
      <w:proofErr w:type="spellEnd"/>
      <w:r>
        <w:rPr>
          <w:rFonts w:eastAsia="PMingLiU"/>
        </w:rPr>
        <w:t>, the proposition was binding on this Court.</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I have carefully considered the Fund Board’s arguments on the Jurisdictional Ground, not only from the </w:t>
      </w:r>
      <w:r w:rsidR="007C7BE9">
        <w:rPr>
          <w:rFonts w:eastAsia="PMingLiU"/>
        </w:rPr>
        <w:t>perspective</w:t>
      </w:r>
      <w:r>
        <w:rPr>
          <w:rFonts w:eastAsia="PMingLiU"/>
        </w:rPr>
        <w:t xml:space="preserve"> of </w:t>
      </w:r>
      <w:r w:rsidRPr="00A91749">
        <w:rPr>
          <w:rFonts w:eastAsia="PMingLiU"/>
          <w:i/>
        </w:rPr>
        <w:t>stare decisis</w:t>
      </w:r>
      <w:r w:rsidR="00390E30">
        <w:rPr>
          <w:rFonts w:eastAsia="PMingLiU"/>
          <w:i/>
        </w:rPr>
        <w:t xml:space="preserve"> </w:t>
      </w:r>
      <w:r w:rsidR="00390E30">
        <w:rPr>
          <w:rFonts w:eastAsia="PMingLiU"/>
        </w:rPr>
        <w:t>principle</w:t>
      </w:r>
      <w:r>
        <w:rPr>
          <w:rFonts w:eastAsia="PMingLiU"/>
          <w:i/>
        </w:rPr>
        <w:t>,</w:t>
      </w:r>
      <w:r>
        <w:rPr>
          <w:rFonts w:eastAsia="PMingLiU"/>
        </w:rPr>
        <w:t xml:space="preserve"> but</w:t>
      </w:r>
      <w:r w:rsidR="007C7BE9">
        <w:rPr>
          <w:rFonts w:eastAsia="PMingLiU"/>
        </w:rPr>
        <w:t xml:space="preserve"> also independently free from</w:t>
      </w:r>
      <w:r>
        <w:rPr>
          <w:rFonts w:eastAsia="PMingLiU"/>
        </w:rPr>
        <w:t xml:space="preserve"> any </w:t>
      </w:r>
      <w:r w:rsidRPr="00A91749">
        <w:rPr>
          <w:rFonts w:eastAsia="PMingLiU"/>
          <w:i/>
        </w:rPr>
        <w:t>stare decisis</w:t>
      </w:r>
      <w:r>
        <w:rPr>
          <w:rFonts w:eastAsia="PMingLiU"/>
        </w:rPr>
        <w:t xml:space="preserve"> consideration</w:t>
      </w:r>
      <w:r w:rsidR="00C80573">
        <w:rPr>
          <w:rFonts w:eastAsia="PMingLiU"/>
        </w:rPr>
        <w:t>.</w:t>
      </w:r>
      <w:r>
        <w:rPr>
          <w:rFonts w:eastAsia="PMingLiU"/>
        </w:rPr>
        <w:t xml:space="preserve"> I agree with </w:t>
      </w:r>
      <w:proofErr w:type="spellStart"/>
      <w:r>
        <w:rPr>
          <w:rFonts w:eastAsia="PMingLiU"/>
        </w:rPr>
        <w:t>Mr</w:t>
      </w:r>
      <w:proofErr w:type="spellEnd"/>
      <w:r>
        <w:rPr>
          <w:rFonts w:eastAsia="PMingLiU"/>
        </w:rPr>
        <w:t xml:space="preserve"> Justice </w:t>
      </w:r>
      <w:proofErr w:type="spellStart"/>
      <w:r>
        <w:rPr>
          <w:rFonts w:eastAsia="PMingLiU"/>
        </w:rPr>
        <w:t>Bharwaney</w:t>
      </w:r>
      <w:proofErr w:type="spellEnd"/>
      <w:r>
        <w:rPr>
          <w:rFonts w:eastAsia="PMingLiU"/>
        </w:rPr>
        <w:t xml:space="preserve"> in </w:t>
      </w:r>
      <w:r w:rsidRPr="00A91749">
        <w:rPr>
          <w:rFonts w:eastAsia="PMingLiU"/>
          <w:i/>
        </w:rPr>
        <w:t xml:space="preserve">Kwan </w:t>
      </w:r>
      <w:proofErr w:type="spellStart"/>
      <w:r w:rsidRPr="00A91749">
        <w:rPr>
          <w:rFonts w:eastAsia="PMingLiU"/>
          <w:i/>
        </w:rPr>
        <w:t>Kam</w:t>
      </w:r>
      <w:proofErr w:type="spellEnd"/>
      <w:r>
        <w:rPr>
          <w:rFonts w:eastAsia="PMingLiU"/>
        </w:rPr>
        <w:t xml:space="preserve"> </w:t>
      </w:r>
      <w:proofErr w:type="spellStart"/>
      <w:r w:rsidRPr="00A91749">
        <w:rPr>
          <w:rFonts w:eastAsia="PMingLiU"/>
          <w:i/>
        </w:rPr>
        <w:t>Pui</w:t>
      </w:r>
      <w:proofErr w:type="spellEnd"/>
      <w:r w:rsidRPr="00A91749">
        <w:rPr>
          <w:rFonts w:eastAsia="PMingLiU"/>
          <w:i/>
        </w:rPr>
        <w:t xml:space="preserve"> </w:t>
      </w:r>
      <w:r>
        <w:rPr>
          <w:rFonts w:eastAsia="PMingLiU"/>
        </w:rPr>
        <w:t xml:space="preserve">(albeit </w:t>
      </w:r>
      <w:r>
        <w:rPr>
          <w:rFonts w:eastAsia="PMingLiU"/>
          <w:i/>
        </w:rPr>
        <w:t>obiter</w:t>
      </w:r>
      <w:r w:rsidRPr="00523F5A">
        <w:rPr>
          <w:rFonts w:eastAsia="PMingLiU"/>
        </w:rPr>
        <w:t>)</w:t>
      </w:r>
      <w:r>
        <w:rPr>
          <w:rFonts w:eastAsia="PMingLiU"/>
          <w:i/>
        </w:rPr>
        <w:t xml:space="preserve"> </w:t>
      </w:r>
      <w:r>
        <w:rPr>
          <w:rFonts w:eastAsia="PMingLiU"/>
        </w:rPr>
        <w:t xml:space="preserve">that the ECAO does not fetter the </w:t>
      </w:r>
      <w:r w:rsidR="00427893">
        <w:rPr>
          <w:rFonts w:hint="eastAsia"/>
        </w:rPr>
        <w:t>C</w:t>
      </w:r>
      <w:r>
        <w:rPr>
          <w:rFonts w:eastAsia="PMingLiU"/>
        </w:rPr>
        <w:t>ourt’s jurisdiction and discretion to award costs against the Fund Board in a common law claim</w:t>
      </w:r>
      <w:r w:rsidR="00C80573">
        <w:rPr>
          <w:rFonts w:eastAsia="PMingLiU"/>
        </w:rPr>
        <w:t>,</w:t>
      </w:r>
      <w:r>
        <w:rPr>
          <w:rFonts w:eastAsia="PMingLiU"/>
        </w:rPr>
        <w:t xml:space="preserve"> and </w:t>
      </w:r>
      <w:r w:rsidR="00D5371E">
        <w:rPr>
          <w:rFonts w:eastAsia="PMingLiU"/>
        </w:rPr>
        <w:t>his</w:t>
      </w:r>
      <w:r>
        <w:rPr>
          <w:rFonts w:eastAsia="PMingLiU"/>
        </w:rPr>
        <w:t xml:space="preserve"> reasons for</w:t>
      </w:r>
      <w:r w:rsidR="00D5371E">
        <w:rPr>
          <w:rFonts w:eastAsia="PMingLiU"/>
        </w:rPr>
        <w:t xml:space="preserve"> it</w:t>
      </w:r>
      <w:r>
        <w:rPr>
          <w:rFonts w:eastAsia="PMingLiU"/>
        </w:rPr>
        <w:t xml:space="preserve">.  </w:t>
      </w:r>
      <w:r>
        <w:rPr>
          <w:rFonts w:eastAsia="PMingLiU"/>
        </w:rPr>
        <w:lastRenderedPageBreak/>
        <w:t>In particular,</w:t>
      </w:r>
      <w:r w:rsidR="00D5371E">
        <w:rPr>
          <w:rFonts w:eastAsia="PMingLiU"/>
        </w:rPr>
        <w:t xml:space="preserve"> it is of note that section </w:t>
      </w:r>
      <w:proofErr w:type="gramStart"/>
      <w:r w:rsidR="00D5371E">
        <w:rPr>
          <w:rFonts w:eastAsia="PMingLiU"/>
        </w:rPr>
        <w:t>20B(</w:t>
      </w:r>
      <w:proofErr w:type="gramEnd"/>
      <w:r w:rsidR="00D5371E">
        <w:rPr>
          <w:rFonts w:eastAsia="PMingLiU"/>
        </w:rPr>
        <w:t>3) which excludes the recovery of</w:t>
      </w:r>
      <w:r>
        <w:rPr>
          <w:rFonts w:eastAsia="PMingLiU"/>
        </w:rPr>
        <w:t xml:space="preserve"> costs from </w:t>
      </w:r>
      <w:r w:rsidR="00A443DE">
        <w:rPr>
          <w:rFonts w:eastAsia="PMingLiU"/>
        </w:rPr>
        <w:t xml:space="preserve">the Fund Board was in regard </w:t>
      </w:r>
      <w:r>
        <w:rPr>
          <w:rFonts w:eastAsia="PMingLiU"/>
        </w:rPr>
        <w:t xml:space="preserve">to </w:t>
      </w:r>
      <w:r w:rsidR="00A443DE">
        <w:rPr>
          <w:rFonts w:eastAsia="PMingLiU"/>
        </w:rPr>
        <w:t>an</w:t>
      </w:r>
      <w:r w:rsidR="00D5371E">
        <w:rPr>
          <w:rFonts w:eastAsia="PMingLiU"/>
        </w:rPr>
        <w:t xml:space="preserve"> application for a</w:t>
      </w:r>
      <w:r>
        <w:rPr>
          <w:rFonts w:eastAsia="PMingLiU"/>
        </w:rPr>
        <w:t xml:space="preserve"> relief payment under section 20A.  Intervention by the Fund Board as a party was governed by section 25A in which it was expressly provided to be </w:t>
      </w:r>
      <w:r w:rsidR="002305AB">
        <w:rPr>
          <w:rFonts w:eastAsia="PMingLiU"/>
        </w:rPr>
        <w:t>governed by</w:t>
      </w:r>
      <w:r>
        <w:rPr>
          <w:rFonts w:eastAsia="PMingLiU"/>
        </w:rPr>
        <w:t xml:space="preserve"> Order 15 rule 6 of Rules o</w:t>
      </w:r>
      <w:r w:rsidR="002305AB">
        <w:rPr>
          <w:rFonts w:eastAsia="PMingLiU"/>
        </w:rPr>
        <w:t>f High Court or District Court.  There was no express provision in section 25A to the effect that the Court’s power to award costs against the Fund Board was curtailed.</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I am not satisfied that a reasonable prospect of success was shown on this proposed ground of appeal.</w:t>
      </w:r>
    </w:p>
    <w:p w:rsidR="00EF238A" w:rsidRDefault="00EF238A" w:rsidP="00EF238A">
      <w:pPr>
        <w:tabs>
          <w:tab w:val="clear" w:pos="4320"/>
          <w:tab w:val="clear" w:pos="9072"/>
        </w:tabs>
        <w:spacing w:line="360" w:lineRule="auto"/>
        <w:jc w:val="both"/>
        <w:rPr>
          <w:rFonts w:eastAsia="PMingLiU"/>
        </w:rPr>
      </w:pPr>
    </w:p>
    <w:p w:rsidR="00EF238A" w:rsidRPr="005410DE" w:rsidRDefault="00EF238A" w:rsidP="00EF238A">
      <w:pPr>
        <w:tabs>
          <w:tab w:val="clear" w:pos="4320"/>
          <w:tab w:val="clear" w:pos="9072"/>
        </w:tabs>
        <w:spacing w:line="360" w:lineRule="auto"/>
        <w:jc w:val="both"/>
        <w:rPr>
          <w:rFonts w:eastAsia="PMingLiU"/>
          <w:i/>
        </w:rPr>
      </w:pPr>
      <w:r w:rsidRPr="005410DE">
        <w:rPr>
          <w:rFonts w:eastAsia="PMingLiU"/>
          <w:i/>
        </w:rPr>
        <w:t>“Other reason in the interest of justice”</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Mr Wong SC then invited this Court to grant leave on the “other reason in the interest of justice” limb for the</w:t>
      </w:r>
      <w:r w:rsidR="002305AB">
        <w:rPr>
          <w:rFonts w:eastAsia="PMingLiU"/>
        </w:rPr>
        <w:t xml:space="preserve"> public</w:t>
      </w:r>
      <w:r w:rsidR="00A443DE">
        <w:rPr>
          <w:rFonts w:eastAsia="PMingLiU"/>
        </w:rPr>
        <w:t xml:space="preserve"> importance of this issue and the</w:t>
      </w:r>
      <w:r>
        <w:rPr>
          <w:rFonts w:eastAsia="PMingLiU"/>
        </w:rPr>
        <w:t xml:space="preserve"> potential impact that this jurisdictional issue may have on all parties to the proceedings in which t</w:t>
      </w:r>
      <w:r w:rsidR="00A443DE">
        <w:rPr>
          <w:rFonts w:eastAsia="PMingLiU"/>
        </w:rPr>
        <w:t>he Fund Board has intervened.</w:t>
      </w:r>
    </w:p>
    <w:p w:rsidR="00EF238A" w:rsidRDefault="00EF238A" w:rsidP="00EF238A">
      <w:pPr>
        <w:tabs>
          <w:tab w:val="clear" w:pos="4320"/>
          <w:tab w:val="clear" w:pos="9072"/>
        </w:tabs>
        <w:spacing w:line="360" w:lineRule="auto"/>
        <w:jc w:val="both"/>
        <w:rPr>
          <w:rFonts w:eastAsia="PMingLiU"/>
        </w:rPr>
      </w:pPr>
    </w:p>
    <w:p w:rsidR="00EF238A" w:rsidRPr="00A91749"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It was submitted that the arguments made in </w:t>
      </w:r>
      <w:r>
        <w:rPr>
          <w:rFonts w:eastAsia="PMingLiU"/>
          <w:i/>
        </w:rPr>
        <w:t xml:space="preserve">Kwan </w:t>
      </w:r>
      <w:proofErr w:type="spellStart"/>
      <w:r>
        <w:rPr>
          <w:rFonts w:eastAsia="PMingLiU"/>
          <w:i/>
        </w:rPr>
        <w:t>Kam</w:t>
      </w:r>
      <w:proofErr w:type="spellEnd"/>
      <w:r>
        <w:rPr>
          <w:rFonts w:eastAsia="PMingLiU"/>
          <w:i/>
        </w:rPr>
        <w:t xml:space="preserve"> </w:t>
      </w:r>
      <w:proofErr w:type="spellStart"/>
      <w:r>
        <w:rPr>
          <w:rFonts w:eastAsia="PMingLiU"/>
          <w:i/>
        </w:rPr>
        <w:t>Pui</w:t>
      </w:r>
      <w:proofErr w:type="spellEnd"/>
      <w:r>
        <w:rPr>
          <w:rFonts w:eastAsia="PMingLiU"/>
        </w:rPr>
        <w:t xml:space="preserve"> have rarely been tested and reviewed by the Court.</w:t>
      </w:r>
      <w:r w:rsidR="00313B6A">
        <w:rPr>
          <w:rFonts w:hint="eastAsia"/>
        </w:rPr>
        <w:t xml:space="preserve"> </w:t>
      </w:r>
      <w:r>
        <w:rPr>
          <w:rFonts w:eastAsia="PMingLiU"/>
        </w:rPr>
        <w:t xml:space="preserve"> A</w:t>
      </w:r>
      <w:r w:rsidRPr="00A91749">
        <w:rPr>
          <w:rFonts w:eastAsia="PMingLiU"/>
        </w:rPr>
        <w:t xml:space="preserve">part from </w:t>
      </w:r>
      <w:r w:rsidRPr="00A91749">
        <w:rPr>
          <w:rFonts w:eastAsia="PMingLiU"/>
          <w:i/>
        </w:rPr>
        <w:t xml:space="preserve">Char King </w:t>
      </w:r>
      <w:proofErr w:type="spellStart"/>
      <w:r w:rsidRPr="00A91749">
        <w:rPr>
          <w:rFonts w:eastAsia="PMingLiU"/>
          <w:i/>
        </w:rPr>
        <w:t>Por</w:t>
      </w:r>
      <w:proofErr w:type="spellEnd"/>
      <w:r w:rsidRPr="00A91749">
        <w:rPr>
          <w:rFonts w:eastAsia="PMingLiU"/>
        </w:rPr>
        <w:t xml:space="preserve"> and the present case, the other cases cited or mentioned the case of </w:t>
      </w:r>
      <w:r w:rsidRPr="00A91749">
        <w:rPr>
          <w:rFonts w:eastAsia="PMingLiU"/>
          <w:i/>
        </w:rPr>
        <w:t xml:space="preserve">Kwan </w:t>
      </w:r>
      <w:proofErr w:type="spellStart"/>
      <w:r w:rsidRPr="00A91749">
        <w:rPr>
          <w:rFonts w:eastAsia="PMingLiU"/>
          <w:i/>
        </w:rPr>
        <w:t>Kam</w:t>
      </w:r>
      <w:proofErr w:type="spellEnd"/>
      <w:r w:rsidRPr="00A91749">
        <w:rPr>
          <w:rFonts w:eastAsia="PMingLiU"/>
          <w:i/>
        </w:rPr>
        <w:t xml:space="preserve"> </w:t>
      </w:r>
      <w:proofErr w:type="spellStart"/>
      <w:r w:rsidRPr="00A91749">
        <w:rPr>
          <w:rFonts w:eastAsia="PMingLiU"/>
          <w:i/>
        </w:rPr>
        <w:t>Pui</w:t>
      </w:r>
      <w:proofErr w:type="spellEnd"/>
      <w:r w:rsidRPr="00A91749">
        <w:rPr>
          <w:rFonts w:eastAsia="PMingLiU"/>
        </w:rPr>
        <w:t xml:space="preserve"> were not of direct relevance to the jurisdictional challenge as these cases are either on employees’ compensation</w:t>
      </w:r>
      <w:r w:rsidR="002D2ABD">
        <w:rPr>
          <w:rFonts w:eastAsia="PMingLiU"/>
        </w:rPr>
        <w:t xml:space="preserve"> claims</w:t>
      </w:r>
      <w:r w:rsidRPr="00A91749">
        <w:rPr>
          <w:rFonts w:eastAsia="PMingLiU"/>
        </w:rPr>
        <w:t xml:space="preserve"> or did not engage the jurisdictional point.  These cases are </w:t>
      </w:r>
      <w:r w:rsidRPr="00A91749">
        <w:rPr>
          <w:rFonts w:eastAsia="PMingLiU"/>
          <w:i/>
        </w:rPr>
        <w:t xml:space="preserve">Mohammed </w:t>
      </w:r>
      <w:proofErr w:type="spellStart"/>
      <w:r w:rsidRPr="00A91749">
        <w:rPr>
          <w:rFonts w:eastAsia="PMingLiU"/>
          <w:i/>
        </w:rPr>
        <w:t>Shakeel</w:t>
      </w:r>
      <w:proofErr w:type="spellEnd"/>
      <w:r w:rsidRPr="00A91749">
        <w:rPr>
          <w:rFonts w:eastAsia="PMingLiU"/>
          <w:i/>
        </w:rPr>
        <w:t xml:space="preserve"> v Wong Kin Yu</w:t>
      </w:r>
      <w:r w:rsidR="00C324D7">
        <w:rPr>
          <w:rFonts w:eastAsia="PMingLiU"/>
          <w:i/>
        </w:rPr>
        <w:t xml:space="preserve"> and Ors</w:t>
      </w:r>
      <w:r w:rsidRPr="00A91749">
        <w:rPr>
          <w:rFonts w:eastAsia="PMingLiU"/>
        </w:rPr>
        <w:t xml:space="preserve">, unreported, DCPI 2441/2011, 5 November 2015; </w:t>
      </w:r>
      <w:r w:rsidRPr="00A91749">
        <w:rPr>
          <w:rFonts w:eastAsia="PMingLiU"/>
          <w:i/>
        </w:rPr>
        <w:t>Wong Kai Fun v Sun On Logistics Limited and Anor</w:t>
      </w:r>
      <w:r w:rsidRPr="00A91749">
        <w:rPr>
          <w:rFonts w:eastAsia="PMingLiU"/>
        </w:rPr>
        <w:t xml:space="preserve">, unreported, DCEC 5/2013, 20 May 2015; </w:t>
      </w:r>
      <w:r w:rsidRPr="00A91749">
        <w:rPr>
          <w:rFonts w:eastAsia="PMingLiU"/>
          <w:i/>
        </w:rPr>
        <w:t xml:space="preserve">Chan Ngan Fat v </w:t>
      </w:r>
      <w:r w:rsidRPr="00A91749">
        <w:rPr>
          <w:rFonts w:eastAsia="PMingLiU"/>
          <w:i/>
        </w:rPr>
        <w:t>李敬恆</w:t>
      </w:r>
      <w:r w:rsidRPr="00A91749">
        <w:rPr>
          <w:rFonts w:eastAsia="PMingLiU"/>
          <w:i/>
        </w:rPr>
        <w:t xml:space="preserve"> and Anor</w:t>
      </w:r>
      <w:r w:rsidRPr="00A91749">
        <w:rPr>
          <w:rFonts w:eastAsia="PMingLiU"/>
        </w:rPr>
        <w:t xml:space="preserve">, unreported, DCEC 1382/2013, 7 October 2015; </w:t>
      </w:r>
      <w:r w:rsidRPr="00A91749">
        <w:rPr>
          <w:rFonts w:eastAsia="PMingLiU"/>
          <w:i/>
        </w:rPr>
        <w:t xml:space="preserve">Lai Wing Shun v Shun Shing </w:t>
      </w:r>
      <w:r w:rsidRPr="00A91749">
        <w:rPr>
          <w:rFonts w:eastAsia="PMingLiU"/>
          <w:i/>
        </w:rPr>
        <w:lastRenderedPageBreak/>
        <w:t>De</w:t>
      </w:r>
      <w:r w:rsidR="00C324D7">
        <w:rPr>
          <w:rFonts w:eastAsia="PMingLiU"/>
          <w:i/>
        </w:rPr>
        <w:t xml:space="preserve">coration </w:t>
      </w:r>
      <w:r w:rsidRPr="00A91749">
        <w:rPr>
          <w:rFonts w:eastAsia="PMingLiU"/>
          <w:i/>
        </w:rPr>
        <w:t>Company Limited and Anor</w:t>
      </w:r>
      <w:r w:rsidRPr="00A91749">
        <w:rPr>
          <w:rFonts w:eastAsia="PMingLiU"/>
        </w:rPr>
        <w:t xml:space="preserve">, unreported, DCEC 1918/2014, 22 February 2016; </w:t>
      </w:r>
      <w:r w:rsidRPr="00A91749">
        <w:rPr>
          <w:rFonts w:eastAsia="PMingLiU"/>
          <w:i/>
        </w:rPr>
        <w:t xml:space="preserve">Chi Yuk </w:t>
      </w:r>
      <w:proofErr w:type="spellStart"/>
      <w:r w:rsidRPr="00A91749">
        <w:rPr>
          <w:rFonts w:eastAsia="PMingLiU"/>
          <w:i/>
        </w:rPr>
        <w:t>Pui</w:t>
      </w:r>
      <w:proofErr w:type="spellEnd"/>
      <w:r w:rsidRPr="00A91749">
        <w:rPr>
          <w:rFonts w:eastAsia="PMingLiU"/>
          <w:i/>
        </w:rPr>
        <w:t xml:space="preserve"> v Grace Mind Corp Ltd</w:t>
      </w:r>
      <w:r w:rsidR="00C324D7">
        <w:rPr>
          <w:rFonts w:eastAsia="PMingLiU"/>
        </w:rPr>
        <w:t xml:space="preserve"> </w:t>
      </w:r>
      <w:r w:rsidRPr="00A91749">
        <w:rPr>
          <w:rFonts w:eastAsia="PMingLiU"/>
        </w:rPr>
        <w:t xml:space="preserve"> [2015] 3 HKLRD 271;</w:t>
      </w:r>
      <w:r w:rsidRPr="00A91749">
        <w:rPr>
          <w:rFonts w:eastAsia="PMingLiU"/>
          <w:i/>
        </w:rPr>
        <w:t xml:space="preserve"> Kong Hoi Lam v Cheung Yuk Kwan and Ors</w:t>
      </w:r>
      <w:r w:rsidRPr="00A91749">
        <w:rPr>
          <w:rFonts w:eastAsia="PMingLiU"/>
        </w:rPr>
        <w:t xml:space="preserve"> [2016] 3 HKC 38.</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Mr Chan, counsel for Jiang, submitted that</w:t>
      </w:r>
      <w:r w:rsidR="00981970">
        <w:rPr>
          <w:rFonts w:eastAsia="PMingLiU"/>
        </w:rPr>
        <w:t xml:space="preserve"> </w:t>
      </w:r>
      <w:r>
        <w:rPr>
          <w:rFonts w:eastAsia="PMingLiU"/>
        </w:rPr>
        <w:t>if this Court is minded to grant leave to appeal on the “other reason in the interest of</w:t>
      </w:r>
      <w:r w:rsidR="000A393F">
        <w:rPr>
          <w:rFonts w:eastAsia="PMingLiU"/>
        </w:rPr>
        <w:t xml:space="preserve"> justice” limb, conditions should</w:t>
      </w:r>
      <w:r>
        <w:rPr>
          <w:rFonts w:eastAsia="PMingLiU"/>
        </w:rPr>
        <w:t xml:space="preserve"> be imposed to protect Jiang from the exposure on costs. </w:t>
      </w:r>
      <w:r w:rsidR="00A443DE">
        <w:rPr>
          <w:rFonts w:eastAsia="PMingLiU"/>
        </w:rPr>
        <w:t xml:space="preserve"> </w:t>
      </w:r>
      <w:r w:rsidR="00DC7CCC">
        <w:rPr>
          <w:rFonts w:eastAsia="PMingLiU"/>
        </w:rPr>
        <w:t>Under s</w:t>
      </w:r>
      <w:r w:rsidR="00A443DE">
        <w:rPr>
          <w:rFonts w:eastAsia="PMingLiU"/>
        </w:rPr>
        <w:t xml:space="preserve">ection </w:t>
      </w:r>
      <w:proofErr w:type="gramStart"/>
      <w:r w:rsidR="00A443DE">
        <w:rPr>
          <w:rFonts w:eastAsia="PMingLiU"/>
        </w:rPr>
        <w:t>63A(</w:t>
      </w:r>
      <w:proofErr w:type="gramEnd"/>
      <w:r w:rsidR="00A443DE">
        <w:rPr>
          <w:rFonts w:eastAsia="PMingLiU"/>
        </w:rPr>
        <w:t>1)(b) of the District Court Ordinance</w:t>
      </w:r>
      <w:r w:rsidR="00DC7CCC">
        <w:rPr>
          <w:rFonts w:eastAsia="PMingLiU"/>
        </w:rPr>
        <w:t xml:space="preserve">, the </w:t>
      </w:r>
      <w:r w:rsidR="00A443DE">
        <w:rPr>
          <w:rFonts w:eastAsia="PMingLiU"/>
        </w:rPr>
        <w:t xml:space="preserve">Court </w:t>
      </w:r>
      <w:r w:rsidR="00DC7CCC">
        <w:rPr>
          <w:rFonts w:eastAsia="PMingLiU"/>
        </w:rPr>
        <w:t>can</w:t>
      </w:r>
      <w:r w:rsidR="00A443DE">
        <w:rPr>
          <w:rFonts w:eastAsia="PMingLiU"/>
        </w:rPr>
        <w:t xml:space="preserve"> impose </w:t>
      </w:r>
      <w:r w:rsidR="000A393F">
        <w:rPr>
          <w:rFonts w:eastAsia="PMingLiU"/>
        </w:rPr>
        <w:t xml:space="preserve">necessary </w:t>
      </w:r>
      <w:r w:rsidR="00A443DE">
        <w:rPr>
          <w:rFonts w:eastAsia="PMingLiU"/>
        </w:rPr>
        <w:t>conditions on</w:t>
      </w:r>
      <w:r w:rsidR="00DC7CCC">
        <w:rPr>
          <w:rFonts w:eastAsia="PMingLiU"/>
        </w:rPr>
        <w:t xml:space="preserve"> the granting of leave to appeal</w:t>
      </w:r>
      <w:r w:rsidR="000A393F">
        <w:rPr>
          <w:rFonts w:eastAsia="PMingLiU"/>
        </w:rPr>
        <w:t xml:space="preserve"> to secure the just, expeditious and economical disposal of the appeal</w:t>
      </w:r>
      <w:r w:rsidR="00DC7CCC">
        <w:rPr>
          <w:rFonts w:eastAsia="PMingLiU"/>
        </w:rPr>
        <w:t>.</w:t>
      </w:r>
      <w:r w:rsidR="00A443DE">
        <w:rPr>
          <w:rFonts w:eastAsia="PMingLiU"/>
        </w:rPr>
        <w:t xml:space="preserve">  </w:t>
      </w:r>
      <w:r w:rsidR="000A393F">
        <w:rPr>
          <w:rFonts w:eastAsia="PMingLiU"/>
        </w:rPr>
        <w:t xml:space="preserve"> It wa</w:t>
      </w:r>
      <w:r>
        <w:rPr>
          <w:rFonts w:eastAsia="PMingLiU"/>
        </w:rPr>
        <w:t xml:space="preserve">s noted that the total damages awarded to Jiang in both actions are HK$359,727. </w:t>
      </w:r>
      <w:r w:rsidR="00B7296E">
        <w:rPr>
          <w:rFonts w:hint="eastAsia"/>
        </w:rPr>
        <w:t xml:space="preserve"> </w:t>
      </w:r>
      <w:r>
        <w:rPr>
          <w:rFonts w:eastAsia="PMingLiU"/>
        </w:rPr>
        <w:t xml:space="preserve">Jiang </w:t>
      </w:r>
      <w:r w:rsidR="000A393F">
        <w:rPr>
          <w:rFonts w:eastAsia="PMingLiU"/>
        </w:rPr>
        <w:t>wa</w:t>
      </w:r>
      <w:r>
        <w:rPr>
          <w:rFonts w:eastAsia="PMingLiU"/>
        </w:rPr>
        <w:t xml:space="preserve">s still trying to enforce and recover the judgment award from Yeung and Up Cheer.  Mr Chan was concerned that the costs that may incur on appeal will quickly eat up the entire amount of compensation.  Although Jiang was on legal aid, his compensation was subject to a first charge in </w:t>
      </w:r>
      <w:proofErr w:type="spellStart"/>
      <w:r>
        <w:rPr>
          <w:rFonts w:eastAsia="PMingLiU"/>
        </w:rPr>
        <w:t>favour</w:t>
      </w:r>
      <w:proofErr w:type="spellEnd"/>
      <w:r>
        <w:rPr>
          <w:rFonts w:eastAsia="PMingLiU"/>
        </w:rPr>
        <w:t xml:space="preserve"> of the </w:t>
      </w:r>
      <w:r w:rsidR="002D2ABD">
        <w:rPr>
          <w:rFonts w:eastAsia="PMingLiU"/>
        </w:rPr>
        <w:t>Director of L</w:t>
      </w:r>
      <w:r>
        <w:rPr>
          <w:rFonts w:eastAsia="PMingLiU"/>
        </w:rPr>
        <w:t xml:space="preserve">egal </w:t>
      </w:r>
      <w:r w:rsidR="002D2ABD">
        <w:rPr>
          <w:rFonts w:eastAsia="PMingLiU"/>
        </w:rPr>
        <w:t>A</w:t>
      </w:r>
      <w:r>
        <w:rPr>
          <w:rFonts w:eastAsia="PMingLiU"/>
        </w:rPr>
        <w:t>id.</w:t>
      </w:r>
    </w:p>
    <w:p w:rsidR="00EF238A" w:rsidRDefault="00EF238A" w:rsidP="00EF238A">
      <w:pPr>
        <w:tabs>
          <w:tab w:val="clear" w:pos="4320"/>
          <w:tab w:val="clear" w:pos="9072"/>
        </w:tabs>
        <w:spacing w:line="360" w:lineRule="auto"/>
        <w:jc w:val="both"/>
        <w:rPr>
          <w:rFonts w:eastAsia="PMingLiU"/>
        </w:rPr>
      </w:pPr>
    </w:p>
    <w:p w:rsidR="00EF238A" w:rsidRPr="00B471B5"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While the jurisdictional issue is a matter that affects all parties to the proceedings in which the Fund Board has intervened and is a matter having </w:t>
      </w:r>
      <w:r w:rsidR="000A393F">
        <w:rPr>
          <w:rFonts w:eastAsia="PMingLiU"/>
        </w:rPr>
        <w:t xml:space="preserve">a </w:t>
      </w:r>
      <w:r>
        <w:rPr>
          <w:rFonts w:eastAsia="PMingLiU"/>
        </w:rPr>
        <w:t xml:space="preserve">wide effect, the same arguments have been tested before the </w:t>
      </w:r>
      <w:r w:rsidR="00427893">
        <w:rPr>
          <w:rFonts w:hint="eastAsia"/>
        </w:rPr>
        <w:t>C</w:t>
      </w:r>
      <w:r>
        <w:rPr>
          <w:rFonts w:eastAsia="PMingLiU"/>
        </w:rPr>
        <w:t xml:space="preserve">ourt on more than one occasion and were all rejected.  The Fund Board </w:t>
      </w:r>
      <w:r w:rsidR="00981970">
        <w:rPr>
          <w:rFonts w:eastAsia="PMingLiU"/>
        </w:rPr>
        <w:t>decided not to</w:t>
      </w:r>
      <w:r>
        <w:rPr>
          <w:rFonts w:eastAsia="PMingLiU"/>
        </w:rPr>
        <w:t xml:space="preserve"> take this issue on appeal in the other cases, including </w:t>
      </w:r>
      <w:r>
        <w:rPr>
          <w:rFonts w:eastAsia="PMingLiU"/>
          <w:i/>
        </w:rPr>
        <w:t xml:space="preserve">Hussain Kamran </w:t>
      </w:r>
      <w:r>
        <w:rPr>
          <w:rFonts w:eastAsia="PMingLiU"/>
        </w:rPr>
        <w:t xml:space="preserve">and </w:t>
      </w:r>
      <w:r>
        <w:rPr>
          <w:rFonts w:eastAsia="PMingLiU"/>
          <w:i/>
        </w:rPr>
        <w:t xml:space="preserve">Char King </w:t>
      </w:r>
      <w:proofErr w:type="spellStart"/>
      <w:r>
        <w:rPr>
          <w:rFonts w:eastAsia="PMingLiU"/>
          <w:i/>
        </w:rPr>
        <w:t>Por</w:t>
      </w:r>
      <w:proofErr w:type="spellEnd"/>
      <w:r w:rsidR="000A393F">
        <w:rPr>
          <w:rFonts w:eastAsia="PMingLiU"/>
          <w:i/>
        </w:rPr>
        <w:t xml:space="preserve">, </w:t>
      </w:r>
      <w:r w:rsidR="000A393F">
        <w:rPr>
          <w:rFonts w:eastAsia="PMingLiU"/>
        </w:rPr>
        <w:t>although there might be other reasons for such decision and this Court will not speculate</w:t>
      </w:r>
      <w:r>
        <w:rPr>
          <w:rFonts w:eastAsia="PMingLiU"/>
          <w:i/>
        </w:rPr>
        <w:t>.</w:t>
      </w:r>
      <w:r w:rsidR="00B7296E">
        <w:rPr>
          <w:rFonts w:hint="eastAsia"/>
          <w:i/>
        </w:rPr>
        <w:t xml:space="preserve"> </w:t>
      </w:r>
      <w:r>
        <w:rPr>
          <w:rFonts w:eastAsia="PMingLiU"/>
          <w:i/>
        </w:rPr>
        <w:t xml:space="preserve"> </w:t>
      </w:r>
      <w:r w:rsidR="002D2ABD">
        <w:rPr>
          <w:rFonts w:eastAsia="PMingLiU"/>
        </w:rPr>
        <w:t xml:space="preserve">It was </w:t>
      </w:r>
      <w:r>
        <w:rPr>
          <w:rFonts w:eastAsia="PMingLiU"/>
        </w:rPr>
        <w:t xml:space="preserve">decided </w:t>
      </w:r>
      <w:r w:rsidR="00981970">
        <w:rPr>
          <w:rFonts w:eastAsia="PMingLiU"/>
        </w:rPr>
        <w:t xml:space="preserve">in the present application </w:t>
      </w:r>
      <w:r>
        <w:rPr>
          <w:rFonts w:eastAsia="PMingLiU"/>
        </w:rPr>
        <w:t>that the test of reasonable prospect of success was not met in this proposed ground of appeal.  I</w:t>
      </w:r>
      <w:r w:rsidR="000A393F">
        <w:rPr>
          <w:rFonts w:eastAsia="PMingLiU"/>
        </w:rPr>
        <w:t>n the circumstances, I</w:t>
      </w:r>
      <w:r>
        <w:rPr>
          <w:rFonts w:eastAsia="PMingLiU"/>
        </w:rPr>
        <w:t xml:space="preserve"> am not satisfied that leave to appeal should be granted under this limb.  </w:t>
      </w:r>
    </w:p>
    <w:p w:rsidR="001631D4" w:rsidRPr="0075227A" w:rsidRDefault="001631D4" w:rsidP="00EF238A">
      <w:pPr>
        <w:tabs>
          <w:tab w:val="clear" w:pos="4320"/>
          <w:tab w:val="clear" w:pos="9072"/>
        </w:tabs>
        <w:spacing w:line="360" w:lineRule="auto"/>
        <w:jc w:val="both"/>
        <w:rPr>
          <w:rFonts w:eastAsia="PMingLiU"/>
        </w:rPr>
      </w:pPr>
    </w:p>
    <w:p w:rsidR="00EF238A" w:rsidRDefault="00EF238A" w:rsidP="00EF238A">
      <w:pPr>
        <w:tabs>
          <w:tab w:val="clear" w:pos="4320"/>
          <w:tab w:val="clear" w:pos="9072"/>
        </w:tabs>
        <w:spacing w:line="360" w:lineRule="auto"/>
        <w:jc w:val="both"/>
        <w:rPr>
          <w:rFonts w:eastAsia="PMingLiU"/>
          <w:i/>
        </w:rPr>
      </w:pPr>
      <w:r>
        <w:rPr>
          <w:rFonts w:eastAsia="PMingLiU"/>
          <w:i/>
        </w:rPr>
        <w:lastRenderedPageBreak/>
        <w:t>DISCRETION GROUND</w:t>
      </w:r>
    </w:p>
    <w:p w:rsidR="00EF238A" w:rsidRPr="00777887" w:rsidRDefault="00EF238A" w:rsidP="00EF238A">
      <w:pPr>
        <w:tabs>
          <w:tab w:val="clear" w:pos="4320"/>
          <w:tab w:val="clear" w:pos="9072"/>
        </w:tabs>
        <w:spacing w:line="360" w:lineRule="auto"/>
        <w:jc w:val="both"/>
        <w:rPr>
          <w:rFonts w:eastAsia="PMingLiU"/>
          <w:i/>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In exercising the discretion to award costs against the Fund Board, this Court has considered the role of the Fund Board in the proceedings</w:t>
      </w:r>
      <w:r>
        <w:rPr>
          <w:rStyle w:val="FootnoteReference"/>
          <w:rFonts w:eastAsia="PMingLiU"/>
        </w:rPr>
        <w:footnoteReference w:id="9"/>
      </w:r>
      <w:r>
        <w:rPr>
          <w:rFonts w:eastAsia="PMingLiU"/>
        </w:rPr>
        <w:t xml:space="preserve"> and came to the conclusion that the Fund Board joined in these proceedings to protect its interest and its potential liability at large.  Viewed within the context of this case, the Fund Board was not only exposed to the liability that Cheng might have.  As Yeung ha</w:t>
      </w:r>
      <w:r w:rsidR="00390E30">
        <w:rPr>
          <w:rFonts w:eastAsia="PMingLiU"/>
        </w:rPr>
        <w:t>d</w:t>
      </w:r>
      <w:r>
        <w:rPr>
          <w:rFonts w:eastAsia="PMingLiU"/>
        </w:rPr>
        <w:t xml:space="preserve"> not taken out any insurance policy in regard to the employment of Jiang,</w:t>
      </w:r>
      <w:r w:rsidRPr="000A5B96">
        <w:rPr>
          <w:rFonts w:eastAsia="PMingLiU"/>
        </w:rPr>
        <w:t xml:space="preserve"> in the event that Yeung failed</w:t>
      </w:r>
      <w:r>
        <w:rPr>
          <w:rFonts w:eastAsia="PMingLiU"/>
        </w:rPr>
        <w:t xml:space="preserve"> in th</w:t>
      </w:r>
      <w:r w:rsidR="00390E30">
        <w:rPr>
          <w:rFonts w:eastAsia="PMingLiU"/>
        </w:rPr>
        <w:t>ese</w:t>
      </w:r>
      <w:r>
        <w:rPr>
          <w:rFonts w:eastAsia="PMingLiU"/>
        </w:rPr>
        <w:t xml:space="preserve"> action</w:t>
      </w:r>
      <w:r w:rsidR="00390E30">
        <w:rPr>
          <w:rFonts w:eastAsia="PMingLiU"/>
        </w:rPr>
        <w:t>s</w:t>
      </w:r>
      <w:r w:rsidRPr="000A5B96">
        <w:rPr>
          <w:rFonts w:eastAsia="PMingLiU"/>
        </w:rPr>
        <w:t>, the Fund Board could not wholly disassociate itself from it.</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sidRPr="000A5B96">
        <w:rPr>
          <w:rFonts w:eastAsia="PMingLiU"/>
        </w:rPr>
        <w:t xml:space="preserve">This was evident from the Fund Board’s application to join in the proceedings.  </w:t>
      </w:r>
      <w:r w:rsidR="003F5281" w:rsidRPr="000A5B96">
        <w:rPr>
          <w:rFonts w:eastAsia="PMingLiU"/>
        </w:rPr>
        <w:t xml:space="preserve">The Fund Board, with legal advice, had applied for and obtained an order to join in as a party generally, enabling it to defend Cheng and Yeung. </w:t>
      </w:r>
      <w:r>
        <w:rPr>
          <w:rFonts w:eastAsia="PMingLiU"/>
        </w:rPr>
        <w:t>T</w:t>
      </w:r>
      <w:r w:rsidRPr="000A5B96">
        <w:rPr>
          <w:rFonts w:eastAsia="PMingLiU"/>
        </w:rPr>
        <w:t xml:space="preserve">he Fund Board’s </w:t>
      </w:r>
      <w:r w:rsidR="003F5281">
        <w:rPr>
          <w:rFonts w:eastAsia="PMingLiU"/>
        </w:rPr>
        <w:t>s</w:t>
      </w:r>
      <w:r w:rsidRPr="000A5B96">
        <w:rPr>
          <w:rFonts w:eastAsia="PMingLiU"/>
        </w:rPr>
        <w:t>ummons for joinder which was drafted by its legal representatives, asked to join in as a party generally.  The</w:t>
      </w:r>
      <w:r>
        <w:rPr>
          <w:rFonts w:eastAsia="PMingLiU"/>
        </w:rPr>
        <w:t xml:space="preserve"> order for joinder</w:t>
      </w:r>
      <w:r w:rsidRPr="000A5B96">
        <w:rPr>
          <w:rFonts w:eastAsia="PMingLiU"/>
        </w:rPr>
        <w:t xml:space="preserve"> granted </w:t>
      </w:r>
      <w:r>
        <w:rPr>
          <w:rFonts w:eastAsia="PMingLiU"/>
        </w:rPr>
        <w:t xml:space="preserve">accordingly was </w:t>
      </w:r>
      <w:r w:rsidRPr="000A5B96">
        <w:rPr>
          <w:rFonts w:eastAsia="PMingLiU"/>
        </w:rPr>
        <w:t xml:space="preserve">a general order to enable the Fund Board to safeguard its interest in the </w:t>
      </w:r>
      <w:r>
        <w:rPr>
          <w:rFonts w:eastAsia="PMingLiU"/>
        </w:rPr>
        <w:t xml:space="preserve">proceedings </w:t>
      </w:r>
      <w:r w:rsidR="00245A95">
        <w:rPr>
          <w:rFonts w:eastAsia="PMingLiU"/>
        </w:rPr>
        <w:t>at large</w:t>
      </w:r>
      <w:r w:rsidR="00C305E1">
        <w:rPr>
          <w:rFonts w:eastAsia="PMingLiU"/>
        </w:rPr>
        <w:t>, covering the positions of both Cheng and Yeung</w:t>
      </w:r>
      <w:r w:rsidRPr="000A5B96">
        <w:rPr>
          <w:rFonts w:eastAsia="PMingLiU"/>
        </w:rPr>
        <w:t xml:space="preserve">. </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sidRPr="000A5B96">
        <w:rPr>
          <w:rFonts w:eastAsia="PMingLiU"/>
        </w:rPr>
        <w:t>If the Fund Board’s only intention was to defend Cheng in this proceedings, the Fund Board should have reflected this</w:t>
      </w:r>
      <w:r>
        <w:rPr>
          <w:rFonts w:eastAsia="PMingLiU"/>
        </w:rPr>
        <w:t xml:space="preserve"> intention</w:t>
      </w:r>
      <w:r w:rsidRPr="000A5B96">
        <w:rPr>
          <w:rFonts w:eastAsia="PMingLiU"/>
        </w:rPr>
        <w:t xml:space="preserve"> in the terms of the order it sought in the joinder summons.  </w:t>
      </w:r>
      <w:r w:rsidR="002662E3">
        <w:rPr>
          <w:rFonts w:eastAsia="PMingLiU"/>
        </w:rPr>
        <w:t>Quite the contrary, t</w:t>
      </w:r>
      <w:r w:rsidRPr="000A5B96">
        <w:rPr>
          <w:rFonts w:eastAsia="PMingLiU"/>
        </w:rPr>
        <w:t xml:space="preserve">he Fund Board sought a general order to join in but not </w:t>
      </w:r>
      <w:r>
        <w:rPr>
          <w:rFonts w:eastAsia="PMingLiU"/>
        </w:rPr>
        <w:t>a specific and restricted order</w:t>
      </w:r>
      <w:r w:rsidRPr="000A5B96">
        <w:rPr>
          <w:rFonts w:eastAsia="PMingLiU"/>
        </w:rPr>
        <w:t xml:space="preserve"> to defend </w:t>
      </w:r>
      <w:r w:rsidR="00551EB5">
        <w:rPr>
          <w:rFonts w:eastAsia="PMingLiU"/>
        </w:rPr>
        <w:t xml:space="preserve">only </w:t>
      </w:r>
      <w:r w:rsidRPr="000A5B96">
        <w:rPr>
          <w:rFonts w:eastAsia="PMingLiU"/>
        </w:rPr>
        <w:t xml:space="preserve">Cheng. </w:t>
      </w:r>
      <w:r w:rsidR="00F23744">
        <w:rPr>
          <w:rFonts w:hint="eastAsia"/>
        </w:rPr>
        <w:t xml:space="preserve"> </w:t>
      </w:r>
      <w:r>
        <w:rPr>
          <w:rFonts w:eastAsia="PMingLiU"/>
        </w:rPr>
        <w:t>The</w:t>
      </w:r>
      <w:r w:rsidRPr="000A5B96">
        <w:rPr>
          <w:rFonts w:eastAsia="PMingLiU"/>
        </w:rPr>
        <w:t xml:space="preserve"> conduct of the Fund Board </w:t>
      </w:r>
      <w:r>
        <w:rPr>
          <w:rFonts w:eastAsia="PMingLiU"/>
        </w:rPr>
        <w:t>prior to trial</w:t>
      </w:r>
      <w:r w:rsidRPr="000A5B96">
        <w:rPr>
          <w:rFonts w:eastAsia="PMingLiU"/>
        </w:rPr>
        <w:t xml:space="preserve">, including the pleadings, </w:t>
      </w:r>
      <w:r>
        <w:rPr>
          <w:rFonts w:eastAsia="PMingLiU"/>
        </w:rPr>
        <w:t xml:space="preserve">did not </w:t>
      </w:r>
      <w:r w:rsidR="003F5281">
        <w:rPr>
          <w:rFonts w:eastAsia="PMingLiU"/>
        </w:rPr>
        <w:t>support</w:t>
      </w:r>
      <w:r>
        <w:rPr>
          <w:rFonts w:eastAsia="PMingLiU"/>
        </w:rPr>
        <w:t xml:space="preserve"> the </w:t>
      </w:r>
      <w:r w:rsidR="003F5281">
        <w:rPr>
          <w:rFonts w:eastAsia="PMingLiU"/>
        </w:rPr>
        <w:t xml:space="preserve">contention now </w:t>
      </w:r>
      <w:r w:rsidR="003F5281">
        <w:rPr>
          <w:rFonts w:eastAsia="PMingLiU"/>
        </w:rPr>
        <w:lastRenderedPageBreak/>
        <w:t xml:space="preserve">made by the </w:t>
      </w:r>
      <w:r>
        <w:rPr>
          <w:rFonts w:eastAsia="PMingLiU"/>
        </w:rPr>
        <w:t>Fund Board</w:t>
      </w:r>
      <w:r w:rsidR="003F5281">
        <w:rPr>
          <w:rFonts w:eastAsia="PMingLiU"/>
        </w:rPr>
        <w:t xml:space="preserve"> that they only came in to defend the potential liability faced by </w:t>
      </w:r>
      <w:r w:rsidR="002662E3">
        <w:rPr>
          <w:rFonts w:eastAsia="PMingLiU"/>
        </w:rPr>
        <w:t>Cheng</w:t>
      </w:r>
      <w:r w:rsidRPr="000A5B96">
        <w:rPr>
          <w:rFonts w:eastAsia="PMingLiU"/>
        </w:rPr>
        <w:t xml:space="preserve">. </w:t>
      </w:r>
      <w:r>
        <w:rPr>
          <w:rFonts w:eastAsia="PMingLiU"/>
        </w:rPr>
        <w:t xml:space="preserve"> </w:t>
      </w:r>
    </w:p>
    <w:p w:rsidR="00EF238A"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This Court has also given considerations to the Fund Board’s conduct at trial and allowed the Fund Board to recover its costs (including those to be paid to Jiang) from Yeung and/or Up Cheer (as the case may be).</w:t>
      </w:r>
    </w:p>
    <w:p w:rsidR="00EF238A" w:rsidRPr="008D24AE" w:rsidRDefault="00EF238A" w:rsidP="00EF238A">
      <w:pPr>
        <w:tabs>
          <w:tab w:val="clear" w:pos="4320"/>
          <w:tab w:val="clear" w:pos="9072"/>
        </w:tabs>
        <w:spacing w:line="360" w:lineRule="auto"/>
        <w:jc w:val="both"/>
        <w:rPr>
          <w:rFonts w:eastAsia="PMingLiU"/>
        </w:rPr>
      </w:pPr>
    </w:p>
    <w:p w:rsidR="00EF238A" w:rsidRDefault="00EF238A" w:rsidP="00EF238A">
      <w:pPr>
        <w:numPr>
          <w:ilvl w:val="0"/>
          <w:numId w:val="34"/>
        </w:numPr>
        <w:tabs>
          <w:tab w:val="clear" w:pos="4320"/>
          <w:tab w:val="clear" w:pos="9072"/>
        </w:tabs>
        <w:spacing w:line="360" w:lineRule="auto"/>
        <w:ind w:left="0" w:firstLine="0"/>
        <w:jc w:val="both"/>
        <w:rPr>
          <w:rFonts w:eastAsia="PMingLiU"/>
        </w:rPr>
      </w:pPr>
      <w:r>
        <w:rPr>
          <w:rFonts w:eastAsia="PMingLiU"/>
        </w:rPr>
        <w:t xml:space="preserve">The exercise of discretion shall be premised on the evaluation and consideration of </w:t>
      </w:r>
      <w:r w:rsidRPr="008D24AE">
        <w:rPr>
          <w:rFonts w:eastAsia="PMingLiU"/>
          <w:i/>
        </w:rPr>
        <w:t>all</w:t>
      </w:r>
      <w:r>
        <w:rPr>
          <w:rFonts w:eastAsia="PMingLiU"/>
        </w:rPr>
        <w:t xml:space="preserve"> the matters before the </w:t>
      </w:r>
      <w:r w:rsidR="00427893">
        <w:rPr>
          <w:rFonts w:hint="eastAsia"/>
        </w:rPr>
        <w:t>C</w:t>
      </w:r>
      <w:r>
        <w:rPr>
          <w:rFonts w:eastAsia="PMingLiU"/>
        </w:rPr>
        <w:t xml:space="preserve">ourt but not the fragmented approach as the Fund Board has adopted in its attack on the exercise of discretion and </w:t>
      </w:r>
      <w:r w:rsidR="003F5281">
        <w:rPr>
          <w:rFonts w:eastAsia="PMingLiU"/>
        </w:rPr>
        <w:t>its</w:t>
      </w:r>
      <w:r>
        <w:rPr>
          <w:rFonts w:eastAsia="PMingLiU"/>
        </w:rPr>
        <w:t xml:space="preserve"> reliance solely </w:t>
      </w:r>
      <w:r w:rsidR="003F5281">
        <w:rPr>
          <w:rFonts w:eastAsia="PMingLiU"/>
        </w:rPr>
        <w:t xml:space="preserve">on </w:t>
      </w:r>
      <w:r>
        <w:rPr>
          <w:rFonts w:eastAsia="PMingLiU"/>
        </w:rPr>
        <w:t>the affirmation</w:t>
      </w:r>
      <w:r w:rsidR="00856F01">
        <w:rPr>
          <w:rFonts w:eastAsia="PMingLiU"/>
        </w:rPr>
        <w:t>s</w:t>
      </w:r>
      <w:r>
        <w:rPr>
          <w:rFonts w:eastAsia="PMingLiU"/>
        </w:rPr>
        <w:t xml:space="preserve"> in support of the joinder application, without viewing the entire conduct in context.</w:t>
      </w:r>
    </w:p>
    <w:p w:rsidR="00EF238A" w:rsidRPr="000A5B96" w:rsidRDefault="00EF238A" w:rsidP="00EF238A">
      <w:pPr>
        <w:tabs>
          <w:tab w:val="clear" w:pos="4320"/>
          <w:tab w:val="clear" w:pos="9072"/>
        </w:tabs>
        <w:spacing w:line="360" w:lineRule="auto"/>
        <w:jc w:val="both"/>
        <w:rPr>
          <w:rFonts w:eastAsia="PMingLiU"/>
        </w:rPr>
      </w:pPr>
    </w:p>
    <w:p w:rsidR="00EF238A" w:rsidRDefault="00E97107" w:rsidP="00EF238A">
      <w:pPr>
        <w:numPr>
          <w:ilvl w:val="0"/>
          <w:numId w:val="34"/>
        </w:numPr>
        <w:tabs>
          <w:tab w:val="clear" w:pos="4320"/>
          <w:tab w:val="clear" w:pos="9072"/>
        </w:tabs>
        <w:spacing w:line="360" w:lineRule="auto"/>
        <w:ind w:left="0" w:firstLine="0"/>
        <w:jc w:val="both"/>
        <w:rPr>
          <w:rFonts w:eastAsia="PMingLiU"/>
        </w:rPr>
      </w:pPr>
      <w:r>
        <w:rPr>
          <w:rFonts w:eastAsia="PMingLiU"/>
        </w:rPr>
        <w:t>T</w:t>
      </w:r>
      <w:r w:rsidR="00EF238A">
        <w:rPr>
          <w:rFonts w:eastAsia="PMingLiU"/>
        </w:rPr>
        <w:t>he Fund Board’s application for leave to appeal under the Discretion Ground in both the EC Action and PI Action</w:t>
      </w:r>
      <w:r>
        <w:rPr>
          <w:rFonts w:eastAsia="PMingLiU"/>
        </w:rPr>
        <w:t xml:space="preserve"> is dismissed</w:t>
      </w:r>
      <w:r w:rsidR="00EF238A">
        <w:rPr>
          <w:rFonts w:eastAsia="PMingLiU"/>
        </w:rPr>
        <w:t>.</w:t>
      </w:r>
    </w:p>
    <w:p w:rsidR="00EF238A" w:rsidRDefault="00EF238A" w:rsidP="00EF238A">
      <w:pPr>
        <w:rPr>
          <w:lang w:eastAsia="zh-TW"/>
        </w:rPr>
      </w:pPr>
    </w:p>
    <w:p w:rsidR="00E97107" w:rsidRDefault="00E97107" w:rsidP="00EF238A">
      <w:pPr>
        <w:rPr>
          <w:lang w:eastAsia="zh-TW"/>
        </w:rPr>
      </w:pPr>
    </w:p>
    <w:p w:rsidR="00EF238A" w:rsidRPr="00B85F83" w:rsidRDefault="00EF238A" w:rsidP="00EF238A">
      <w:pPr>
        <w:tabs>
          <w:tab w:val="clear" w:pos="4320"/>
          <w:tab w:val="clear" w:pos="9072"/>
        </w:tabs>
        <w:spacing w:line="360" w:lineRule="auto"/>
        <w:jc w:val="both"/>
        <w:rPr>
          <w:i/>
          <w:iCs/>
          <w:caps/>
          <w:lang w:eastAsia="zh-TW"/>
        </w:rPr>
      </w:pPr>
      <w:r w:rsidRPr="00B85F83">
        <w:rPr>
          <w:i/>
          <w:iCs/>
          <w:caps/>
          <w:lang w:eastAsia="zh-TW"/>
        </w:rPr>
        <w:t>Conclusion</w:t>
      </w:r>
    </w:p>
    <w:p w:rsidR="00EF238A" w:rsidRDefault="00EF238A" w:rsidP="00EF238A">
      <w:pPr>
        <w:rPr>
          <w:lang w:eastAsia="zh-TW"/>
        </w:rPr>
      </w:pPr>
    </w:p>
    <w:p w:rsidR="00EF238A" w:rsidRDefault="00EF238A" w:rsidP="00EF238A">
      <w:pPr>
        <w:numPr>
          <w:ilvl w:val="0"/>
          <w:numId w:val="34"/>
        </w:numPr>
        <w:tabs>
          <w:tab w:val="clear" w:pos="4320"/>
          <w:tab w:val="clear" w:pos="9072"/>
        </w:tabs>
        <w:spacing w:line="360" w:lineRule="auto"/>
        <w:ind w:left="0" w:firstLine="0"/>
        <w:jc w:val="both"/>
        <w:rPr>
          <w:lang w:eastAsia="zh-TW"/>
        </w:rPr>
      </w:pPr>
      <w:r>
        <w:rPr>
          <w:lang w:eastAsia="zh-TW"/>
        </w:rPr>
        <w:t xml:space="preserve">The Fund Board’s applications </w:t>
      </w:r>
      <w:r w:rsidR="00235D5F">
        <w:rPr>
          <w:lang w:eastAsia="zh-TW"/>
        </w:rPr>
        <w:t xml:space="preserve">for leave to appeal </w:t>
      </w:r>
      <w:r>
        <w:rPr>
          <w:lang w:eastAsia="zh-TW"/>
        </w:rPr>
        <w:t xml:space="preserve">in both actions are dismissed with costs order </w:t>
      </w:r>
      <w:r w:rsidRPr="007D2496">
        <w:rPr>
          <w:i/>
          <w:lang w:eastAsia="zh-TW"/>
        </w:rPr>
        <w:t>nisi</w:t>
      </w:r>
      <w:r>
        <w:rPr>
          <w:lang w:eastAsia="zh-TW"/>
        </w:rPr>
        <w:t xml:space="preserve"> that the costs of this application with certificate for counsel be paid by the Fund Board to Jiang. </w:t>
      </w:r>
      <w:r w:rsidR="00F23744">
        <w:rPr>
          <w:rFonts w:hint="eastAsia"/>
        </w:rPr>
        <w:t xml:space="preserve"> </w:t>
      </w:r>
      <w:r>
        <w:rPr>
          <w:lang w:eastAsia="zh-TW"/>
        </w:rPr>
        <w:t>Jiang’s own costs be taxed in accordance with the Legal Aid Regulations.</w:t>
      </w:r>
      <w:r w:rsidR="00DF6852">
        <w:rPr>
          <w:lang w:eastAsia="zh-TW"/>
        </w:rPr>
        <w:t xml:space="preserve">  This costs order </w:t>
      </w:r>
      <w:r w:rsidR="00DF6852">
        <w:rPr>
          <w:i/>
          <w:lang w:eastAsia="zh-TW"/>
        </w:rPr>
        <w:t>nisi</w:t>
      </w:r>
      <w:r w:rsidR="00DF6852">
        <w:rPr>
          <w:lang w:eastAsia="zh-TW"/>
        </w:rPr>
        <w:t xml:space="preserve"> shall become absolute unless there is an application to vary the same within 14 days from this decision.</w:t>
      </w:r>
    </w:p>
    <w:p w:rsidR="00856F01" w:rsidRDefault="00856F01" w:rsidP="00856F01">
      <w:pPr>
        <w:tabs>
          <w:tab w:val="clear" w:pos="4320"/>
          <w:tab w:val="clear" w:pos="9072"/>
        </w:tabs>
        <w:spacing w:line="360" w:lineRule="auto"/>
        <w:jc w:val="both"/>
        <w:rPr>
          <w:lang w:eastAsia="zh-TW"/>
        </w:rPr>
      </w:pPr>
    </w:p>
    <w:p w:rsidR="00856F01" w:rsidRDefault="00856F01" w:rsidP="00856F01">
      <w:pPr>
        <w:tabs>
          <w:tab w:val="clear" w:pos="4320"/>
          <w:tab w:val="clear" w:pos="9072"/>
        </w:tabs>
        <w:spacing w:line="360" w:lineRule="auto"/>
        <w:jc w:val="both"/>
        <w:rPr>
          <w:lang w:eastAsia="zh-TW"/>
        </w:rPr>
      </w:pPr>
    </w:p>
    <w:p w:rsidR="00E97107" w:rsidRDefault="00E97107" w:rsidP="00EF238A">
      <w:pPr>
        <w:numPr>
          <w:ilvl w:val="0"/>
          <w:numId w:val="34"/>
        </w:numPr>
        <w:tabs>
          <w:tab w:val="clear" w:pos="4320"/>
          <w:tab w:val="clear" w:pos="9072"/>
        </w:tabs>
        <w:spacing w:line="360" w:lineRule="auto"/>
        <w:ind w:left="0" w:firstLine="0"/>
        <w:jc w:val="both"/>
        <w:rPr>
          <w:lang w:eastAsia="zh-TW"/>
        </w:rPr>
      </w:pPr>
      <w:r>
        <w:rPr>
          <w:lang w:eastAsia="zh-TW"/>
        </w:rPr>
        <w:lastRenderedPageBreak/>
        <w:t>I thank counsel for both sides for their assistance in this application.</w:t>
      </w:r>
    </w:p>
    <w:p w:rsidR="00EF238A" w:rsidRDefault="00EF238A" w:rsidP="00EF238A">
      <w:pPr>
        <w:tabs>
          <w:tab w:val="clear" w:pos="4320"/>
          <w:tab w:val="clear" w:pos="9072"/>
        </w:tabs>
        <w:spacing w:line="360" w:lineRule="auto"/>
        <w:jc w:val="both"/>
      </w:pPr>
    </w:p>
    <w:p w:rsidR="00E97107" w:rsidRDefault="00E97107" w:rsidP="00EF238A">
      <w:pPr>
        <w:tabs>
          <w:tab w:val="clear" w:pos="4320"/>
          <w:tab w:val="clear" w:pos="9072"/>
        </w:tabs>
        <w:spacing w:line="360" w:lineRule="auto"/>
        <w:jc w:val="both"/>
      </w:pPr>
    </w:p>
    <w:p w:rsidR="00E97107" w:rsidRDefault="00E97107" w:rsidP="00EF238A">
      <w:pPr>
        <w:tabs>
          <w:tab w:val="clear" w:pos="4320"/>
          <w:tab w:val="clear" w:pos="9072"/>
        </w:tabs>
        <w:spacing w:line="360" w:lineRule="auto"/>
        <w:jc w:val="both"/>
      </w:pPr>
    </w:p>
    <w:p w:rsidR="00EF238A" w:rsidRPr="005A1C1D" w:rsidRDefault="00EF238A" w:rsidP="00EF238A">
      <w:pPr>
        <w:tabs>
          <w:tab w:val="clear" w:pos="4320"/>
          <w:tab w:val="clear" w:pos="9072"/>
        </w:tabs>
        <w:spacing w:line="360" w:lineRule="auto"/>
        <w:jc w:val="both"/>
      </w:pPr>
    </w:p>
    <w:p w:rsidR="00EF238A" w:rsidRPr="005A1C1D" w:rsidRDefault="00EF238A" w:rsidP="00EF238A">
      <w:pPr>
        <w:tabs>
          <w:tab w:val="clear" w:pos="4320"/>
          <w:tab w:val="clear" w:pos="9072"/>
          <w:tab w:val="center" w:pos="6480"/>
        </w:tabs>
        <w:jc w:val="both"/>
      </w:pPr>
      <w:r w:rsidRPr="005A1C1D">
        <w:rPr>
          <w:rFonts w:hint="eastAsia"/>
        </w:rPr>
        <w:tab/>
      </w:r>
      <w:r w:rsidRPr="005A1C1D">
        <w:rPr>
          <w:rFonts w:hint="eastAsia"/>
        </w:rPr>
        <w:tab/>
      </w:r>
      <w:proofErr w:type="gramStart"/>
      <w:r w:rsidRPr="005A1C1D">
        <w:rPr>
          <w:rFonts w:hint="eastAsia"/>
        </w:rPr>
        <w:t>( Elaine</w:t>
      </w:r>
      <w:proofErr w:type="gramEnd"/>
      <w:r w:rsidRPr="005A1C1D">
        <w:rPr>
          <w:rFonts w:hint="eastAsia"/>
        </w:rPr>
        <w:t xml:space="preserve"> Liu )</w:t>
      </w:r>
    </w:p>
    <w:p w:rsidR="00EF238A" w:rsidRPr="005A1C1D" w:rsidRDefault="00EF238A" w:rsidP="00EF238A">
      <w:pPr>
        <w:tabs>
          <w:tab w:val="clear" w:pos="4320"/>
          <w:tab w:val="clear" w:pos="9072"/>
          <w:tab w:val="center" w:pos="6480"/>
        </w:tabs>
        <w:jc w:val="both"/>
      </w:pPr>
      <w:r w:rsidRPr="005A1C1D">
        <w:rPr>
          <w:rFonts w:hint="eastAsia"/>
        </w:rPr>
        <w:tab/>
      </w:r>
      <w:r w:rsidRPr="005A1C1D">
        <w:rPr>
          <w:rFonts w:hint="eastAsia"/>
        </w:rPr>
        <w:tab/>
        <w:t>Deputy District Judge</w:t>
      </w:r>
    </w:p>
    <w:p w:rsidR="00EF238A" w:rsidRDefault="00EF238A" w:rsidP="00EF238A">
      <w:pPr>
        <w:tabs>
          <w:tab w:val="clear" w:pos="4320"/>
          <w:tab w:val="clear" w:pos="9072"/>
        </w:tabs>
        <w:jc w:val="both"/>
      </w:pPr>
    </w:p>
    <w:p w:rsidR="00AF5AF0" w:rsidRDefault="00AF5AF0" w:rsidP="00EF238A">
      <w:pPr>
        <w:tabs>
          <w:tab w:val="clear" w:pos="4320"/>
          <w:tab w:val="clear" w:pos="9072"/>
        </w:tabs>
        <w:jc w:val="both"/>
      </w:pPr>
    </w:p>
    <w:p w:rsidR="00EF238A" w:rsidRDefault="00EF238A" w:rsidP="00EF238A">
      <w:pPr>
        <w:tabs>
          <w:tab w:val="clear" w:pos="4320"/>
          <w:tab w:val="clear" w:pos="9072"/>
        </w:tabs>
        <w:jc w:val="both"/>
        <w:rPr>
          <w:u w:val="single"/>
        </w:rPr>
      </w:pPr>
      <w:r w:rsidRPr="006A0C1C">
        <w:rPr>
          <w:rFonts w:hint="eastAsia"/>
          <w:u w:val="single"/>
        </w:rPr>
        <w:t>DCPI 2047/2011</w:t>
      </w:r>
      <w:bookmarkStart w:id="0" w:name="_GoBack"/>
      <w:bookmarkEnd w:id="0"/>
    </w:p>
    <w:p w:rsidR="00EF238A" w:rsidRPr="006A0C1C" w:rsidRDefault="00EF238A" w:rsidP="00EF238A">
      <w:pPr>
        <w:tabs>
          <w:tab w:val="clear" w:pos="4320"/>
          <w:tab w:val="clear" w:pos="9072"/>
        </w:tabs>
        <w:jc w:val="both"/>
      </w:pPr>
    </w:p>
    <w:p w:rsidR="00EF238A" w:rsidRDefault="00EF238A" w:rsidP="00EF238A">
      <w:pPr>
        <w:tabs>
          <w:tab w:val="clear" w:pos="4320"/>
          <w:tab w:val="clear" w:pos="9072"/>
        </w:tabs>
        <w:jc w:val="both"/>
      </w:pPr>
      <w:r>
        <w:rPr>
          <w:rFonts w:hint="eastAsia"/>
        </w:rPr>
        <w:t>Mr Frederick Chan, instructed by Cheng &amp; Wong, assigned by the Director of Legal Aid, for the plaintiff</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t>T</w:t>
      </w:r>
      <w:r>
        <w:rPr>
          <w:rFonts w:hint="eastAsia"/>
        </w:rPr>
        <w:t>he 1</w:t>
      </w:r>
      <w:r w:rsidRPr="006A0C1C">
        <w:rPr>
          <w:rFonts w:hint="eastAsia"/>
          <w:vertAlign w:val="superscript"/>
        </w:rPr>
        <w:t>st</w:t>
      </w:r>
      <w:r>
        <w:rPr>
          <w:rFonts w:hint="eastAsia"/>
        </w:rPr>
        <w:t xml:space="preserve"> and </w:t>
      </w:r>
      <w:r>
        <w:t>2</w:t>
      </w:r>
      <w:r w:rsidRPr="001E1818">
        <w:rPr>
          <w:vertAlign w:val="superscript"/>
        </w:rPr>
        <w:t>nd</w:t>
      </w:r>
      <w:r>
        <w:t xml:space="preserve"> </w:t>
      </w:r>
      <w:r>
        <w:rPr>
          <w:rFonts w:hint="eastAsia"/>
        </w:rPr>
        <w:t>defendants</w:t>
      </w:r>
      <w:r>
        <w:t xml:space="preserve"> were not represent</w:t>
      </w:r>
      <w:r w:rsidR="00A164E8">
        <w:rPr>
          <w:rFonts w:hint="eastAsia"/>
        </w:rPr>
        <w:t>ed</w:t>
      </w:r>
      <w:r>
        <w:t xml:space="preserve"> and did not appear</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rPr>
          <w:rFonts w:hint="eastAsia"/>
        </w:rPr>
        <w:t>The 3</w:t>
      </w:r>
      <w:r w:rsidRPr="006A0C1C">
        <w:rPr>
          <w:rFonts w:hint="eastAsia"/>
          <w:vertAlign w:val="superscript"/>
        </w:rPr>
        <w:t>rd</w:t>
      </w:r>
      <w:r>
        <w:rPr>
          <w:rFonts w:hint="eastAsia"/>
        </w:rPr>
        <w:t xml:space="preserve"> defendant</w:t>
      </w:r>
      <w:r>
        <w:t xml:space="preserve"> was not represented and did not appear</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rPr>
          <w:rFonts w:hint="eastAsia"/>
        </w:rPr>
        <w:t xml:space="preserve">Mr </w:t>
      </w:r>
      <w:r>
        <w:t xml:space="preserve">Horace Wong SC and </w:t>
      </w:r>
      <w:proofErr w:type="spellStart"/>
      <w:r>
        <w:t>Mr</w:t>
      </w:r>
      <w:proofErr w:type="spellEnd"/>
      <w:r>
        <w:t xml:space="preserve"> Roger </w:t>
      </w:r>
      <w:proofErr w:type="spellStart"/>
      <w:r>
        <w:t>Phang</w:t>
      </w:r>
      <w:proofErr w:type="spellEnd"/>
      <w:r>
        <w:rPr>
          <w:rFonts w:hint="eastAsia"/>
        </w:rPr>
        <w:t>, instructed by Gallant, for the 4</w:t>
      </w:r>
      <w:r w:rsidRPr="006A0C1C">
        <w:rPr>
          <w:rFonts w:hint="eastAsia"/>
          <w:vertAlign w:val="superscript"/>
        </w:rPr>
        <w:t>th</w:t>
      </w:r>
      <w:r>
        <w:rPr>
          <w:rFonts w:hint="eastAsia"/>
        </w:rPr>
        <w:t xml:space="preserve"> defendant</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p>
    <w:p w:rsidR="00EF238A" w:rsidRPr="006A0C1C" w:rsidRDefault="00EF238A" w:rsidP="00EF238A">
      <w:pPr>
        <w:tabs>
          <w:tab w:val="clear" w:pos="4320"/>
          <w:tab w:val="clear" w:pos="9072"/>
        </w:tabs>
        <w:jc w:val="both"/>
        <w:rPr>
          <w:u w:val="single"/>
        </w:rPr>
      </w:pPr>
      <w:r w:rsidRPr="006A0C1C">
        <w:rPr>
          <w:rFonts w:hint="eastAsia"/>
          <w:u w:val="single"/>
        </w:rPr>
        <w:t>DCEC 1267/2010</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rPr>
          <w:rFonts w:hint="eastAsia"/>
        </w:rPr>
        <w:t>Mr Frederick Chan, instructed by Cheng &amp; Wong, assigned by the Director of Legal Aid, for the applicant</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t>T</w:t>
      </w:r>
      <w:r>
        <w:rPr>
          <w:rFonts w:hint="eastAsia"/>
        </w:rPr>
        <w:t>he 1</w:t>
      </w:r>
      <w:r w:rsidRPr="006A0C1C">
        <w:rPr>
          <w:rFonts w:hint="eastAsia"/>
          <w:vertAlign w:val="superscript"/>
        </w:rPr>
        <w:t>st</w:t>
      </w:r>
      <w:r>
        <w:rPr>
          <w:rFonts w:hint="eastAsia"/>
        </w:rPr>
        <w:t xml:space="preserve"> and 3</w:t>
      </w:r>
      <w:r w:rsidRPr="006A0C1C">
        <w:rPr>
          <w:rFonts w:hint="eastAsia"/>
          <w:vertAlign w:val="superscript"/>
        </w:rPr>
        <w:t>rd</w:t>
      </w:r>
      <w:r>
        <w:rPr>
          <w:rFonts w:hint="eastAsia"/>
        </w:rPr>
        <w:t xml:space="preserve"> respondents</w:t>
      </w:r>
      <w:r>
        <w:t xml:space="preserve"> were not represented and did not appear</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rPr>
          <w:rFonts w:hint="eastAsia"/>
        </w:rPr>
        <w:t>The 4</w:t>
      </w:r>
      <w:r w:rsidRPr="006A0C1C">
        <w:rPr>
          <w:rFonts w:hint="eastAsia"/>
          <w:vertAlign w:val="superscript"/>
        </w:rPr>
        <w:t>th</w:t>
      </w:r>
      <w:r>
        <w:rPr>
          <w:rFonts w:hint="eastAsia"/>
        </w:rPr>
        <w:t xml:space="preserve"> respondent</w:t>
      </w:r>
      <w:r>
        <w:t xml:space="preserve"> was not represented and did not appear</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r>
        <w:rPr>
          <w:rFonts w:hint="eastAsia"/>
        </w:rPr>
        <w:t xml:space="preserve">Mr </w:t>
      </w:r>
      <w:r>
        <w:t xml:space="preserve">Horace Wong SC and </w:t>
      </w:r>
      <w:proofErr w:type="spellStart"/>
      <w:r>
        <w:t>Mr</w:t>
      </w:r>
      <w:proofErr w:type="spellEnd"/>
      <w:r>
        <w:t xml:space="preserve"> Roger </w:t>
      </w:r>
      <w:proofErr w:type="spellStart"/>
      <w:r>
        <w:t>Phang</w:t>
      </w:r>
      <w:proofErr w:type="spellEnd"/>
      <w:r>
        <w:rPr>
          <w:rFonts w:hint="eastAsia"/>
        </w:rPr>
        <w:t xml:space="preserve">, instructed by Gallant, for the </w:t>
      </w:r>
      <w:r>
        <w:t>5</w:t>
      </w:r>
      <w:r w:rsidRPr="006A0C1C">
        <w:rPr>
          <w:rFonts w:hint="eastAsia"/>
          <w:vertAlign w:val="superscript"/>
        </w:rPr>
        <w:t>th</w:t>
      </w:r>
      <w:r>
        <w:rPr>
          <w:rFonts w:hint="eastAsia"/>
        </w:rPr>
        <w:t xml:space="preserve"> respondent</w:t>
      </w:r>
    </w:p>
    <w:p w:rsidR="00EF238A" w:rsidRDefault="00EF238A" w:rsidP="00EF238A">
      <w:pPr>
        <w:tabs>
          <w:tab w:val="clear" w:pos="4320"/>
          <w:tab w:val="clear" w:pos="9072"/>
        </w:tabs>
        <w:jc w:val="both"/>
      </w:pPr>
    </w:p>
    <w:p w:rsidR="00EF238A" w:rsidRDefault="00EF238A" w:rsidP="00EF238A">
      <w:pPr>
        <w:tabs>
          <w:tab w:val="clear" w:pos="4320"/>
          <w:tab w:val="clear" w:pos="9072"/>
        </w:tabs>
        <w:jc w:val="both"/>
      </w:pPr>
    </w:p>
    <w:p w:rsidR="00EF238A" w:rsidRDefault="00EF238A" w:rsidP="00BC6518">
      <w:pPr>
        <w:tabs>
          <w:tab w:val="clear" w:pos="4320"/>
          <w:tab w:val="clear" w:pos="9072"/>
        </w:tabs>
        <w:spacing w:line="360" w:lineRule="auto"/>
        <w:jc w:val="both"/>
      </w:pPr>
    </w:p>
    <w:sectPr w:rsidR="00EF238A" w:rsidSect="009E002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79F" w:rsidRDefault="00F3179F">
      <w:r>
        <w:separator/>
      </w:r>
    </w:p>
  </w:endnote>
  <w:endnote w:type="continuationSeparator" w:id="0">
    <w:p w:rsidR="00F3179F" w:rsidRDefault="00F317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panose1 w:val="02010600030101010101"/>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Hei">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48" w:rsidRDefault="00742889">
    <w:pPr>
      <w:pStyle w:val="Footer"/>
      <w:framePr w:wrap="around" w:vAnchor="text" w:hAnchor="margin" w:xAlign="right" w:y="1"/>
      <w:rPr>
        <w:rStyle w:val="PageNumber"/>
      </w:rPr>
    </w:pPr>
    <w:r>
      <w:rPr>
        <w:rStyle w:val="PageNumber"/>
      </w:rPr>
      <w:fldChar w:fldCharType="begin"/>
    </w:r>
    <w:r w:rsidR="00477348">
      <w:rPr>
        <w:rStyle w:val="PageNumber"/>
      </w:rPr>
      <w:instrText xml:space="preserve">PAGE  </w:instrText>
    </w:r>
    <w:r>
      <w:rPr>
        <w:rStyle w:val="PageNumber"/>
      </w:rPr>
      <w:fldChar w:fldCharType="end"/>
    </w:r>
  </w:p>
  <w:p w:rsidR="00477348" w:rsidRDefault="004773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48" w:rsidRDefault="00477348">
    <w:pPr>
      <w:pStyle w:val="Footer"/>
      <w:framePr w:wrap="around" w:vAnchor="text" w:hAnchor="margin" w:xAlign="right" w:y="1"/>
      <w:rPr>
        <w:rStyle w:val="PageNumber"/>
      </w:rPr>
    </w:pPr>
  </w:p>
  <w:p w:rsidR="00477348" w:rsidRDefault="0047734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79F" w:rsidRDefault="00F3179F">
      <w:r>
        <w:separator/>
      </w:r>
    </w:p>
  </w:footnote>
  <w:footnote w:type="continuationSeparator" w:id="0">
    <w:p w:rsidR="00F3179F" w:rsidRDefault="00F3179F">
      <w:r>
        <w:continuationSeparator/>
      </w:r>
    </w:p>
  </w:footnote>
  <w:footnote w:id="1">
    <w:p w:rsidR="00EF238A" w:rsidRPr="005D23A4" w:rsidRDefault="00EF238A" w:rsidP="00EF238A">
      <w:pPr>
        <w:pStyle w:val="FootnoteText"/>
      </w:pPr>
      <w:r>
        <w:rPr>
          <w:rStyle w:val="FootnoteReference"/>
        </w:rPr>
        <w:footnoteRef/>
      </w:r>
      <w:r>
        <w:t xml:space="preserve"> The Fund Board is the 5</w:t>
      </w:r>
      <w:r w:rsidRPr="00272F26">
        <w:rPr>
          <w:vertAlign w:val="superscript"/>
        </w:rPr>
        <w:t>th</w:t>
      </w:r>
      <w:r>
        <w:t xml:space="preserve"> respondent in the EC Action and the 4</w:t>
      </w:r>
      <w:r w:rsidRPr="005D23A4">
        <w:rPr>
          <w:vertAlign w:val="superscript"/>
        </w:rPr>
        <w:t>th</w:t>
      </w:r>
      <w:r>
        <w:t xml:space="preserve"> defendant in the PI Action.</w:t>
      </w:r>
    </w:p>
  </w:footnote>
  <w:footnote w:id="2">
    <w:p w:rsidR="00EF238A" w:rsidRPr="00D20A95" w:rsidRDefault="00EF238A" w:rsidP="00EF238A">
      <w:pPr>
        <w:pStyle w:val="FootnoteText"/>
        <w:rPr>
          <w:lang w:val="en-HK"/>
        </w:rPr>
      </w:pPr>
      <w:r>
        <w:rPr>
          <w:rStyle w:val="FootnoteReference"/>
        </w:rPr>
        <w:footnoteRef/>
      </w:r>
      <w:r>
        <w:t xml:space="preserve"> </w:t>
      </w:r>
      <w:r>
        <w:rPr>
          <w:lang w:val="en-HK"/>
        </w:rPr>
        <w:t>Jiang is the applicant in the EC Action and the plaintiff in the PI Action.</w:t>
      </w:r>
    </w:p>
  </w:footnote>
  <w:footnote w:id="3">
    <w:p w:rsidR="00EF238A" w:rsidRPr="00D20A95" w:rsidRDefault="00EF238A" w:rsidP="00EF238A">
      <w:pPr>
        <w:pStyle w:val="FootnoteText"/>
        <w:rPr>
          <w:lang w:val="en-HK"/>
        </w:rPr>
      </w:pPr>
      <w:r>
        <w:rPr>
          <w:rStyle w:val="FootnoteReference"/>
        </w:rPr>
        <w:footnoteRef/>
      </w:r>
      <w:r>
        <w:t xml:space="preserve"> </w:t>
      </w:r>
      <w:r>
        <w:rPr>
          <w:lang w:val="en-HK"/>
        </w:rPr>
        <w:t>Yeung is the 1</w:t>
      </w:r>
      <w:r w:rsidRPr="00D20A95">
        <w:rPr>
          <w:vertAlign w:val="superscript"/>
          <w:lang w:val="en-HK"/>
        </w:rPr>
        <w:t>st</w:t>
      </w:r>
      <w:r>
        <w:rPr>
          <w:lang w:val="en-HK"/>
        </w:rPr>
        <w:t xml:space="preserve"> respondent in the EC Action and the 2</w:t>
      </w:r>
      <w:r w:rsidRPr="00D20A95">
        <w:rPr>
          <w:vertAlign w:val="superscript"/>
          <w:lang w:val="en-HK"/>
        </w:rPr>
        <w:t>nd</w:t>
      </w:r>
      <w:r>
        <w:rPr>
          <w:lang w:val="en-HK"/>
        </w:rPr>
        <w:t xml:space="preserve"> defendant in the PI Action.</w:t>
      </w:r>
    </w:p>
  </w:footnote>
  <w:footnote w:id="4">
    <w:p w:rsidR="00EF238A" w:rsidRPr="00D20A95" w:rsidRDefault="00EF238A" w:rsidP="00EF238A">
      <w:pPr>
        <w:pStyle w:val="FootnoteText"/>
        <w:rPr>
          <w:lang w:val="en-HK"/>
        </w:rPr>
      </w:pPr>
      <w:r>
        <w:rPr>
          <w:rStyle w:val="FootnoteReference"/>
        </w:rPr>
        <w:footnoteRef/>
      </w:r>
      <w:r>
        <w:t xml:space="preserve"> </w:t>
      </w:r>
      <w:r>
        <w:rPr>
          <w:lang w:val="en-HK"/>
        </w:rPr>
        <w:t>Up Cheer is the 3</w:t>
      </w:r>
      <w:r w:rsidRPr="00D20A95">
        <w:rPr>
          <w:vertAlign w:val="superscript"/>
          <w:lang w:val="en-HK"/>
        </w:rPr>
        <w:t>rd</w:t>
      </w:r>
      <w:r>
        <w:rPr>
          <w:lang w:val="en-HK"/>
        </w:rPr>
        <w:t xml:space="preserve"> respondent in the EC Action and the 1</w:t>
      </w:r>
      <w:r w:rsidRPr="00D20A95">
        <w:rPr>
          <w:vertAlign w:val="superscript"/>
          <w:lang w:val="en-HK"/>
        </w:rPr>
        <w:t>st</w:t>
      </w:r>
      <w:r>
        <w:rPr>
          <w:lang w:val="en-HK"/>
        </w:rPr>
        <w:t xml:space="preserve"> defendant in the PI Action.</w:t>
      </w:r>
    </w:p>
  </w:footnote>
  <w:footnote w:id="5">
    <w:p w:rsidR="00EF238A" w:rsidRPr="00A134E5" w:rsidRDefault="00EF238A" w:rsidP="00EF238A">
      <w:pPr>
        <w:pStyle w:val="FootnoteText"/>
      </w:pPr>
      <w:r>
        <w:rPr>
          <w:rStyle w:val="FootnoteReference"/>
        </w:rPr>
        <w:footnoteRef/>
      </w:r>
      <w:r>
        <w:t xml:space="preserve"> </w:t>
      </w:r>
      <w:r w:rsidRPr="00BB2694">
        <w:rPr>
          <w:i/>
        </w:rPr>
        <w:t xml:space="preserve">Kwan </w:t>
      </w:r>
      <w:proofErr w:type="spellStart"/>
      <w:r w:rsidRPr="00BB2694">
        <w:rPr>
          <w:i/>
        </w:rPr>
        <w:t>Kam</w:t>
      </w:r>
      <w:proofErr w:type="spellEnd"/>
      <w:r w:rsidRPr="00BB2694">
        <w:rPr>
          <w:i/>
        </w:rPr>
        <w:t xml:space="preserve"> </w:t>
      </w:r>
      <w:proofErr w:type="spellStart"/>
      <w:r w:rsidRPr="00BB2694">
        <w:rPr>
          <w:i/>
        </w:rPr>
        <w:t>Pui</w:t>
      </w:r>
      <w:proofErr w:type="spellEnd"/>
      <w:r w:rsidR="008733C3">
        <w:rPr>
          <w:i/>
        </w:rPr>
        <w:t xml:space="preserve">, supra, </w:t>
      </w:r>
      <w:r>
        <w:t>at §§17-24, 41</w:t>
      </w:r>
    </w:p>
  </w:footnote>
  <w:footnote w:id="6">
    <w:p w:rsidR="00EF238A" w:rsidRPr="00A134E5" w:rsidRDefault="00EF238A" w:rsidP="00EF238A">
      <w:pPr>
        <w:pStyle w:val="FootnoteText"/>
      </w:pPr>
      <w:r>
        <w:rPr>
          <w:rStyle w:val="FootnoteReference"/>
        </w:rPr>
        <w:footnoteRef/>
      </w:r>
      <w:r>
        <w:t xml:space="preserve"> </w:t>
      </w:r>
      <w:r w:rsidRPr="00BB2694">
        <w:rPr>
          <w:i/>
        </w:rPr>
        <w:t xml:space="preserve">Kwan </w:t>
      </w:r>
      <w:proofErr w:type="spellStart"/>
      <w:r w:rsidRPr="00BB2694">
        <w:rPr>
          <w:i/>
        </w:rPr>
        <w:t>Kam</w:t>
      </w:r>
      <w:proofErr w:type="spellEnd"/>
      <w:r w:rsidRPr="00BB2694">
        <w:rPr>
          <w:i/>
        </w:rPr>
        <w:t xml:space="preserve"> </w:t>
      </w:r>
      <w:proofErr w:type="spellStart"/>
      <w:r w:rsidRPr="00BB2694">
        <w:rPr>
          <w:i/>
        </w:rPr>
        <w:t>Pui</w:t>
      </w:r>
      <w:proofErr w:type="spellEnd"/>
      <w:r w:rsidRPr="00BB2694">
        <w:rPr>
          <w:i/>
        </w:rPr>
        <w:t>, supra</w:t>
      </w:r>
      <w:r>
        <w:t>, at §§25-65</w:t>
      </w:r>
    </w:p>
  </w:footnote>
  <w:footnote w:id="7">
    <w:p w:rsidR="006242C4" w:rsidRPr="006242C4" w:rsidRDefault="006242C4">
      <w:pPr>
        <w:pStyle w:val="FootnoteText"/>
        <w:rPr>
          <w:lang w:val="en-HK"/>
        </w:rPr>
      </w:pPr>
      <w:r>
        <w:rPr>
          <w:rStyle w:val="FootnoteReference"/>
        </w:rPr>
        <w:footnoteRef/>
      </w:r>
      <w:r>
        <w:t xml:space="preserve"> </w:t>
      </w:r>
      <w:r>
        <w:rPr>
          <w:lang w:val="en-HK"/>
        </w:rPr>
        <w:t>Section 29 of ECAO provides that where the Fund Board (after joined in a proceedings as a party) makes a written without prejudice save as to costs offer to any other party in the proceedings, the court shall take into account any such offer in deciding the question of costs.</w:t>
      </w:r>
    </w:p>
  </w:footnote>
  <w:footnote w:id="8">
    <w:p w:rsidR="00EF238A" w:rsidRPr="00A43D7A" w:rsidRDefault="00EF238A" w:rsidP="00EF238A">
      <w:pPr>
        <w:pStyle w:val="FootnoteText"/>
      </w:pPr>
      <w:r>
        <w:rPr>
          <w:rStyle w:val="FootnoteReference"/>
        </w:rPr>
        <w:footnoteRef/>
      </w:r>
      <w:r>
        <w:t xml:space="preserve"> unreported, CACV 255/2014, 5 October 2016</w:t>
      </w:r>
    </w:p>
  </w:footnote>
  <w:footnote w:id="9">
    <w:p w:rsidR="00EF238A" w:rsidRPr="00685FB2" w:rsidRDefault="00EF238A" w:rsidP="00EF238A">
      <w:pPr>
        <w:pStyle w:val="FootnoteText"/>
        <w:rPr>
          <w:lang w:val="en-HK"/>
        </w:rPr>
      </w:pPr>
      <w:r>
        <w:rPr>
          <w:rStyle w:val="FootnoteReference"/>
        </w:rPr>
        <w:footnoteRef/>
      </w:r>
      <w:r>
        <w:t xml:space="preserve"> </w:t>
      </w:r>
      <w:r>
        <w:rPr>
          <w:lang w:val="en-HK"/>
        </w:rPr>
        <w:t>Decision on Costs §26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48" w:rsidRDefault="00742889">
    <w:pPr>
      <w:pStyle w:val="Header"/>
    </w:pPr>
    <w:r w:rsidRPr="00742889">
      <w:rPr>
        <w:noProof/>
        <w:sz w:val="20"/>
      </w:rPr>
      <w:pict>
        <v:shapetype id="_x0000_t202" coordsize="21600,21600" o:spt="202" path="m,l,21600r21600,l21600,xe">
          <v:stroke joinstyle="miter"/>
          <v:path gradientshapeok="t" o:connecttype="rect"/>
        </v:shapetype>
        <v:shape id="Text Box 1" o:spid="_x0000_s6150" type="#_x0000_t202" style="position:absolute;left:0;text-align:left;margin-left:-63pt;margin-top:12.05pt;width:27pt;height:78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477348" w:rsidRDefault="00477348">
                <w:pPr>
                  <w:rPr>
                    <w:b/>
                    <w:sz w:val="20"/>
                  </w:rPr>
                </w:pPr>
                <w:r>
                  <w:rPr>
                    <w:rFonts w:hint="eastAsia"/>
                    <w:b/>
                    <w:sz w:val="20"/>
                  </w:rPr>
                  <w:t>A</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B</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C</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2"/>
                  <w:rPr>
                    <w:sz w:val="16"/>
                  </w:rPr>
                </w:pPr>
                <w:r>
                  <w:rPr>
                    <w:rFonts w:hint="eastAsia"/>
                  </w:rPr>
                  <w:t>D</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E</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F</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G</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H</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I</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J</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K</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L</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M</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N</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O</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P</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Q</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R</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S</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T</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U</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3"/>
                  <w:jc w:val="left"/>
                </w:pPr>
                <w:r>
                  <w:rPr>
                    <w:rFonts w:hint="eastAsia"/>
                  </w:rPr>
                  <w:t>V</w:t>
                </w:r>
              </w:p>
            </w:txbxContent>
          </v:textbox>
        </v:shape>
      </w:pict>
    </w:r>
    <w:r w:rsidRPr="00742889">
      <w:rPr>
        <w:noProof/>
        <w:sz w:val="20"/>
      </w:rPr>
      <w:pict>
        <v:shape id="Text Box 3" o:spid="_x0000_s6149" type="#_x0000_t202" style="position:absolute;left:0;text-align:left;margin-left:-63pt;margin-top:-19.15pt;width:45pt;height:23.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477348" w:rsidRDefault="00477348">
                <w:pPr>
                  <w:rPr>
                    <w:rFonts w:eastAsia="SimHei"/>
                    <w:b/>
                    <w:sz w:val="18"/>
                  </w:rPr>
                </w:pPr>
              </w:p>
            </w:txbxContent>
          </v:textbox>
        </v:shape>
      </w:pict>
    </w:r>
    <w:r w:rsidRPr="00742889">
      <w:rPr>
        <w:noProof/>
        <w:sz w:val="20"/>
      </w:rPr>
      <w:pict>
        <v:shape id="Text Box 2" o:spid="_x0000_s6148" type="#_x0000_t202" style="position:absolute;left:0;text-align:left;margin-left:471.4pt;margin-top:12.25pt;width:32.6pt;height:11in;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477348" w:rsidRDefault="00477348">
                <w:pPr>
                  <w:rPr>
                    <w:b/>
                    <w:sz w:val="20"/>
                  </w:rPr>
                </w:pPr>
                <w:r>
                  <w:rPr>
                    <w:rFonts w:hint="eastAsia"/>
                    <w:b/>
                    <w:sz w:val="20"/>
                  </w:rPr>
                  <w:t>A</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B</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C</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2"/>
                  <w:rPr>
                    <w:sz w:val="16"/>
                  </w:rPr>
                </w:pPr>
                <w:r>
                  <w:rPr>
                    <w:rFonts w:hint="eastAsia"/>
                  </w:rPr>
                  <w:t>D</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E</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F</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G</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H</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I</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J</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K</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L</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M</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N</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O</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P</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Q</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R</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S</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T</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U</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48" w:rsidRDefault="00477348">
    <w:pPr>
      <w:pStyle w:val="Header"/>
      <w:rPr>
        <w:sz w:val="28"/>
      </w:rPr>
    </w:pPr>
    <w:r>
      <w:rPr>
        <w:rFonts w:hint="eastAsia"/>
        <w:sz w:val="28"/>
      </w:rPr>
      <w:t xml:space="preserve">- </w:t>
    </w:r>
    <w:r w:rsidR="00742889">
      <w:rPr>
        <w:rStyle w:val="PageNumber"/>
        <w:sz w:val="28"/>
      </w:rPr>
      <w:fldChar w:fldCharType="begin"/>
    </w:r>
    <w:r>
      <w:rPr>
        <w:rStyle w:val="PageNumber"/>
        <w:sz w:val="28"/>
      </w:rPr>
      <w:instrText xml:space="preserve"> PAGE </w:instrText>
    </w:r>
    <w:r w:rsidR="00742889">
      <w:rPr>
        <w:rStyle w:val="PageNumber"/>
        <w:sz w:val="28"/>
      </w:rPr>
      <w:fldChar w:fldCharType="separate"/>
    </w:r>
    <w:r w:rsidR="001F182C">
      <w:rPr>
        <w:rStyle w:val="PageNumber"/>
        <w:noProof/>
        <w:sz w:val="28"/>
      </w:rPr>
      <w:t>15</w:t>
    </w:r>
    <w:r w:rsidR="00742889">
      <w:rPr>
        <w:rStyle w:val="PageNumber"/>
        <w:sz w:val="28"/>
      </w:rPr>
      <w:fldChar w:fldCharType="end"/>
    </w:r>
    <w:r>
      <w:rPr>
        <w:rStyle w:val="PageNumber"/>
        <w:rFonts w:hint="eastAsia"/>
        <w:sz w:val="28"/>
      </w:rPr>
      <w:t xml:space="preserve"> -</w:t>
    </w:r>
    <w:r w:rsidR="00742889">
      <w:rPr>
        <w:noProof/>
        <w:sz w:val="28"/>
      </w:rPr>
      <w:pict>
        <v:shapetype id="_x0000_t202" coordsize="21600,21600" o:spt="202" path="m,l,21600r21600,l21600,xe">
          <v:stroke joinstyle="miter"/>
          <v:path gradientshapeok="t" o:connecttype="rect"/>
        </v:shapetype>
        <v:shape id="Text Box 4" o:spid="_x0000_s6147" type="#_x0000_t202" style="position:absolute;left:0;text-align:left;margin-left:-63pt;margin-top:12.05pt;width:27pt;height:78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477348" w:rsidRDefault="00477348">
                <w:pPr>
                  <w:rPr>
                    <w:b/>
                    <w:sz w:val="20"/>
                  </w:rPr>
                </w:pPr>
                <w:r>
                  <w:rPr>
                    <w:rFonts w:hint="eastAsia"/>
                    <w:b/>
                    <w:sz w:val="20"/>
                  </w:rPr>
                  <w:t>A</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B</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C</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2"/>
                  <w:rPr>
                    <w:sz w:val="16"/>
                  </w:rPr>
                </w:pPr>
                <w:r>
                  <w:rPr>
                    <w:rFonts w:hint="eastAsia"/>
                  </w:rPr>
                  <w:t>D</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E</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F</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G</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H</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I</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J</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K</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L</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M</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N</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O</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P</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Q</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R</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S</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T</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U</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3"/>
                  <w:jc w:val="left"/>
                </w:pPr>
                <w:r>
                  <w:rPr>
                    <w:rFonts w:hint="eastAsia"/>
                  </w:rPr>
                  <w:t>V</w:t>
                </w:r>
              </w:p>
            </w:txbxContent>
          </v:textbox>
        </v:shape>
      </w:pict>
    </w:r>
    <w:r w:rsidR="00742889">
      <w:rPr>
        <w:noProof/>
        <w:sz w:val="28"/>
      </w:rPr>
      <w:pict>
        <v:shape id="Text Box 6" o:spid="_x0000_s6146" type="#_x0000_t202" style="position:absolute;left:0;text-align:left;margin-left:-63pt;margin-top:-19.15pt;width:45pt;height:23.4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477348" w:rsidRPr="00572FD9" w:rsidRDefault="00477348" w:rsidP="00572FD9"/>
            </w:txbxContent>
          </v:textbox>
        </v:shape>
      </w:pict>
    </w:r>
    <w:r w:rsidR="00742889">
      <w:rPr>
        <w:noProof/>
        <w:sz w:val="28"/>
      </w:rPr>
      <w:pict>
        <v:shape id="Text Box 5" o:spid="_x0000_s6145" type="#_x0000_t202" style="position:absolute;left:0;text-align:left;margin-left:471.4pt;margin-top:12.25pt;width:32.6pt;height:11in;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477348" w:rsidRDefault="00477348">
                <w:pPr>
                  <w:rPr>
                    <w:b/>
                    <w:sz w:val="20"/>
                  </w:rPr>
                </w:pPr>
                <w:r>
                  <w:rPr>
                    <w:rFonts w:hint="eastAsia"/>
                    <w:b/>
                    <w:sz w:val="20"/>
                  </w:rPr>
                  <w:t>A</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B</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C</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2"/>
                  <w:rPr>
                    <w:sz w:val="16"/>
                  </w:rPr>
                </w:pPr>
                <w:r>
                  <w:rPr>
                    <w:rFonts w:hint="eastAsia"/>
                  </w:rPr>
                  <w:t>D</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E</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20"/>
                  </w:rPr>
                </w:pPr>
                <w:r>
                  <w:rPr>
                    <w:rFonts w:hint="eastAsia"/>
                    <w:b/>
                    <w:sz w:val="20"/>
                  </w:rPr>
                  <w:t>F</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G</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H</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I</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J</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K</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L</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M</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N</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O</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P</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Q</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R</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S</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T</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rPr>
                    <w:b/>
                    <w:sz w:val="16"/>
                  </w:rPr>
                </w:pPr>
                <w:r>
                  <w:rPr>
                    <w:rFonts w:hint="eastAsia"/>
                    <w:b/>
                    <w:sz w:val="20"/>
                  </w:rPr>
                  <w:t>U</w:t>
                </w:r>
              </w:p>
              <w:p w:rsidR="00477348" w:rsidRDefault="00477348">
                <w:pPr>
                  <w:rPr>
                    <w:b/>
                    <w:sz w:val="10"/>
                  </w:rPr>
                </w:pPr>
              </w:p>
              <w:p w:rsidR="00477348" w:rsidRDefault="00477348">
                <w:pPr>
                  <w:rPr>
                    <w:b/>
                    <w:sz w:val="16"/>
                  </w:rPr>
                </w:pPr>
              </w:p>
              <w:p w:rsidR="00477348" w:rsidRDefault="00477348">
                <w:pPr>
                  <w:rPr>
                    <w:b/>
                    <w:sz w:val="16"/>
                  </w:rPr>
                </w:pPr>
              </w:p>
              <w:p w:rsidR="00477348" w:rsidRDefault="00477348">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307E38"/>
    <w:name w:val="WW8Num1"/>
    <w:lvl w:ilvl="0">
      <w:start w:val="1"/>
      <w:numFmt w:val="decimal"/>
      <w:lvlText w:val="%1."/>
      <w:lvlJc w:val="left"/>
      <w:pPr>
        <w:tabs>
          <w:tab w:val="num" w:pos="721"/>
        </w:tabs>
        <w:ind w:left="721" w:hanging="720"/>
      </w:pPr>
      <w:rPr>
        <w:sz w:val="30"/>
      </w:r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suff w:val="nothing"/>
      <w:lvlText w:val="(%4)"/>
      <w:lvlJc w:val="left"/>
      <w:pPr>
        <w:tabs>
          <w:tab w:val="num" w:pos="2160"/>
        </w:tabs>
        <w:ind w:left="2160" w:firstLine="0"/>
      </w:pPr>
    </w:lvl>
    <w:lvl w:ilvl="4">
      <w:start w:val="1"/>
      <w:numFmt w:val="bullet"/>
      <w:suff w:val="nothing"/>
      <w:lvlText w:val=""/>
      <w:lvlJc w:val="left"/>
      <w:pPr>
        <w:tabs>
          <w:tab w:val="num" w:pos="0"/>
        </w:tabs>
        <w:ind w:left="0" w:firstLine="0"/>
      </w:pPr>
      <w:rPr>
        <w:rFonts w:ascii="Symbol" w:hAnsi="Symbol" w:cs="PMingLiU"/>
        <w:sz w:val="18"/>
        <w:szCs w:val="18"/>
      </w:rPr>
    </w:lvl>
    <w:lvl w:ilvl="5">
      <w:start w:val="1"/>
      <w:numFmt w:val="bullet"/>
      <w:suff w:val="nothing"/>
      <w:lvlText w:val=""/>
      <w:lvlJc w:val="left"/>
      <w:pPr>
        <w:tabs>
          <w:tab w:val="num" w:pos="0"/>
        </w:tabs>
        <w:ind w:left="0" w:firstLine="0"/>
      </w:pPr>
      <w:rPr>
        <w:rFonts w:ascii="Symbol" w:hAnsi="Symbol" w:cs="PMingLiU"/>
        <w:sz w:val="18"/>
        <w:szCs w:val="18"/>
      </w:rPr>
    </w:lvl>
    <w:lvl w:ilvl="6">
      <w:start w:val="1"/>
      <w:numFmt w:val="bullet"/>
      <w:suff w:val="nothing"/>
      <w:lvlText w:val=""/>
      <w:lvlJc w:val="left"/>
      <w:pPr>
        <w:tabs>
          <w:tab w:val="num" w:pos="0"/>
        </w:tabs>
        <w:ind w:left="0" w:firstLine="0"/>
      </w:pPr>
      <w:rPr>
        <w:rFonts w:ascii="Symbol" w:hAnsi="Symbol" w:cs="PMingLiU"/>
        <w:sz w:val="18"/>
        <w:szCs w:val="18"/>
      </w:rPr>
    </w:lvl>
    <w:lvl w:ilvl="7">
      <w:start w:val="1"/>
      <w:numFmt w:val="bullet"/>
      <w:suff w:val="nothing"/>
      <w:lvlText w:val=""/>
      <w:lvlJc w:val="left"/>
      <w:pPr>
        <w:tabs>
          <w:tab w:val="num" w:pos="0"/>
        </w:tabs>
        <w:ind w:left="0" w:firstLine="0"/>
      </w:pPr>
      <w:rPr>
        <w:rFonts w:ascii="Symbol" w:hAnsi="Symbol" w:cs="PMingLiU"/>
        <w:sz w:val="18"/>
        <w:szCs w:val="18"/>
      </w:rPr>
    </w:lvl>
    <w:lvl w:ilvl="8">
      <w:start w:val="1"/>
      <w:numFmt w:val="bullet"/>
      <w:suff w:val="nothing"/>
      <w:lvlText w:val=""/>
      <w:lvlJc w:val="left"/>
      <w:pPr>
        <w:tabs>
          <w:tab w:val="num" w:pos="0"/>
        </w:tabs>
        <w:ind w:left="0" w:firstLine="0"/>
      </w:pPr>
      <w:rPr>
        <w:rFonts w:ascii="Symbol" w:hAnsi="Symbol" w:cs="PMingLiU"/>
        <w:sz w:val="18"/>
        <w:szCs w:val="18"/>
      </w:rPr>
    </w:lvl>
  </w:abstractNum>
  <w:abstractNum w:abstractNumId="1">
    <w:nsid w:val="00000004"/>
    <w:multiLevelType w:val="multilevel"/>
    <w:tmpl w:val="894EE876"/>
    <w:lvl w:ilvl="0">
      <w:start w:val="1"/>
      <w:numFmt w:val="lowerLetter"/>
      <w:lvlText w:val="(%1)"/>
      <w:lvlJc w:val="left"/>
      <w:pPr>
        <w:tabs>
          <w:tab w:val="num" w:pos="360"/>
        </w:tabs>
        <w:ind w:left="360" w:firstLine="0"/>
      </w:pPr>
      <w:rPr>
        <w:rFonts w:hint="default"/>
        <w:position w:val="0"/>
        <w:sz w:val="28"/>
      </w:rPr>
    </w:lvl>
    <w:lvl w:ilvl="1">
      <w:start w:val="1"/>
      <w:numFmt w:val="lowerLetter"/>
      <w:lvlText w:val="(%2)"/>
      <w:lvlJc w:val="left"/>
      <w:pPr>
        <w:tabs>
          <w:tab w:val="num" w:pos="360"/>
        </w:tabs>
        <w:ind w:left="360" w:firstLine="360"/>
      </w:pPr>
      <w:rPr>
        <w:rFonts w:hint="default"/>
        <w:position w:val="0"/>
        <w:sz w:val="28"/>
      </w:rPr>
    </w:lvl>
    <w:lvl w:ilvl="2">
      <w:start w:val="1"/>
      <w:numFmt w:val="lowerLetter"/>
      <w:lvlText w:val="(%3)"/>
      <w:lvlJc w:val="left"/>
      <w:pPr>
        <w:tabs>
          <w:tab w:val="num" w:pos="360"/>
        </w:tabs>
        <w:ind w:left="360" w:firstLine="720"/>
      </w:pPr>
      <w:rPr>
        <w:rFonts w:hint="default"/>
        <w:position w:val="0"/>
        <w:sz w:val="28"/>
      </w:rPr>
    </w:lvl>
    <w:lvl w:ilvl="3">
      <w:start w:val="1"/>
      <w:numFmt w:val="lowerLetter"/>
      <w:lvlText w:val="(%4)"/>
      <w:lvlJc w:val="left"/>
      <w:pPr>
        <w:tabs>
          <w:tab w:val="num" w:pos="360"/>
        </w:tabs>
        <w:ind w:left="360" w:firstLine="1080"/>
      </w:pPr>
      <w:rPr>
        <w:rFonts w:hint="default"/>
        <w:position w:val="0"/>
        <w:sz w:val="28"/>
      </w:rPr>
    </w:lvl>
    <w:lvl w:ilvl="4">
      <w:start w:val="1"/>
      <w:numFmt w:val="lowerLetter"/>
      <w:lvlText w:val="(%5)"/>
      <w:lvlJc w:val="left"/>
      <w:pPr>
        <w:tabs>
          <w:tab w:val="num" w:pos="360"/>
        </w:tabs>
        <w:ind w:left="360" w:firstLine="1440"/>
      </w:pPr>
      <w:rPr>
        <w:rFonts w:hint="default"/>
        <w:position w:val="0"/>
        <w:sz w:val="28"/>
      </w:rPr>
    </w:lvl>
    <w:lvl w:ilvl="5">
      <w:start w:val="1"/>
      <w:numFmt w:val="lowerLetter"/>
      <w:lvlText w:val="(%6)"/>
      <w:lvlJc w:val="left"/>
      <w:pPr>
        <w:tabs>
          <w:tab w:val="num" w:pos="360"/>
        </w:tabs>
        <w:ind w:left="360" w:firstLine="1800"/>
      </w:pPr>
      <w:rPr>
        <w:rFonts w:hint="default"/>
        <w:position w:val="0"/>
        <w:sz w:val="28"/>
      </w:rPr>
    </w:lvl>
    <w:lvl w:ilvl="6">
      <w:start w:val="1"/>
      <w:numFmt w:val="lowerLetter"/>
      <w:lvlText w:val="(%7)"/>
      <w:lvlJc w:val="left"/>
      <w:pPr>
        <w:tabs>
          <w:tab w:val="num" w:pos="360"/>
        </w:tabs>
        <w:ind w:left="360" w:firstLine="2160"/>
      </w:pPr>
      <w:rPr>
        <w:rFonts w:hint="default"/>
        <w:position w:val="0"/>
        <w:sz w:val="28"/>
      </w:rPr>
    </w:lvl>
    <w:lvl w:ilvl="7">
      <w:start w:val="1"/>
      <w:numFmt w:val="lowerLetter"/>
      <w:lvlText w:val="(%8)"/>
      <w:lvlJc w:val="left"/>
      <w:pPr>
        <w:tabs>
          <w:tab w:val="num" w:pos="360"/>
        </w:tabs>
        <w:ind w:left="360" w:firstLine="2520"/>
      </w:pPr>
      <w:rPr>
        <w:rFonts w:hint="default"/>
        <w:position w:val="0"/>
        <w:sz w:val="28"/>
      </w:rPr>
    </w:lvl>
    <w:lvl w:ilvl="8">
      <w:start w:val="1"/>
      <w:numFmt w:val="lowerLetter"/>
      <w:lvlText w:val="(%9)"/>
      <w:lvlJc w:val="left"/>
      <w:pPr>
        <w:tabs>
          <w:tab w:val="num" w:pos="360"/>
        </w:tabs>
        <w:ind w:left="360" w:firstLine="2880"/>
      </w:pPr>
      <w:rPr>
        <w:rFonts w:hint="default"/>
        <w:position w:val="0"/>
        <w:sz w:val="28"/>
      </w:rPr>
    </w:lvl>
  </w:abstractNum>
  <w:abstractNum w:abstractNumId="2">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2F929A6"/>
    <w:multiLevelType w:val="hybridMultilevel"/>
    <w:tmpl w:val="245055E8"/>
    <w:lvl w:ilvl="0" w:tplc="0FE065B2">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27569"/>
    <w:multiLevelType w:val="hybridMultilevel"/>
    <w:tmpl w:val="5ABEAF8E"/>
    <w:lvl w:ilvl="0" w:tplc="04625D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88353A"/>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6">
    <w:nsid w:val="0CF26289"/>
    <w:multiLevelType w:val="hybridMultilevel"/>
    <w:tmpl w:val="DD0CD516"/>
    <w:lvl w:ilvl="0" w:tplc="AE08F24E">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16CCB"/>
    <w:multiLevelType w:val="hybridMultilevel"/>
    <w:tmpl w:val="4F5E2F4C"/>
    <w:lvl w:ilvl="0" w:tplc="C83EA512">
      <w:start w:val="1"/>
      <w:numFmt w:val="lowerRoman"/>
      <w:lvlText w:val="(%1)"/>
      <w:lvlJc w:val="left"/>
      <w:pPr>
        <w:ind w:left="786" w:hanging="360"/>
      </w:pPr>
      <w:rPr>
        <w:rFonts w:ascii="Times New Roman" w:eastAsia="PMingLiU" w:hAnsi="Times New Roman" w:cs="Times New Roman"/>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nsid w:val="1CC01F64"/>
    <w:multiLevelType w:val="hybridMultilevel"/>
    <w:tmpl w:val="40905FC6"/>
    <w:lvl w:ilvl="0" w:tplc="C900B478">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1353F"/>
    <w:multiLevelType w:val="hybridMultilevel"/>
    <w:tmpl w:val="D9F4FF3A"/>
    <w:lvl w:ilvl="0" w:tplc="18083448">
      <w:start w:val="1"/>
      <w:numFmt w:val="decimal"/>
      <w:lvlText w:val="%1."/>
      <w:lvlJc w:val="righ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803620"/>
    <w:multiLevelType w:val="hybridMultilevel"/>
    <w:tmpl w:val="223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75235"/>
    <w:multiLevelType w:val="multilevel"/>
    <w:tmpl w:val="4E50E78E"/>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E9B22FB"/>
    <w:multiLevelType w:val="hybridMultilevel"/>
    <w:tmpl w:val="47C00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8677E"/>
    <w:multiLevelType w:val="hybridMultilevel"/>
    <w:tmpl w:val="91D2B930"/>
    <w:lvl w:ilvl="0" w:tplc="5E5ED994">
      <w:start w:val="1"/>
      <w:numFmt w:val="lowerLetter"/>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E1731E"/>
    <w:multiLevelType w:val="hybridMultilevel"/>
    <w:tmpl w:val="DE2E4A64"/>
    <w:lvl w:ilvl="0" w:tplc="107E2F30">
      <w:start w:val="1"/>
      <w:numFmt w:val="decimal"/>
      <w:lvlText w:val="%1."/>
      <w:lvlJc w:val="left"/>
      <w:pPr>
        <w:ind w:left="720" w:hanging="360"/>
      </w:pPr>
      <w:rPr>
        <w:rFonts w:ascii="Times New Roman" w:hAnsi="Times New Roman" w:hint="default"/>
        <w:b w:val="0"/>
        <w:i w:val="0"/>
        <w:sz w:val="28"/>
      </w:rPr>
    </w:lvl>
    <w:lvl w:ilvl="1" w:tplc="AFEA48F2">
      <w:start w:val="1"/>
      <w:numFmt w:val="lowerLetter"/>
      <w:lvlText w:val="(%2)"/>
      <w:lvlJc w:val="left"/>
      <w:pPr>
        <w:ind w:left="2520" w:hanging="1440"/>
      </w:pPr>
      <w:rPr>
        <w:rFonts w:eastAsia="PMingLiU"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B3A7C"/>
    <w:multiLevelType w:val="singleLevel"/>
    <w:tmpl w:val="8272C476"/>
    <w:lvl w:ilvl="0">
      <w:start w:val="1"/>
      <w:numFmt w:val="decimal"/>
      <w:lvlText w:val="%1."/>
      <w:lvlJc w:val="left"/>
      <w:pPr>
        <w:tabs>
          <w:tab w:val="num" w:pos="360"/>
        </w:tabs>
        <w:ind w:left="0" w:firstLine="0"/>
      </w:pPr>
    </w:lvl>
  </w:abstractNum>
  <w:abstractNum w:abstractNumId="16">
    <w:nsid w:val="330C1F74"/>
    <w:multiLevelType w:val="hybridMultilevel"/>
    <w:tmpl w:val="CE2E3664"/>
    <w:lvl w:ilvl="0" w:tplc="176C0BE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90D735D"/>
    <w:multiLevelType w:val="hybridMultilevel"/>
    <w:tmpl w:val="B072AED2"/>
    <w:lvl w:ilvl="0" w:tplc="F47E40C8">
      <w:start w:val="1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BE73D9E"/>
    <w:multiLevelType w:val="hybridMultilevel"/>
    <w:tmpl w:val="CE38EDDC"/>
    <w:lvl w:ilvl="0" w:tplc="E612BF5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BF1BF3"/>
    <w:multiLevelType w:val="hybridMultilevel"/>
    <w:tmpl w:val="98323104"/>
    <w:lvl w:ilvl="0" w:tplc="7C9293FA">
      <w:start w:val="4"/>
      <w:numFmt w:val="decimal"/>
      <w:lvlText w:val="(%1)"/>
      <w:lvlJc w:val="left"/>
      <w:pPr>
        <w:tabs>
          <w:tab w:val="num" w:pos="2340"/>
        </w:tabs>
        <w:ind w:left="2340" w:hanging="900"/>
      </w:pPr>
      <w:rPr>
        <w:rFonts w:hint="eastAsia"/>
      </w:rPr>
    </w:lvl>
    <w:lvl w:ilvl="1" w:tplc="AE08F24E">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43140CD7"/>
    <w:multiLevelType w:val="hybridMultilevel"/>
    <w:tmpl w:val="BD0CFB5C"/>
    <w:lvl w:ilvl="0" w:tplc="CCFA1AA6">
      <w:start w:val="1"/>
      <w:numFmt w:val="decimal"/>
      <w:lvlText w:val="%1."/>
      <w:lvlJc w:val="left"/>
      <w:pPr>
        <w:ind w:left="1065" w:hanging="705"/>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9668BD"/>
    <w:multiLevelType w:val="hybridMultilevel"/>
    <w:tmpl w:val="8DF09610"/>
    <w:lvl w:ilvl="0" w:tplc="B47A5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E0C68EE"/>
    <w:multiLevelType w:val="hybridMultilevel"/>
    <w:tmpl w:val="A0987866"/>
    <w:lvl w:ilvl="0" w:tplc="A7C48C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4F8852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61A6E8B"/>
    <w:multiLevelType w:val="hybridMultilevel"/>
    <w:tmpl w:val="C4BCEA72"/>
    <w:lvl w:ilvl="0" w:tplc="39B65F6A">
      <w:start w:val="1"/>
      <w:numFmt w:val="lowerRoman"/>
      <w:lvlText w:val="%1."/>
      <w:lvlJc w:val="lef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54714"/>
    <w:multiLevelType w:val="hybridMultilevel"/>
    <w:tmpl w:val="019E67EA"/>
    <w:lvl w:ilvl="0" w:tplc="AE08F2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937950"/>
    <w:multiLevelType w:val="hybridMultilevel"/>
    <w:tmpl w:val="20A27252"/>
    <w:lvl w:ilvl="0" w:tplc="FA18FCD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59688A"/>
    <w:multiLevelType w:val="hybridMultilevel"/>
    <w:tmpl w:val="31BC4636"/>
    <w:lvl w:ilvl="0" w:tplc="62A48AB4">
      <w:start w:val="1"/>
      <w:numFmt w:val="decimal"/>
      <w:lvlText w:val="%1."/>
      <w:lvlJc w:val="left"/>
      <w:pPr>
        <w:ind w:left="2085" w:hanging="1725"/>
      </w:pPr>
      <w:rPr>
        <w:rFonts w:hint="default"/>
      </w:rPr>
    </w:lvl>
    <w:lvl w:ilvl="1" w:tplc="0FE065B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463779"/>
    <w:multiLevelType w:val="hybridMultilevel"/>
    <w:tmpl w:val="2848B674"/>
    <w:lvl w:ilvl="0" w:tplc="179C03F8">
      <w:start w:val="1"/>
      <w:numFmt w:val="decimal"/>
      <w:lvlText w:val="%1."/>
      <w:lvlJc w:val="left"/>
      <w:pPr>
        <w:tabs>
          <w:tab w:val="num" w:pos="360"/>
        </w:tabs>
        <w:ind w:left="360" w:hanging="360"/>
      </w:pPr>
      <w:rPr>
        <w:rFonts w:hint="default"/>
        <w:b w:val="0"/>
        <w:i w:val="0"/>
      </w:rPr>
    </w:lvl>
    <w:lvl w:ilvl="1" w:tplc="AB44F572">
      <w:start w:val="1"/>
      <w:numFmt w:val="lowerLetter"/>
      <w:lvlText w:val="(%2)"/>
      <w:lvlJc w:val="left"/>
      <w:pPr>
        <w:tabs>
          <w:tab w:val="num" w:pos="1260"/>
        </w:tabs>
        <w:ind w:left="1260" w:hanging="360"/>
      </w:pPr>
      <w:rPr>
        <w:rFonts w:hint="default"/>
        <w:b w:val="0"/>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9">
    <w:nsid w:val="69496943"/>
    <w:multiLevelType w:val="hybridMultilevel"/>
    <w:tmpl w:val="EB967290"/>
    <w:lvl w:ilvl="0" w:tplc="AE08F24E">
      <w:start w:val="1"/>
      <w:numFmt w:val="lowerLetter"/>
      <w:pStyle w:val="List1"/>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0">
    <w:nsid w:val="72DB7D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74B39EC"/>
    <w:multiLevelType w:val="hybridMultilevel"/>
    <w:tmpl w:val="9C96A060"/>
    <w:lvl w:ilvl="0" w:tplc="B47A5F54">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E03EE5"/>
    <w:multiLevelType w:val="hybridMultilevel"/>
    <w:tmpl w:val="2EDE72F6"/>
    <w:lvl w:ilvl="0" w:tplc="18083448">
      <w:start w:val="1"/>
      <w:numFmt w:val="decimal"/>
      <w:lvlText w:val="%1."/>
      <w:lvlJc w:val="righ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B3D28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E0C6D1F"/>
    <w:multiLevelType w:val="hybridMultilevel"/>
    <w:tmpl w:val="030AF880"/>
    <w:lvl w:ilvl="0" w:tplc="76DE8E98">
      <w:start w:val="20"/>
      <w:numFmt w:val="decimal"/>
      <w:lvlText w:val="%1."/>
      <w:lvlJc w:val="left"/>
      <w:pPr>
        <w:tabs>
          <w:tab w:val="num" w:pos="1800"/>
        </w:tabs>
        <w:ind w:left="144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E671C2F"/>
    <w:multiLevelType w:val="hybridMultilevel"/>
    <w:tmpl w:val="0DEED22E"/>
    <w:lvl w:ilvl="0" w:tplc="F00489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19"/>
  </w:num>
  <w:num w:numId="3">
    <w:abstractNumId w:val="34"/>
  </w:num>
  <w:num w:numId="4">
    <w:abstractNumId w:val="29"/>
  </w:num>
  <w:num w:numId="5">
    <w:abstractNumId w:val="5"/>
  </w:num>
  <w:num w:numId="6">
    <w:abstractNumId w:val="21"/>
  </w:num>
  <w:num w:numId="7">
    <w:abstractNumId w:val="22"/>
  </w:num>
  <w:num w:numId="8">
    <w:abstractNumId w:val="1"/>
  </w:num>
  <w:num w:numId="9">
    <w:abstractNumId w:val="2"/>
  </w:num>
  <w:num w:numId="10">
    <w:abstractNumId w:val="24"/>
  </w:num>
  <w:num w:numId="11">
    <w:abstractNumId w:val="27"/>
  </w:num>
  <w:num w:numId="12">
    <w:abstractNumId w:val="33"/>
  </w:num>
  <w:num w:numId="13">
    <w:abstractNumId w:val="30"/>
  </w:num>
  <w:num w:numId="14">
    <w:abstractNumId w:val="9"/>
  </w:num>
  <w:num w:numId="15">
    <w:abstractNumId w:val="18"/>
  </w:num>
  <w:num w:numId="16">
    <w:abstractNumId w:val="11"/>
  </w:num>
  <w:num w:numId="17">
    <w:abstractNumId w:val="31"/>
  </w:num>
  <w:num w:numId="18">
    <w:abstractNumId w:val="25"/>
  </w:num>
  <w:num w:numId="19">
    <w:abstractNumId w:val="3"/>
  </w:num>
  <w:num w:numId="20">
    <w:abstractNumId w:val="6"/>
  </w:num>
  <w:num w:numId="21">
    <w:abstractNumId w:val="14"/>
  </w:num>
  <w:num w:numId="22">
    <w:abstractNumId w:val="23"/>
  </w:num>
  <w:num w:numId="23">
    <w:abstractNumId w:val="32"/>
  </w:num>
  <w:num w:numId="24">
    <w:abstractNumId w:val="13"/>
  </w:num>
  <w:num w:numId="25">
    <w:abstractNumId w:val="20"/>
  </w:num>
  <w:num w:numId="26">
    <w:abstractNumId w:val="17"/>
  </w:num>
  <w:num w:numId="27">
    <w:abstractNumId w:val="28"/>
  </w:num>
  <w:num w:numId="28">
    <w:abstractNumId w:val="26"/>
  </w:num>
  <w:num w:numId="29">
    <w:abstractNumId w:val="7"/>
  </w:num>
  <w:num w:numId="30">
    <w:abstractNumId w:val="0"/>
  </w:num>
  <w:num w:numId="31">
    <w:abstractNumId w:val="10"/>
  </w:num>
  <w:num w:numId="32">
    <w:abstractNumId w:val="12"/>
  </w:num>
  <w:num w:numId="33">
    <w:abstractNumId w:val="16"/>
  </w:num>
  <w:num w:numId="34">
    <w:abstractNumId w:val="8"/>
  </w:num>
  <w:num w:numId="35">
    <w:abstractNumId w:val="4"/>
  </w:num>
  <w:num w:numId="36">
    <w:abstractNumId w:val="3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7170"/>
    <o:shapelayout v:ext="edit">
      <o:idmap v:ext="edit" data="6"/>
    </o:shapelayout>
  </w:hdrShapeDefaults>
  <w:footnotePr>
    <w:footnote w:id="-1"/>
    <w:footnote w:id="0"/>
  </w:footnotePr>
  <w:endnotePr>
    <w:endnote w:id="-1"/>
    <w:endnote w:id="0"/>
  </w:endnotePr>
  <w:compat>
    <w:useFELayout/>
  </w:compat>
  <w:rsids>
    <w:rsidRoot w:val="00572FD9"/>
    <w:rsid w:val="000146F0"/>
    <w:rsid w:val="00050315"/>
    <w:rsid w:val="00065781"/>
    <w:rsid w:val="000667A7"/>
    <w:rsid w:val="00073248"/>
    <w:rsid w:val="00076943"/>
    <w:rsid w:val="00081D1C"/>
    <w:rsid w:val="000A393F"/>
    <w:rsid w:val="000B3A1D"/>
    <w:rsid w:val="000B4903"/>
    <w:rsid w:val="000B69C1"/>
    <w:rsid w:val="000C5A7E"/>
    <w:rsid w:val="000C7EDE"/>
    <w:rsid w:val="000D34DB"/>
    <w:rsid w:val="000D6506"/>
    <w:rsid w:val="000E7551"/>
    <w:rsid w:val="000F3870"/>
    <w:rsid w:val="00101522"/>
    <w:rsid w:val="00112046"/>
    <w:rsid w:val="00125DB7"/>
    <w:rsid w:val="00135602"/>
    <w:rsid w:val="001569A9"/>
    <w:rsid w:val="001631D4"/>
    <w:rsid w:val="00167E9F"/>
    <w:rsid w:val="001A1E5A"/>
    <w:rsid w:val="001B5DEA"/>
    <w:rsid w:val="001C4EC6"/>
    <w:rsid w:val="001D6338"/>
    <w:rsid w:val="001E284C"/>
    <w:rsid w:val="001F182C"/>
    <w:rsid w:val="001F4420"/>
    <w:rsid w:val="00213F11"/>
    <w:rsid w:val="00223B3F"/>
    <w:rsid w:val="002305AB"/>
    <w:rsid w:val="0023518B"/>
    <w:rsid w:val="002355C2"/>
    <w:rsid w:val="00235D5F"/>
    <w:rsid w:val="00236A9D"/>
    <w:rsid w:val="00245A95"/>
    <w:rsid w:val="00262985"/>
    <w:rsid w:val="002662E3"/>
    <w:rsid w:val="00272F26"/>
    <w:rsid w:val="0027478B"/>
    <w:rsid w:val="002A0D06"/>
    <w:rsid w:val="002A4A01"/>
    <w:rsid w:val="002D2ABD"/>
    <w:rsid w:val="002D5397"/>
    <w:rsid w:val="002E6A92"/>
    <w:rsid w:val="002F2CC9"/>
    <w:rsid w:val="002F39C8"/>
    <w:rsid w:val="00300E9F"/>
    <w:rsid w:val="00313B6A"/>
    <w:rsid w:val="00320F5A"/>
    <w:rsid w:val="00321790"/>
    <w:rsid w:val="003575FB"/>
    <w:rsid w:val="00367657"/>
    <w:rsid w:val="00370DE5"/>
    <w:rsid w:val="00390E30"/>
    <w:rsid w:val="003A3656"/>
    <w:rsid w:val="003B39CF"/>
    <w:rsid w:val="003C2337"/>
    <w:rsid w:val="003C5553"/>
    <w:rsid w:val="003F17ED"/>
    <w:rsid w:val="003F5281"/>
    <w:rsid w:val="004172B6"/>
    <w:rsid w:val="004238FF"/>
    <w:rsid w:val="00427893"/>
    <w:rsid w:val="00442A7C"/>
    <w:rsid w:val="00446E1B"/>
    <w:rsid w:val="00470EB2"/>
    <w:rsid w:val="00472CF8"/>
    <w:rsid w:val="004733AD"/>
    <w:rsid w:val="00477348"/>
    <w:rsid w:val="0047752F"/>
    <w:rsid w:val="00480C81"/>
    <w:rsid w:val="00485E71"/>
    <w:rsid w:val="00486531"/>
    <w:rsid w:val="004A3426"/>
    <w:rsid w:val="004B255A"/>
    <w:rsid w:val="004B6CD9"/>
    <w:rsid w:val="004C78B8"/>
    <w:rsid w:val="004C7A37"/>
    <w:rsid w:val="004D51B1"/>
    <w:rsid w:val="004F3253"/>
    <w:rsid w:val="004F4352"/>
    <w:rsid w:val="00500D9C"/>
    <w:rsid w:val="00520674"/>
    <w:rsid w:val="00520D3B"/>
    <w:rsid w:val="00520F77"/>
    <w:rsid w:val="00525A8F"/>
    <w:rsid w:val="00551EB5"/>
    <w:rsid w:val="00570964"/>
    <w:rsid w:val="00572FD9"/>
    <w:rsid w:val="00574DD3"/>
    <w:rsid w:val="00585DFF"/>
    <w:rsid w:val="00596DCD"/>
    <w:rsid w:val="005D4FDD"/>
    <w:rsid w:val="005E0F4D"/>
    <w:rsid w:val="005E3DB1"/>
    <w:rsid w:val="005E3ECF"/>
    <w:rsid w:val="006229BD"/>
    <w:rsid w:val="006242C4"/>
    <w:rsid w:val="00631857"/>
    <w:rsid w:val="00641F97"/>
    <w:rsid w:val="006516CA"/>
    <w:rsid w:val="00655446"/>
    <w:rsid w:val="0066499E"/>
    <w:rsid w:val="00667199"/>
    <w:rsid w:val="00670B59"/>
    <w:rsid w:val="00693232"/>
    <w:rsid w:val="006A4DA5"/>
    <w:rsid w:val="006D6D41"/>
    <w:rsid w:val="006F0CA0"/>
    <w:rsid w:val="006F470B"/>
    <w:rsid w:val="00700AC7"/>
    <w:rsid w:val="00700D05"/>
    <w:rsid w:val="00704B74"/>
    <w:rsid w:val="00715F58"/>
    <w:rsid w:val="0073711D"/>
    <w:rsid w:val="0074162C"/>
    <w:rsid w:val="00742889"/>
    <w:rsid w:val="0074483D"/>
    <w:rsid w:val="00745EBA"/>
    <w:rsid w:val="007515C9"/>
    <w:rsid w:val="0075381E"/>
    <w:rsid w:val="00755E1B"/>
    <w:rsid w:val="00762BCB"/>
    <w:rsid w:val="00763DE8"/>
    <w:rsid w:val="007C05DC"/>
    <w:rsid w:val="007C3303"/>
    <w:rsid w:val="007C7613"/>
    <w:rsid w:val="007C7BE9"/>
    <w:rsid w:val="007D150E"/>
    <w:rsid w:val="007F1DBE"/>
    <w:rsid w:val="00803085"/>
    <w:rsid w:val="0080377A"/>
    <w:rsid w:val="0080454A"/>
    <w:rsid w:val="00811CC5"/>
    <w:rsid w:val="0081270C"/>
    <w:rsid w:val="00842846"/>
    <w:rsid w:val="00855B01"/>
    <w:rsid w:val="00856F01"/>
    <w:rsid w:val="0086012E"/>
    <w:rsid w:val="008622BE"/>
    <w:rsid w:val="008643E9"/>
    <w:rsid w:val="00870B06"/>
    <w:rsid w:val="008733C3"/>
    <w:rsid w:val="008815FE"/>
    <w:rsid w:val="00883674"/>
    <w:rsid w:val="00894CE4"/>
    <w:rsid w:val="00895781"/>
    <w:rsid w:val="008B05B3"/>
    <w:rsid w:val="008B6503"/>
    <w:rsid w:val="008F3057"/>
    <w:rsid w:val="008F5236"/>
    <w:rsid w:val="008F66AC"/>
    <w:rsid w:val="00900279"/>
    <w:rsid w:val="00901CD8"/>
    <w:rsid w:val="00904A50"/>
    <w:rsid w:val="00906139"/>
    <w:rsid w:val="00910BFA"/>
    <w:rsid w:val="00921EDD"/>
    <w:rsid w:val="009333DF"/>
    <w:rsid w:val="00936067"/>
    <w:rsid w:val="0095021D"/>
    <w:rsid w:val="0095462A"/>
    <w:rsid w:val="00977BF1"/>
    <w:rsid w:val="00981970"/>
    <w:rsid w:val="00985551"/>
    <w:rsid w:val="009A26C8"/>
    <w:rsid w:val="009B7EEA"/>
    <w:rsid w:val="009C1F59"/>
    <w:rsid w:val="009D2771"/>
    <w:rsid w:val="009E0023"/>
    <w:rsid w:val="00A164E8"/>
    <w:rsid w:val="00A21552"/>
    <w:rsid w:val="00A27E96"/>
    <w:rsid w:val="00A41C54"/>
    <w:rsid w:val="00A443DE"/>
    <w:rsid w:val="00A47160"/>
    <w:rsid w:val="00A478CD"/>
    <w:rsid w:val="00A53DBB"/>
    <w:rsid w:val="00A62D12"/>
    <w:rsid w:val="00A7455F"/>
    <w:rsid w:val="00A75F18"/>
    <w:rsid w:val="00AA2DA6"/>
    <w:rsid w:val="00AB207D"/>
    <w:rsid w:val="00AB4B87"/>
    <w:rsid w:val="00AC6445"/>
    <w:rsid w:val="00AD2FE1"/>
    <w:rsid w:val="00AD4446"/>
    <w:rsid w:val="00AD61DD"/>
    <w:rsid w:val="00AE4685"/>
    <w:rsid w:val="00AF5AF0"/>
    <w:rsid w:val="00AF69EA"/>
    <w:rsid w:val="00B04119"/>
    <w:rsid w:val="00B06F91"/>
    <w:rsid w:val="00B11440"/>
    <w:rsid w:val="00B2172C"/>
    <w:rsid w:val="00B24984"/>
    <w:rsid w:val="00B41FD0"/>
    <w:rsid w:val="00B5084F"/>
    <w:rsid w:val="00B525BE"/>
    <w:rsid w:val="00B655C6"/>
    <w:rsid w:val="00B66F59"/>
    <w:rsid w:val="00B7296E"/>
    <w:rsid w:val="00BA173D"/>
    <w:rsid w:val="00BA3D94"/>
    <w:rsid w:val="00BA5329"/>
    <w:rsid w:val="00BB1828"/>
    <w:rsid w:val="00BB5CA2"/>
    <w:rsid w:val="00BC01E9"/>
    <w:rsid w:val="00BC1C60"/>
    <w:rsid w:val="00BC6518"/>
    <w:rsid w:val="00BC6980"/>
    <w:rsid w:val="00BE083D"/>
    <w:rsid w:val="00BE0F5A"/>
    <w:rsid w:val="00BE4570"/>
    <w:rsid w:val="00BE7E3D"/>
    <w:rsid w:val="00C160A4"/>
    <w:rsid w:val="00C20852"/>
    <w:rsid w:val="00C305E1"/>
    <w:rsid w:val="00C324D7"/>
    <w:rsid w:val="00C4087B"/>
    <w:rsid w:val="00C41CEF"/>
    <w:rsid w:val="00C55F5D"/>
    <w:rsid w:val="00C663C2"/>
    <w:rsid w:val="00C66437"/>
    <w:rsid w:val="00C6685B"/>
    <w:rsid w:val="00C70279"/>
    <w:rsid w:val="00C80573"/>
    <w:rsid w:val="00C87DBC"/>
    <w:rsid w:val="00C961A5"/>
    <w:rsid w:val="00CA29F4"/>
    <w:rsid w:val="00CC0CD3"/>
    <w:rsid w:val="00CC24F8"/>
    <w:rsid w:val="00CC55CD"/>
    <w:rsid w:val="00CC655B"/>
    <w:rsid w:val="00CD75E6"/>
    <w:rsid w:val="00CE7129"/>
    <w:rsid w:val="00CF3795"/>
    <w:rsid w:val="00CF61CD"/>
    <w:rsid w:val="00CF64C3"/>
    <w:rsid w:val="00CF76FC"/>
    <w:rsid w:val="00D05893"/>
    <w:rsid w:val="00D141E8"/>
    <w:rsid w:val="00D34337"/>
    <w:rsid w:val="00D5012C"/>
    <w:rsid w:val="00D512EC"/>
    <w:rsid w:val="00D52D0C"/>
    <w:rsid w:val="00D5371E"/>
    <w:rsid w:val="00D545D3"/>
    <w:rsid w:val="00D54E52"/>
    <w:rsid w:val="00D56DD7"/>
    <w:rsid w:val="00D62FC3"/>
    <w:rsid w:val="00D8292A"/>
    <w:rsid w:val="00D9239F"/>
    <w:rsid w:val="00D944E5"/>
    <w:rsid w:val="00D96246"/>
    <w:rsid w:val="00D96B82"/>
    <w:rsid w:val="00DA5D48"/>
    <w:rsid w:val="00DB4177"/>
    <w:rsid w:val="00DB5046"/>
    <w:rsid w:val="00DB788C"/>
    <w:rsid w:val="00DC09AC"/>
    <w:rsid w:val="00DC7CCC"/>
    <w:rsid w:val="00DD178B"/>
    <w:rsid w:val="00DE2C6C"/>
    <w:rsid w:val="00DE5AB8"/>
    <w:rsid w:val="00DF346A"/>
    <w:rsid w:val="00DF6852"/>
    <w:rsid w:val="00E003C5"/>
    <w:rsid w:val="00E13A7B"/>
    <w:rsid w:val="00E2160D"/>
    <w:rsid w:val="00E2260F"/>
    <w:rsid w:val="00E245B0"/>
    <w:rsid w:val="00E26968"/>
    <w:rsid w:val="00E34390"/>
    <w:rsid w:val="00E3609E"/>
    <w:rsid w:val="00E46C01"/>
    <w:rsid w:val="00E55C0F"/>
    <w:rsid w:val="00E621ED"/>
    <w:rsid w:val="00E62CA9"/>
    <w:rsid w:val="00E643DF"/>
    <w:rsid w:val="00E851E7"/>
    <w:rsid w:val="00E9094E"/>
    <w:rsid w:val="00E956DC"/>
    <w:rsid w:val="00E97107"/>
    <w:rsid w:val="00EA1298"/>
    <w:rsid w:val="00EB3C6B"/>
    <w:rsid w:val="00EB62CE"/>
    <w:rsid w:val="00EC3BAD"/>
    <w:rsid w:val="00EC7A9F"/>
    <w:rsid w:val="00ED2C5A"/>
    <w:rsid w:val="00EE70F4"/>
    <w:rsid w:val="00EF08DE"/>
    <w:rsid w:val="00EF238A"/>
    <w:rsid w:val="00EF624E"/>
    <w:rsid w:val="00EF6728"/>
    <w:rsid w:val="00F13F62"/>
    <w:rsid w:val="00F21CC0"/>
    <w:rsid w:val="00F23744"/>
    <w:rsid w:val="00F31139"/>
    <w:rsid w:val="00F3179F"/>
    <w:rsid w:val="00F36CD3"/>
    <w:rsid w:val="00F40900"/>
    <w:rsid w:val="00F47E5E"/>
    <w:rsid w:val="00F533FA"/>
    <w:rsid w:val="00F6017B"/>
    <w:rsid w:val="00F64EC1"/>
    <w:rsid w:val="00F8212B"/>
    <w:rsid w:val="00F90D8C"/>
    <w:rsid w:val="00FB0DFF"/>
    <w:rsid w:val="00FC51BB"/>
    <w:rsid w:val="00FC611C"/>
    <w:rsid w:val="00FD0025"/>
    <w:rsid w:val="00FE0147"/>
    <w:rsid w:val="00FE7B39"/>
    <w:rsid w:val="00FF7C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64"/>
    <w:pPr>
      <w:tabs>
        <w:tab w:val="left" w:pos="1440"/>
        <w:tab w:val="center" w:pos="4320"/>
        <w:tab w:val="right" w:pos="9072"/>
      </w:tabs>
      <w:snapToGrid w:val="0"/>
    </w:pPr>
    <w:rPr>
      <w:sz w:val="28"/>
    </w:rPr>
  </w:style>
  <w:style w:type="paragraph" w:styleId="Heading1">
    <w:name w:val="heading 1"/>
    <w:basedOn w:val="Normal"/>
    <w:next w:val="Normal"/>
    <w:qFormat/>
    <w:rsid w:val="00570964"/>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570964"/>
    <w:pPr>
      <w:keepNext/>
      <w:snapToGrid/>
      <w:outlineLvl w:val="1"/>
    </w:pPr>
    <w:rPr>
      <w:b/>
      <w:bCs/>
      <w:sz w:val="20"/>
      <w:szCs w:val="24"/>
    </w:rPr>
  </w:style>
  <w:style w:type="paragraph" w:styleId="Heading3">
    <w:name w:val="heading 3"/>
    <w:basedOn w:val="Normal"/>
    <w:next w:val="Normal"/>
    <w:qFormat/>
    <w:rsid w:val="00570964"/>
    <w:pPr>
      <w:keepNext/>
      <w:snapToGrid/>
      <w:jc w:val="center"/>
      <w:outlineLvl w:val="2"/>
    </w:pPr>
    <w:rPr>
      <w:b/>
      <w:bCs/>
      <w:sz w:val="20"/>
      <w:szCs w:val="24"/>
    </w:rPr>
  </w:style>
  <w:style w:type="paragraph" w:styleId="Heading4">
    <w:name w:val="heading 4"/>
    <w:basedOn w:val="Normal"/>
    <w:next w:val="Normal"/>
    <w:qFormat/>
    <w:rsid w:val="00570964"/>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570964"/>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570964"/>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570964"/>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570964"/>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570964"/>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70964"/>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570964"/>
    <w:pPr>
      <w:tabs>
        <w:tab w:val="center" w:pos="4153"/>
        <w:tab w:val="right" w:pos="8306"/>
      </w:tabs>
      <w:jc w:val="center"/>
    </w:pPr>
    <w:rPr>
      <w:sz w:val="18"/>
    </w:rPr>
  </w:style>
  <w:style w:type="paragraph" w:customStyle="1" w:styleId="altd">
    <w:name w:val="altd"/>
    <w:basedOn w:val="Normal"/>
    <w:rsid w:val="00570964"/>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70964"/>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570964"/>
    <w:rPr>
      <w:b w:val="0"/>
    </w:rPr>
  </w:style>
  <w:style w:type="paragraph" w:customStyle="1" w:styleId="normal3">
    <w:name w:val="normal3"/>
    <w:basedOn w:val="Normal"/>
    <w:rsid w:val="00570964"/>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70964"/>
    <w:pPr>
      <w:spacing w:line="240" w:lineRule="auto"/>
      <w:jc w:val="right"/>
    </w:pPr>
    <w:rPr>
      <w:b w:val="0"/>
    </w:rPr>
  </w:style>
  <w:style w:type="paragraph" w:styleId="Footer">
    <w:name w:val="footer"/>
    <w:basedOn w:val="Normal"/>
    <w:semiHidden/>
    <w:rsid w:val="00570964"/>
    <w:pPr>
      <w:tabs>
        <w:tab w:val="center" w:pos="4153"/>
        <w:tab w:val="right" w:pos="8306"/>
      </w:tabs>
    </w:pPr>
    <w:rPr>
      <w:sz w:val="20"/>
    </w:rPr>
  </w:style>
  <w:style w:type="character" w:styleId="PageNumber">
    <w:name w:val="page number"/>
    <w:basedOn w:val="DefaultParagraphFont"/>
    <w:semiHidden/>
    <w:rsid w:val="00570964"/>
  </w:style>
  <w:style w:type="paragraph" w:customStyle="1" w:styleId="Draft">
    <w:name w:val="Draft"/>
    <w:basedOn w:val="Normal"/>
    <w:rsid w:val="00570964"/>
    <w:pPr>
      <w:spacing w:line="600" w:lineRule="exact"/>
    </w:pPr>
  </w:style>
  <w:style w:type="paragraph" w:customStyle="1" w:styleId="Final">
    <w:name w:val="Final"/>
    <w:basedOn w:val="Draft"/>
    <w:rsid w:val="00570964"/>
    <w:pPr>
      <w:spacing w:line="360" w:lineRule="auto"/>
    </w:pPr>
  </w:style>
  <w:style w:type="paragraph" w:customStyle="1" w:styleId="Quotation">
    <w:name w:val="Quotation"/>
    <w:basedOn w:val="Normal"/>
    <w:rsid w:val="00570964"/>
    <w:pPr>
      <w:tabs>
        <w:tab w:val="left" w:pos="1872"/>
        <w:tab w:val="left" w:pos="2304"/>
      </w:tabs>
      <w:spacing w:before="240"/>
      <w:ind w:left="1440" w:right="720"/>
    </w:pPr>
    <w:rPr>
      <w:kern w:val="2"/>
      <w:sz w:val="24"/>
    </w:rPr>
  </w:style>
  <w:style w:type="paragraph" w:customStyle="1" w:styleId="Hanging">
    <w:name w:val="Hanging"/>
    <w:basedOn w:val="Normal"/>
    <w:rsid w:val="00570964"/>
    <w:pPr>
      <w:snapToGrid/>
      <w:spacing w:before="120" w:line="440" w:lineRule="exact"/>
      <w:ind w:left="1440" w:hanging="720"/>
    </w:pPr>
    <w:rPr>
      <w:kern w:val="2"/>
    </w:rPr>
  </w:style>
  <w:style w:type="paragraph" w:customStyle="1" w:styleId="hspace">
    <w:name w:val="hspace"/>
    <w:basedOn w:val="Normal"/>
    <w:rsid w:val="00570964"/>
    <w:pPr>
      <w:spacing w:line="200" w:lineRule="exact"/>
    </w:pPr>
  </w:style>
  <w:style w:type="paragraph" w:customStyle="1" w:styleId="Heading">
    <w:name w:val="Heading"/>
    <w:basedOn w:val="Normal"/>
    <w:rsid w:val="00570964"/>
    <w:pPr>
      <w:spacing w:line="360" w:lineRule="auto"/>
    </w:pPr>
  </w:style>
  <w:style w:type="paragraph" w:customStyle="1" w:styleId="Indent3">
    <w:name w:val="Indent3"/>
    <w:basedOn w:val="Normal"/>
    <w:rsid w:val="00570964"/>
    <w:pPr>
      <w:ind w:left="4320"/>
    </w:pPr>
  </w:style>
  <w:style w:type="paragraph" w:styleId="BlockText">
    <w:name w:val="Block Text"/>
    <w:basedOn w:val="Normal"/>
    <w:semiHidden/>
    <w:rsid w:val="00570964"/>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70964"/>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570964"/>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70964"/>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570964"/>
    <w:pPr>
      <w:spacing w:line="480" w:lineRule="auto"/>
      <w:jc w:val="both"/>
    </w:pPr>
    <w:rPr>
      <w:sz w:val="26"/>
    </w:rPr>
  </w:style>
  <w:style w:type="paragraph" w:styleId="BodyTextIndent3">
    <w:name w:val="Body Text Indent 3"/>
    <w:basedOn w:val="Normal"/>
    <w:semiHidden/>
    <w:rsid w:val="00570964"/>
    <w:pPr>
      <w:tabs>
        <w:tab w:val="clear" w:pos="4320"/>
      </w:tabs>
      <w:ind w:left="1120" w:hanging="1120"/>
    </w:pPr>
    <w:rPr>
      <w:sz w:val="26"/>
    </w:rPr>
  </w:style>
  <w:style w:type="paragraph" w:styleId="BodyText3">
    <w:name w:val="Body Text 3"/>
    <w:basedOn w:val="Normal"/>
    <w:semiHidden/>
    <w:rsid w:val="00570964"/>
    <w:pPr>
      <w:tabs>
        <w:tab w:val="clear" w:pos="4320"/>
        <w:tab w:val="clear" w:pos="9072"/>
      </w:tabs>
      <w:spacing w:line="360" w:lineRule="auto"/>
      <w:jc w:val="both"/>
    </w:pPr>
  </w:style>
  <w:style w:type="paragraph" w:styleId="FootnoteText">
    <w:name w:val="footnote text"/>
    <w:basedOn w:val="Normal"/>
    <w:link w:val="FootnoteTextChar"/>
    <w:uiPriority w:val="99"/>
    <w:rsid w:val="00570964"/>
    <w:rPr>
      <w:sz w:val="20"/>
    </w:rPr>
  </w:style>
  <w:style w:type="character" w:styleId="FootnoteReference">
    <w:name w:val="footnote reference"/>
    <w:basedOn w:val="DefaultParagraphFont"/>
    <w:uiPriority w:val="99"/>
    <w:rsid w:val="00570964"/>
    <w:rPr>
      <w:vertAlign w:val="superscript"/>
    </w:rPr>
  </w:style>
  <w:style w:type="paragraph" w:styleId="ListParagraph">
    <w:name w:val="List Paragraph"/>
    <w:basedOn w:val="Normal"/>
    <w:uiPriority w:val="34"/>
    <w:qFormat/>
    <w:rsid w:val="00572FD9"/>
    <w:pPr>
      <w:ind w:left="720"/>
    </w:pPr>
  </w:style>
  <w:style w:type="paragraph" w:customStyle="1" w:styleId="Body1">
    <w:name w:val="Body 1"/>
    <w:rsid w:val="009D2771"/>
    <w:rPr>
      <w:rFonts w:ascii="Helvetica" w:eastAsia="Arial Unicode MS" w:hAnsi="Helvetica"/>
      <w:color w:val="000000"/>
      <w:sz w:val="24"/>
    </w:rPr>
  </w:style>
  <w:style w:type="paragraph" w:customStyle="1" w:styleId="List1">
    <w:name w:val="List 1"/>
    <w:basedOn w:val="Normal"/>
    <w:semiHidden/>
    <w:rsid w:val="009D2771"/>
    <w:pPr>
      <w:numPr>
        <w:numId w:val="4"/>
      </w:numPr>
      <w:tabs>
        <w:tab w:val="clear" w:pos="1440"/>
        <w:tab w:val="clear" w:pos="4320"/>
        <w:tab w:val="clear" w:pos="9072"/>
      </w:tabs>
      <w:snapToGrid/>
    </w:pPr>
    <w:rPr>
      <w:sz w:val="20"/>
    </w:rPr>
  </w:style>
  <w:style w:type="paragraph" w:styleId="NormalWeb">
    <w:name w:val="Normal (Web)"/>
    <w:basedOn w:val="Normal"/>
    <w:uiPriority w:val="99"/>
    <w:unhideWhenUsed/>
    <w:rsid w:val="00050315"/>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DD178B"/>
    <w:rPr>
      <w:rFonts w:ascii="Tahoma" w:hAnsi="Tahoma" w:cs="Tahoma"/>
      <w:sz w:val="16"/>
      <w:szCs w:val="16"/>
    </w:rPr>
  </w:style>
  <w:style w:type="character" w:customStyle="1" w:styleId="BalloonTextChar">
    <w:name w:val="Balloon Text Char"/>
    <w:basedOn w:val="DefaultParagraphFont"/>
    <w:link w:val="BalloonText"/>
    <w:uiPriority w:val="99"/>
    <w:semiHidden/>
    <w:rsid w:val="00DD178B"/>
    <w:rPr>
      <w:rFonts w:ascii="Tahoma" w:hAnsi="Tahoma" w:cs="Tahoma"/>
      <w:sz w:val="16"/>
      <w:szCs w:val="16"/>
    </w:rPr>
  </w:style>
  <w:style w:type="paragraph" w:customStyle="1" w:styleId="Level1">
    <w:name w:val="Level 1"/>
    <w:basedOn w:val="Normal"/>
    <w:rsid w:val="009E0023"/>
    <w:pPr>
      <w:widowControl w:val="0"/>
      <w:tabs>
        <w:tab w:val="clear" w:pos="1440"/>
        <w:tab w:val="clear" w:pos="4320"/>
        <w:tab w:val="clear" w:pos="9072"/>
      </w:tabs>
      <w:suppressAutoHyphens/>
      <w:snapToGrid/>
    </w:pPr>
    <w:rPr>
      <w:rFonts w:eastAsia="PMingLiU"/>
      <w:sz w:val="24"/>
      <w:lang w:eastAsia="ar-SA"/>
    </w:rPr>
  </w:style>
  <w:style w:type="character" w:customStyle="1" w:styleId="FootnoteTextChar">
    <w:name w:val="Footnote Text Char"/>
    <w:link w:val="FootnoteText"/>
    <w:uiPriority w:val="99"/>
    <w:rsid w:val="009E0023"/>
  </w:style>
</w:styles>
</file>

<file path=word/webSettings.xml><?xml version="1.0" encoding="utf-8"?>
<w:webSettings xmlns:r="http://schemas.openxmlformats.org/officeDocument/2006/relationships" xmlns:w="http://schemas.openxmlformats.org/wordprocessingml/2006/main">
  <w:divs>
    <w:div w:id="622007261">
      <w:bodyDiv w:val="1"/>
      <w:marLeft w:val="0"/>
      <w:marRight w:val="0"/>
      <w:marTop w:val="0"/>
      <w:marBottom w:val="0"/>
      <w:divBdr>
        <w:top w:val="none" w:sz="0" w:space="0" w:color="auto"/>
        <w:left w:val="none" w:sz="0" w:space="0" w:color="auto"/>
        <w:bottom w:val="none" w:sz="0" w:space="0" w:color="auto"/>
        <w:right w:val="none" w:sz="0" w:space="0" w:color="auto"/>
      </w:divBdr>
    </w:div>
    <w:div w:id="6895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50633-60F8-485A-838B-43149390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15</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Judiciary</cp:lastModifiedBy>
  <cp:revision>2</cp:revision>
  <cp:lastPrinted>2016-11-09T05:05:00Z</cp:lastPrinted>
  <dcterms:created xsi:type="dcterms:W3CDTF">2016-11-09T07:38:00Z</dcterms:created>
  <dcterms:modified xsi:type="dcterms:W3CDTF">2016-11-09T07:38:00Z</dcterms:modified>
</cp:coreProperties>
</file>