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A0F" w:rsidRDefault="00D97A0F">
      <w:pPr>
        <w:spacing w:line="360" w:lineRule="auto"/>
        <w:jc w:val="right"/>
        <w:rPr>
          <w:rFonts w:hint="eastAsia"/>
          <w:szCs w:val="28"/>
        </w:rPr>
      </w:pPr>
      <w:r>
        <w:rPr>
          <w:szCs w:val="28"/>
        </w:rPr>
        <w:t>DC</w:t>
      </w:r>
      <w:r>
        <w:rPr>
          <w:rFonts w:hint="eastAsia"/>
          <w:szCs w:val="28"/>
        </w:rPr>
        <w:t xml:space="preserve">PI </w:t>
      </w:r>
      <w:r>
        <w:rPr>
          <w:szCs w:val="28"/>
        </w:rPr>
        <w:t xml:space="preserve"> </w:t>
      </w:r>
      <w:r>
        <w:rPr>
          <w:rFonts w:hint="eastAsia"/>
          <w:szCs w:val="28"/>
        </w:rPr>
        <w:t>2067</w:t>
      </w:r>
      <w:r>
        <w:rPr>
          <w:szCs w:val="28"/>
        </w:rPr>
        <w:t xml:space="preserve"> of 200</w:t>
      </w:r>
      <w:r>
        <w:rPr>
          <w:rFonts w:hint="eastAsia"/>
          <w:szCs w:val="28"/>
        </w:rPr>
        <w:t>9</w:t>
      </w:r>
    </w:p>
    <w:p w:rsidR="00D97A0F" w:rsidRDefault="00D97A0F">
      <w:pPr>
        <w:pStyle w:val="Heading1"/>
        <w:spacing w:before="480"/>
        <w:rPr>
          <w:bCs/>
          <w:szCs w:val="28"/>
        </w:rPr>
      </w:pPr>
      <w:r>
        <w:rPr>
          <w:bCs/>
          <w:szCs w:val="28"/>
        </w:rPr>
        <w:t>IN THE DISTRICT COURT OF THE</w:t>
      </w:r>
    </w:p>
    <w:p w:rsidR="00D97A0F" w:rsidRDefault="00D97A0F">
      <w:pPr>
        <w:pStyle w:val="Heading1"/>
        <w:rPr>
          <w:szCs w:val="28"/>
        </w:rPr>
      </w:pPr>
      <w:r>
        <w:rPr>
          <w:szCs w:val="28"/>
        </w:rPr>
        <w:t>HONG KONG SPECIAL ADMINISTRATIVE REGION</w:t>
      </w:r>
    </w:p>
    <w:p w:rsidR="00D97A0F" w:rsidRDefault="00D97A0F">
      <w:pPr>
        <w:spacing w:line="360" w:lineRule="auto"/>
        <w:jc w:val="center"/>
        <w:rPr>
          <w:b/>
          <w:szCs w:val="28"/>
        </w:rPr>
      </w:pPr>
      <w:r>
        <w:rPr>
          <w:b/>
          <w:szCs w:val="28"/>
        </w:rPr>
        <w:t xml:space="preserve">PERSONAL INJURIES NO. </w:t>
      </w:r>
      <w:r>
        <w:rPr>
          <w:rFonts w:hint="eastAsia"/>
          <w:b/>
          <w:szCs w:val="28"/>
        </w:rPr>
        <w:t>2067</w:t>
      </w:r>
      <w:r>
        <w:rPr>
          <w:b/>
          <w:szCs w:val="28"/>
        </w:rPr>
        <w:t xml:space="preserve"> OF 200</w:t>
      </w:r>
      <w:r>
        <w:rPr>
          <w:rFonts w:hint="eastAsia"/>
          <w:b/>
          <w:szCs w:val="28"/>
        </w:rPr>
        <w:t>9</w:t>
      </w:r>
    </w:p>
    <w:p w:rsidR="00D97A0F" w:rsidRDefault="00D97A0F">
      <w:pPr>
        <w:spacing w:line="360" w:lineRule="auto"/>
        <w:jc w:val="center"/>
        <w:rPr>
          <w:szCs w:val="28"/>
        </w:rPr>
      </w:pPr>
      <w:r>
        <w:rPr>
          <w:szCs w:val="28"/>
        </w:rPr>
        <w:t>____________</w:t>
      </w:r>
    </w:p>
    <w:p w:rsidR="00D97A0F" w:rsidRDefault="00D97A0F">
      <w:pPr>
        <w:pStyle w:val="Header"/>
        <w:tabs>
          <w:tab w:val="clear" w:pos="4320"/>
        </w:tabs>
        <w:spacing w:before="480" w:line="360" w:lineRule="auto"/>
        <w:jc w:val="both"/>
        <w:rPr>
          <w:rFonts w:hint="eastAsia"/>
          <w:sz w:val="28"/>
          <w:szCs w:val="28"/>
        </w:rPr>
      </w:pPr>
      <w:r>
        <w:rPr>
          <w:sz w:val="28"/>
          <w:szCs w:val="28"/>
        </w:rPr>
        <w:t>BETWEEN</w:t>
      </w:r>
    </w:p>
    <w:p w:rsidR="00D97A0F" w:rsidRDefault="00D97A0F">
      <w:pPr>
        <w:pStyle w:val="Header"/>
        <w:tabs>
          <w:tab w:val="clear" w:pos="4320"/>
        </w:tabs>
        <w:spacing w:before="480" w:line="360" w:lineRule="auto"/>
        <w:jc w:val="both"/>
        <w:rPr>
          <w:sz w:val="28"/>
          <w:szCs w:val="28"/>
        </w:rPr>
      </w:pPr>
    </w:p>
    <w:p w:rsidR="00D97A0F" w:rsidRDefault="00D97A0F">
      <w:pPr>
        <w:pStyle w:val="Heading6"/>
        <w:rPr>
          <w:rFonts w:hint="eastAsia"/>
          <w:i w:val="0"/>
          <w:sz w:val="28"/>
          <w:szCs w:val="28"/>
          <w:u w:val="none"/>
        </w:rPr>
      </w:pPr>
      <w:r>
        <w:rPr>
          <w:rFonts w:hint="eastAsia"/>
          <w:i w:val="0"/>
          <w:sz w:val="28"/>
          <w:szCs w:val="28"/>
          <w:u w:val="none"/>
        </w:rPr>
        <w:t>CHIANG KI CHUN IAN, a minor suing by</w:t>
      </w:r>
      <w:r>
        <w:rPr>
          <w:rFonts w:hint="eastAsia"/>
          <w:i w:val="0"/>
          <w:sz w:val="28"/>
          <w:szCs w:val="28"/>
          <w:u w:val="none"/>
        </w:rPr>
        <w:tab/>
      </w:r>
      <w:r>
        <w:rPr>
          <w:rFonts w:hint="eastAsia"/>
          <w:i w:val="0"/>
          <w:sz w:val="28"/>
          <w:szCs w:val="28"/>
          <w:u w:val="none"/>
        </w:rPr>
        <w:tab/>
      </w:r>
      <w:r>
        <w:rPr>
          <w:rFonts w:hint="eastAsia"/>
          <w:i w:val="0"/>
          <w:sz w:val="28"/>
          <w:szCs w:val="28"/>
          <w:u w:val="none"/>
        </w:rPr>
        <w:tab/>
      </w:r>
      <w:r>
        <w:rPr>
          <w:rFonts w:hint="eastAsia"/>
          <w:i w:val="0"/>
          <w:sz w:val="28"/>
          <w:szCs w:val="28"/>
          <w:u w:val="none"/>
        </w:rPr>
        <w:tab/>
        <w:t>Plaintiff</w:t>
      </w:r>
    </w:p>
    <w:p w:rsidR="00D97A0F" w:rsidRDefault="00D97A0F">
      <w:pPr>
        <w:pStyle w:val="Heading6"/>
        <w:rPr>
          <w:rFonts w:hint="eastAsia"/>
          <w:i w:val="0"/>
          <w:sz w:val="28"/>
          <w:szCs w:val="28"/>
          <w:u w:val="none"/>
        </w:rPr>
      </w:pPr>
      <w:r>
        <w:rPr>
          <w:rFonts w:hint="eastAsia"/>
          <w:i w:val="0"/>
          <w:sz w:val="28"/>
          <w:szCs w:val="28"/>
          <w:u w:val="none"/>
        </w:rPr>
        <w:t xml:space="preserve">his mother and next friend, </w:t>
      </w:r>
    </w:p>
    <w:p w:rsidR="00D97A0F" w:rsidRDefault="00D97A0F">
      <w:pPr>
        <w:pStyle w:val="Heading6"/>
        <w:rPr>
          <w:i w:val="0"/>
          <w:sz w:val="28"/>
          <w:szCs w:val="28"/>
          <w:u w:val="none"/>
        </w:rPr>
      </w:pPr>
      <w:r>
        <w:rPr>
          <w:rFonts w:hint="eastAsia"/>
          <w:i w:val="0"/>
          <w:sz w:val="28"/>
          <w:szCs w:val="28"/>
          <w:u w:val="none"/>
        </w:rPr>
        <w:t>CHOW YUEN MAN LOUISE</w:t>
      </w:r>
    </w:p>
    <w:p w:rsidR="00D97A0F" w:rsidRDefault="00D97A0F">
      <w:pPr>
        <w:tabs>
          <w:tab w:val="center" w:pos="4200"/>
          <w:tab w:val="right" w:pos="8504"/>
        </w:tabs>
        <w:spacing w:before="120" w:after="120" w:line="360" w:lineRule="auto"/>
        <w:ind w:right="-28"/>
        <w:jc w:val="center"/>
        <w:rPr>
          <w:szCs w:val="28"/>
        </w:rPr>
      </w:pPr>
      <w:r>
        <w:rPr>
          <w:szCs w:val="28"/>
        </w:rPr>
        <w:t>and</w:t>
      </w:r>
    </w:p>
    <w:p w:rsidR="00D97A0F" w:rsidRDefault="00D97A0F">
      <w:pPr>
        <w:tabs>
          <w:tab w:val="center" w:pos="4200"/>
          <w:tab w:val="right" w:pos="8504"/>
        </w:tabs>
        <w:spacing w:line="360" w:lineRule="auto"/>
        <w:ind w:right="-43"/>
        <w:rPr>
          <w:rFonts w:hint="eastAsia"/>
          <w:szCs w:val="28"/>
        </w:rPr>
      </w:pPr>
      <w:r>
        <w:rPr>
          <w:rFonts w:hint="eastAsia"/>
          <w:szCs w:val="28"/>
        </w:rPr>
        <w:t>LI YIN SZE</w:t>
      </w:r>
      <w:r>
        <w:rPr>
          <w:rFonts w:hint="eastAsia"/>
          <w:szCs w:val="28"/>
        </w:rPr>
        <w:tab/>
      </w:r>
      <w:r>
        <w:rPr>
          <w:rFonts w:hint="eastAsia"/>
          <w:szCs w:val="28"/>
        </w:rPr>
        <w:tab/>
      </w:r>
      <w:r>
        <w:rPr>
          <w:szCs w:val="28"/>
        </w:rPr>
        <w:t>Defendant</w:t>
      </w:r>
    </w:p>
    <w:p w:rsidR="00D97A0F" w:rsidRDefault="00D97A0F">
      <w:pPr>
        <w:spacing w:line="360" w:lineRule="auto"/>
        <w:jc w:val="center"/>
        <w:rPr>
          <w:szCs w:val="28"/>
        </w:rPr>
      </w:pPr>
      <w:r>
        <w:rPr>
          <w:szCs w:val="28"/>
        </w:rPr>
        <w:t>____________</w:t>
      </w:r>
    </w:p>
    <w:p w:rsidR="00D97A0F" w:rsidRDefault="00D97A0F">
      <w:pPr>
        <w:spacing w:before="240" w:line="360" w:lineRule="auto"/>
        <w:rPr>
          <w:szCs w:val="28"/>
        </w:rPr>
      </w:pPr>
      <w:r>
        <w:rPr>
          <w:rFonts w:hint="eastAsia"/>
          <w:szCs w:val="28"/>
        </w:rPr>
        <w:t>Coram</w:t>
      </w:r>
      <w:r>
        <w:rPr>
          <w:szCs w:val="28"/>
        </w:rPr>
        <w:t>: Deputy District Judge C</w:t>
      </w:r>
      <w:r>
        <w:rPr>
          <w:rFonts w:hint="eastAsia"/>
          <w:szCs w:val="28"/>
        </w:rPr>
        <w:t>.</w:t>
      </w:r>
      <w:r>
        <w:rPr>
          <w:szCs w:val="28"/>
        </w:rPr>
        <w:t xml:space="preserve"> Lee in Chambers</w:t>
      </w:r>
    </w:p>
    <w:p w:rsidR="00D97A0F" w:rsidRDefault="00D97A0F">
      <w:pPr>
        <w:spacing w:line="360" w:lineRule="auto"/>
        <w:rPr>
          <w:rFonts w:hint="eastAsia"/>
          <w:szCs w:val="28"/>
        </w:rPr>
      </w:pPr>
      <w:r>
        <w:rPr>
          <w:szCs w:val="28"/>
        </w:rPr>
        <w:t xml:space="preserve">Date of Hearing:  </w:t>
      </w:r>
      <w:r>
        <w:rPr>
          <w:rFonts w:hint="eastAsia"/>
          <w:szCs w:val="28"/>
        </w:rPr>
        <w:t>29</w:t>
      </w:r>
      <w:r>
        <w:rPr>
          <w:rFonts w:hint="eastAsia"/>
          <w:szCs w:val="28"/>
          <w:vertAlign w:val="superscript"/>
        </w:rPr>
        <w:t xml:space="preserve">th </w:t>
      </w:r>
      <w:r>
        <w:rPr>
          <w:rFonts w:hint="eastAsia"/>
          <w:szCs w:val="28"/>
        </w:rPr>
        <w:t>October 2010</w:t>
      </w:r>
    </w:p>
    <w:p w:rsidR="00D97A0F" w:rsidRDefault="00D97A0F">
      <w:pPr>
        <w:pStyle w:val="j-draft"/>
        <w:numPr>
          <w:ilvl w:val="0"/>
          <w:numId w:val="0"/>
        </w:numPr>
        <w:tabs>
          <w:tab w:val="left" w:pos="2055"/>
        </w:tabs>
        <w:snapToGrid/>
        <w:spacing w:line="360" w:lineRule="auto"/>
        <w:rPr>
          <w:szCs w:val="28"/>
          <w:lang w:val="en-US"/>
        </w:rPr>
      </w:pPr>
      <w:r>
        <w:rPr>
          <w:szCs w:val="28"/>
          <w:lang w:val="en-US"/>
        </w:rPr>
        <w:t xml:space="preserve">Date of Reasons for </w:t>
      </w:r>
      <w:r>
        <w:rPr>
          <w:rFonts w:hint="eastAsia"/>
          <w:szCs w:val="28"/>
          <w:lang w:val="en-US" w:eastAsia="zh-CN"/>
        </w:rPr>
        <w:t>Dec</w:t>
      </w:r>
      <w:r>
        <w:rPr>
          <w:szCs w:val="28"/>
          <w:lang w:val="en-US" w:eastAsia="zh-CN"/>
        </w:rPr>
        <w:t>i</w:t>
      </w:r>
      <w:r>
        <w:rPr>
          <w:rFonts w:hint="eastAsia"/>
          <w:szCs w:val="28"/>
          <w:lang w:val="en-US" w:eastAsia="zh-CN"/>
        </w:rPr>
        <w:t>sion</w:t>
      </w:r>
      <w:r>
        <w:rPr>
          <w:szCs w:val="28"/>
          <w:lang w:val="en-US"/>
        </w:rPr>
        <w:t xml:space="preserve">:  </w:t>
      </w:r>
      <w:r>
        <w:rPr>
          <w:rFonts w:hint="eastAsia"/>
          <w:szCs w:val="28"/>
          <w:lang w:val="en-US" w:eastAsia="zh-CN"/>
        </w:rPr>
        <w:t>29</w:t>
      </w:r>
      <w:r>
        <w:rPr>
          <w:rFonts w:hint="eastAsia"/>
          <w:szCs w:val="28"/>
          <w:vertAlign w:val="superscript"/>
          <w:lang w:val="en-US" w:eastAsia="zh-CN"/>
        </w:rPr>
        <w:t>th</w:t>
      </w:r>
      <w:r>
        <w:rPr>
          <w:szCs w:val="28"/>
          <w:lang w:val="en-US"/>
        </w:rPr>
        <w:t xml:space="preserve"> </w:t>
      </w:r>
      <w:r>
        <w:rPr>
          <w:rFonts w:hint="eastAsia"/>
          <w:szCs w:val="28"/>
          <w:lang w:val="en-US" w:eastAsia="zh-CN"/>
        </w:rPr>
        <w:t>October</w:t>
      </w:r>
      <w:r>
        <w:rPr>
          <w:szCs w:val="28"/>
          <w:lang w:val="en-US"/>
        </w:rPr>
        <w:t xml:space="preserve"> 2010 </w:t>
      </w:r>
    </w:p>
    <w:p w:rsidR="00D97A0F" w:rsidRDefault="00D97A0F">
      <w:pPr>
        <w:keepNext/>
        <w:spacing w:before="240" w:line="360" w:lineRule="auto"/>
        <w:jc w:val="center"/>
        <w:rPr>
          <w:b/>
          <w:bCs/>
          <w:szCs w:val="28"/>
        </w:rPr>
      </w:pPr>
      <w:r>
        <w:rPr>
          <w:b/>
          <w:bCs/>
          <w:szCs w:val="28"/>
        </w:rPr>
        <w:t>_______________</w:t>
      </w:r>
    </w:p>
    <w:p w:rsidR="00D97A0F" w:rsidRDefault="00D97A0F">
      <w:pPr>
        <w:keepNext/>
        <w:spacing w:before="120" w:line="360" w:lineRule="auto"/>
        <w:jc w:val="center"/>
        <w:rPr>
          <w:rFonts w:hint="eastAsia"/>
          <w:szCs w:val="28"/>
        </w:rPr>
      </w:pPr>
      <w:r>
        <w:rPr>
          <w:rFonts w:hint="eastAsia"/>
          <w:szCs w:val="28"/>
        </w:rPr>
        <w:t>REASONS FOR DECISION</w:t>
      </w:r>
    </w:p>
    <w:p w:rsidR="00D97A0F" w:rsidRDefault="00D97A0F">
      <w:pPr>
        <w:spacing w:after="120" w:line="360" w:lineRule="auto"/>
        <w:jc w:val="center"/>
        <w:rPr>
          <w:szCs w:val="28"/>
        </w:rPr>
      </w:pPr>
      <w:r>
        <w:rPr>
          <w:szCs w:val="28"/>
        </w:rPr>
        <w:t>______________</w:t>
      </w:r>
    </w:p>
    <w:p w:rsidR="00D97A0F" w:rsidRDefault="00D97A0F">
      <w:pPr>
        <w:spacing w:after="120" w:line="360" w:lineRule="auto"/>
        <w:rPr>
          <w:rFonts w:hint="eastAsia"/>
          <w:b/>
          <w:szCs w:val="28"/>
          <w:u w:val="single"/>
        </w:rPr>
      </w:pPr>
      <w:r>
        <w:rPr>
          <w:rFonts w:hint="eastAsia"/>
          <w:b/>
          <w:szCs w:val="28"/>
          <w:u w:val="single"/>
        </w:rPr>
        <w:t>I.</w:t>
      </w:r>
      <w:r>
        <w:rPr>
          <w:rFonts w:hint="eastAsia"/>
          <w:b/>
          <w:szCs w:val="28"/>
          <w:u w:val="single"/>
        </w:rPr>
        <w:tab/>
        <w:t>INTRODUCTION</w:t>
      </w:r>
    </w:p>
    <w:p w:rsidR="00D97A0F" w:rsidRDefault="00D97A0F">
      <w:pPr>
        <w:pStyle w:val="ListParagraph"/>
        <w:numPr>
          <w:ilvl w:val="0"/>
          <w:numId w:val="10"/>
        </w:numPr>
        <w:tabs>
          <w:tab w:val="clear" w:pos="720"/>
          <w:tab w:val="left" w:pos="709"/>
        </w:tabs>
        <w:spacing w:after="200" w:line="360" w:lineRule="auto"/>
        <w:rPr>
          <w:rFonts w:hint="eastAsia"/>
          <w:szCs w:val="28"/>
        </w:rPr>
      </w:pPr>
      <w:r>
        <w:rPr>
          <w:rFonts w:hint="eastAsia"/>
          <w:szCs w:val="28"/>
        </w:rPr>
        <w:t>On 8</w:t>
      </w:r>
      <w:r>
        <w:rPr>
          <w:rFonts w:hint="eastAsia"/>
          <w:szCs w:val="28"/>
          <w:vertAlign w:val="superscript"/>
        </w:rPr>
        <w:t>th</w:t>
      </w:r>
      <w:r>
        <w:rPr>
          <w:rFonts w:hint="eastAsia"/>
          <w:szCs w:val="28"/>
        </w:rPr>
        <w:t xml:space="preserve"> October 2010, after two day</w:t>
      </w:r>
      <w:r>
        <w:rPr>
          <w:szCs w:val="28"/>
        </w:rPr>
        <w:t>s’</w:t>
      </w:r>
      <w:r>
        <w:rPr>
          <w:rFonts w:hint="eastAsia"/>
          <w:szCs w:val="28"/>
        </w:rPr>
        <w:t xml:space="preserve"> trial on both liability and quantum, judgment was given for the Plaintiff who is a minor suing by his next friend.   In that judgment, costs order nisi was made that </w:t>
      </w:r>
      <w:r>
        <w:rPr>
          <w:rFonts w:hint="eastAsia"/>
          <w:szCs w:val="28"/>
        </w:rPr>
        <w:lastRenderedPageBreak/>
        <w:t xml:space="preserve">the Defendant do pay the Plaintiff </w:t>
      </w:r>
      <w:r>
        <w:rPr>
          <w:szCs w:val="28"/>
        </w:rPr>
        <w:t>cost</w:t>
      </w:r>
      <w:r>
        <w:rPr>
          <w:rFonts w:hint="eastAsia"/>
          <w:szCs w:val="28"/>
        </w:rPr>
        <w:t xml:space="preserve">s of </w:t>
      </w:r>
      <w:r>
        <w:rPr>
          <w:szCs w:val="28"/>
        </w:rPr>
        <w:t>the</w:t>
      </w:r>
      <w:r>
        <w:rPr>
          <w:rFonts w:hint="eastAsia"/>
          <w:szCs w:val="28"/>
        </w:rPr>
        <w:t xml:space="preserve"> action (with all costs reserved, if any) to be taxed if not agreed.</w:t>
      </w:r>
    </w:p>
    <w:p w:rsidR="00D97A0F" w:rsidRDefault="00D97A0F">
      <w:pPr>
        <w:pStyle w:val="ListParagraph"/>
        <w:tabs>
          <w:tab w:val="left" w:pos="709"/>
        </w:tabs>
        <w:spacing w:after="200" w:line="360" w:lineRule="auto"/>
        <w:rPr>
          <w:rFonts w:hint="eastAsia"/>
          <w:szCs w:val="28"/>
        </w:rPr>
      </w:pPr>
    </w:p>
    <w:p w:rsidR="00D97A0F" w:rsidRDefault="00D97A0F">
      <w:pPr>
        <w:pStyle w:val="ListParagraph"/>
        <w:numPr>
          <w:ilvl w:val="0"/>
          <w:numId w:val="10"/>
        </w:numPr>
        <w:tabs>
          <w:tab w:val="clear" w:pos="720"/>
          <w:tab w:val="left" w:pos="709"/>
        </w:tabs>
        <w:spacing w:after="200" w:line="360" w:lineRule="auto"/>
        <w:rPr>
          <w:i/>
          <w:szCs w:val="28"/>
        </w:rPr>
      </w:pPr>
      <w:r>
        <w:rPr>
          <w:rFonts w:hint="eastAsia"/>
          <w:szCs w:val="28"/>
        </w:rPr>
        <w:t>By a letter dated 11</w:t>
      </w:r>
      <w:r>
        <w:rPr>
          <w:rFonts w:hint="eastAsia"/>
          <w:szCs w:val="28"/>
          <w:vertAlign w:val="superscript"/>
        </w:rPr>
        <w:t>th</w:t>
      </w:r>
      <w:r>
        <w:rPr>
          <w:rFonts w:hint="eastAsia"/>
          <w:szCs w:val="28"/>
        </w:rPr>
        <w:t xml:space="preserve"> October 2010 from the Plaintiff</w:t>
      </w:r>
      <w:r>
        <w:rPr>
          <w:szCs w:val="28"/>
        </w:rPr>
        <w:t>’</w:t>
      </w:r>
      <w:r>
        <w:rPr>
          <w:rFonts w:hint="eastAsia"/>
          <w:szCs w:val="28"/>
        </w:rPr>
        <w:t xml:space="preserve">s </w:t>
      </w:r>
      <w:r>
        <w:rPr>
          <w:szCs w:val="28"/>
        </w:rPr>
        <w:t>solicitors</w:t>
      </w:r>
      <w:r>
        <w:rPr>
          <w:rFonts w:hint="eastAsia"/>
          <w:szCs w:val="28"/>
        </w:rPr>
        <w:t xml:space="preserve">, they asked for costs to be awarded on </w:t>
      </w:r>
      <w:r>
        <w:rPr>
          <w:szCs w:val="28"/>
        </w:rPr>
        <w:t>common</w:t>
      </w:r>
      <w:r>
        <w:rPr>
          <w:rFonts w:hint="eastAsia"/>
          <w:szCs w:val="28"/>
        </w:rPr>
        <w:t xml:space="preserve"> fund basis on the ground that </w:t>
      </w:r>
      <w:r>
        <w:rPr>
          <w:szCs w:val="28"/>
        </w:rPr>
        <w:t>the</w:t>
      </w:r>
      <w:r>
        <w:rPr>
          <w:rFonts w:hint="eastAsia"/>
          <w:szCs w:val="28"/>
        </w:rPr>
        <w:t xml:space="preserve"> Plaintiff is an infant.  As directed by me, they took out summons on 21</w:t>
      </w:r>
      <w:r>
        <w:rPr>
          <w:rFonts w:hint="eastAsia"/>
          <w:szCs w:val="28"/>
          <w:vertAlign w:val="superscript"/>
        </w:rPr>
        <w:t>st</w:t>
      </w:r>
      <w:r>
        <w:rPr>
          <w:rFonts w:hint="eastAsia"/>
          <w:szCs w:val="28"/>
        </w:rPr>
        <w:t xml:space="preserve"> October 2010 asking for variation of </w:t>
      </w:r>
      <w:r>
        <w:rPr>
          <w:szCs w:val="28"/>
        </w:rPr>
        <w:t>the</w:t>
      </w:r>
      <w:r>
        <w:rPr>
          <w:rFonts w:hint="eastAsia"/>
          <w:szCs w:val="28"/>
        </w:rPr>
        <w:t xml:space="preserve"> scale of costs to common fund basis. </w:t>
      </w:r>
    </w:p>
    <w:p w:rsidR="00D97A0F" w:rsidRDefault="00D97A0F">
      <w:pPr>
        <w:pStyle w:val="ListParagraph"/>
        <w:spacing w:after="200" w:line="360" w:lineRule="auto"/>
        <w:ind w:left="0"/>
        <w:rPr>
          <w:i/>
          <w:iCs/>
          <w:szCs w:val="28"/>
        </w:rPr>
      </w:pPr>
    </w:p>
    <w:p w:rsidR="00D97A0F" w:rsidRDefault="00D97A0F">
      <w:pPr>
        <w:pStyle w:val="ListParagraph"/>
        <w:numPr>
          <w:ilvl w:val="0"/>
          <w:numId w:val="10"/>
        </w:numPr>
        <w:tabs>
          <w:tab w:val="clear" w:pos="720"/>
          <w:tab w:val="left" w:pos="709"/>
        </w:tabs>
        <w:spacing w:after="200" w:line="360" w:lineRule="auto"/>
        <w:rPr>
          <w:rFonts w:hint="eastAsia"/>
          <w:i/>
          <w:szCs w:val="28"/>
        </w:rPr>
      </w:pPr>
      <w:r>
        <w:rPr>
          <w:rFonts w:hint="eastAsia"/>
          <w:szCs w:val="28"/>
        </w:rPr>
        <w:t xml:space="preserve">Ms. Koon, solicitors for </w:t>
      </w:r>
      <w:r>
        <w:rPr>
          <w:szCs w:val="28"/>
        </w:rPr>
        <w:t>the</w:t>
      </w:r>
      <w:r>
        <w:rPr>
          <w:rFonts w:hint="eastAsia"/>
          <w:szCs w:val="28"/>
        </w:rPr>
        <w:t xml:space="preserve"> Plaintiff advanced two points.   Firstly, costs to be awarded after trial or settlement of an infant</w:t>
      </w:r>
      <w:r>
        <w:rPr>
          <w:szCs w:val="28"/>
        </w:rPr>
        <w:t>’</w:t>
      </w:r>
      <w:r>
        <w:rPr>
          <w:rFonts w:hint="eastAsia"/>
          <w:szCs w:val="28"/>
        </w:rPr>
        <w:t xml:space="preserve">s claim should normally be on a common fund basis: </w:t>
      </w:r>
      <w:r>
        <w:rPr>
          <w:rFonts w:hint="eastAsia"/>
          <w:i/>
          <w:szCs w:val="28"/>
        </w:rPr>
        <w:t>Ma Ka Lai v Katafygiotis Lamrpos HCPI 982/2001 per Hon. Seagroatt J dated 21</w:t>
      </w:r>
      <w:r>
        <w:rPr>
          <w:rFonts w:hint="eastAsia"/>
          <w:i/>
          <w:szCs w:val="28"/>
          <w:vertAlign w:val="superscript"/>
        </w:rPr>
        <w:t>st</w:t>
      </w:r>
      <w:r>
        <w:rPr>
          <w:rFonts w:hint="eastAsia"/>
          <w:i/>
          <w:szCs w:val="28"/>
        </w:rPr>
        <w:t xml:space="preserve"> January 2003; Aqsa Rama v Tsui Luk Pui DCPI 68/2007 per HH Judge Wong dated 24</w:t>
      </w:r>
      <w:r>
        <w:rPr>
          <w:rFonts w:hint="eastAsia"/>
          <w:i/>
          <w:szCs w:val="28"/>
          <w:vertAlign w:val="superscript"/>
        </w:rPr>
        <w:t>th</w:t>
      </w:r>
      <w:r>
        <w:rPr>
          <w:rFonts w:hint="eastAsia"/>
          <w:i/>
          <w:szCs w:val="28"/>
        </w:rPr>
        <w:t xml:space="preserve"> September 2007.  </w:t>
      </w:r>
      <w:r>
        <w:rPr>
          <w:rFonts w:hint="eastAsia"/>
          <w:szCs w:val="28"/>
        </w:rPr>
        <w:t xml:space="preserve"> Secondly, </w:t>
      </w:r>
      <w:r>
        <w:rPr>
          <w:szCs w:val="28"/>
        </w:rPr>
        <w:t>special</w:t>
      </w:r>
      <w:r>
        <w:rPr>
          <w:rFonts w:hint="eastAsia"/>
          <w:szCs w:val="28"/>
        </w:rPr>
        <w:t xml:space="preserve"> or unusual feature must exist before </w:t>
      </w:r>
      <w:r>
        <w:rPr>
          <w:szCs w:val="28"/>
        </w:rPr>
        <w:t>the</w:t>
      </w:r>
      <w:r>
        <w:rPr>
          <w:rFonts w:hint="eastAsia"/>
          <w:szCs w:val="28"/>
        </w:rPr>
        <w:t xml:space="preserve"> Court </w:t>
      </w:r>
      <w:r>
        <w:rPr>
          <w:szCs w:val="28"/>
        </w:rPr>
        <w:t>would</w:t>
      </w:r>
      <w:r>
        <w:rPr>
          <w:rFonts w:hint="eastAsia"/>
          <w:szCs w:val="28"/>
        </w:rPr>
        <w:t xml:space="preserve"> grant costs on common fund basis: </w:t>
      </w:r>
      <w:r>
        <w:rPr>
          <w:rFonts w:hint="eastAsia"/>
          <w:i/>
          <w:szCs w:val="28"/>
        </w:rPr>
        <w:t>Lily Tse and others v Incorporated Owners of Albert House and others HCPI 828/1997 per Hon Suffiad J dated 24</w:t>
      </w:r>
      <w:r>
        <w:rPr>
          <w:rFonts w:hint="eastAsia"/>
          <w:i/>
          <w:szCs w:val="28"/>
          <w:vertAlign w:val="superscript"/>
        </w:rPr>
        <w:t>th</w:t>
      </w:r>
      <w:r>
        <w:rPr>
          <w:rFonts w:hint="eastAsia"/>
          <w:i/>
          <w:szCs w:val="28"/>
        </w:rPr>
        <w:t xml:space="preserve"> February 2000; Jackson Ivan O</w:t>
      </w:r>
      <w:r>
        <w:rPr>
          <w:i/>
          <w:szCs w:val="28"/>
        </w:rPr>
        <w:t>’</w:t>
      </w:r>
      <w:r>
        <w:rPr>
          <w:rFonts w:hint="eastAsia"/>
          <w:i/>
          <w:szCs w:val="28"/>
        </w:rPr>
        <w:t xml:space="preserve"> Neil Amrol v Marisol Rivera DCPI 267/2007 per Deputy Judge Ko (as he then was) dated 27</w:t>
      </w:r>
      <w:r>
        <w:rPr>
          <w:rFonts w:hint="eastAsia"/>
          <w:i/>
          <w:szCs w:val="28"/>
          <w:vertAlign w:val="superscript"/>
        </w:rPr>
        <w:t>th</w:t>
      </w:r>
      <w:r>
        <w:rPr>
          <w:rFonts w:hint="eastAsia"/>
          <w:i/>
          <w:szCs w:val="28"/>
        </w:rPr>
        <w:t xml:space="preserve"> May 2008.  </w:t>
      </w:r>
      <w:r>
        <w:rPr>
          <w:rFonts w:hint="eastAsia"/>
          <w:szCs w:val="28"/>
        </w:rPr>
        <w:t xml:space="preserve">She submitted that there are special and unusual features in this case such as </w:t>
      </w:r>
      <w:r>
        <w:rPr>
          <w:szCs w:val="28"/>
        </w:rPr>
        <w:t>the</w:t>
      </w:r>
      <w:r>
        <w:rPr>
          <w:rFonts w:hint="eastAsia"/>
          <w:szCs w:val="28"/>
        </w:rPr>
        <w:t xml:space="preserve"> fact that the Plaintiff is not on legal aid and </w:t>
      </w:r>
      <w:r>
        <w:rPr>
          <w:szCs w:val="28"/>
        </w:rPr>
        <w:t>the</w:t>
      </w:r>
      <w:r>
        <w:rPr>
          <w:rFonts w:hint="eastAsia"/>
          <w:szCs w:val="28"/>
        </w:rPr>
        <w:t xml:space="preserve"> defence </w:t>
      </w:r>
      <w:r>
        <w:rPr>
          <w:szCs w:val="28"/>
        </w:rPr>
        <w:t>raised</w:t>
      </w:r>
      <w:r>
        <w:rPr>
          <w:rFonts w:hint="eastAsia"/>
          <w:szCs w:val="28"/>
        </w:rPr>
        <w:t xml:space="preserve"> are unsuccessful.</w:t>
      </w:r>
    </w:p>
    <w:p w:rsidR="00D97A0F" w:rsidRDefault="00D97A0F">
      <w:pPr>
        <w:pStyle w:val="ListParagraph"/>
        <w:tabs>
          <w:tab w:val="left" w:pos="709"/>
        </w:tabs>
        <w:spacing w:after="200" w:line="360" w:lineRule="auto"/>
        <w:ind w:left="0"/>
        <w:rPr>
          <w:rFonts w:hint="eastAsia"/>
          <w:i/>
          <w:szCs w:val="28"/>
        </w:rPr>
      </w:pPr>
      <w:r>
        <w:rPr>
          <w:rFonts w:hint="eastAsia"/>
          <w:szCs w:val="28"/>
        </w:rPr>
        <w:t xml:space="preserve"> </w:t>
      </w:r>
    </w:p>
    <w:p w:rsidR="00D97A0F" w:rsidRDefault="00D97A0F">
      <w:pPr>
        <w:pStyle w:val="ListParagraph"/>
        <w:ind w:left="360"/>
        <w:rPr>
          <w:szCs w:val="28"/>
        </w:rPr>
      </w:pPr>
    </w:p>
    <w:p w:rsidR="00D97A0F" w:rsidRDefault="00D97A0F">
      <w:pPr>
        <w:pStyle w:val="ListParagraph"/>
        <w:tabs>
          <w:tab w:val="left" w:pos="709"/>
        </w:tabs>
        <w:spacing w:after="200" w:line="360" w:lineRule="auto"/>
        <w:ind w:left="0"/>
        <w:rPr>
          <w:rFonts w:hint="eastAsia"/>
          <w:b/>
          <w:szCs w:val="28"/>
          <w:u w:val="single"/>
        </w:rPr>
      </w:pPr>
      <w:r>
        <w:rPr>
          <w:rFonts w:hint="eastAsia"/>
          <w:b/>
          <w:szCs w:val="28"/>
          <w:u w:val="single"/>
        </w:rPr>
        <w:t>II.</w:t>
      </w:r>
      <w:r>
        <w:rPr>
          <w:rFonts w:hint="eastAsia"/>
          <w:b/>
          <w:szCs w:val="28"/>
          <w:u w:val="single"/>
        </w:rPr>
        <w:tab/>
        <w:t xml:space="preserve">THE LAW &amp; DISCUSSION </w:t>
      </w:r>
    </w:p>
    <w:p w:rsidR="00D97A0F" w:rsidRDefault="00D97A0F">
      <w:pPr>
        <w:pStyle w:val="ListParagraph"/>
        <w:tabs>
          <w:tab w:val="left" w:pos="709"/>
        </w:tabs>
        <w:spacing w:after="200" w:line="360" w:lineRule="auto"/>
        <w:ind w:left="0"/>
        <w:rPr>
          <w:rFonts w:hint="eastAsia"/>
          <w:iCs/>
          <w:szCs w:val="28"/>
        </w:rPr>
      </w:pPr>
    </w:p>
    <w:p w:rsidR="00D97A0F" w:rsidRDefault="00D97A0F">
      <w:pPr>
        <w:pStyle w:val="ListParagraph"/>
        <w:numPr>
          <w:ilvl w:val="0"/>
          <w:numId w:val="10"/>
        </w:numPr>
        <w:tabs>
          <w:tab w:val="clear" w:pos="720"/>
          <w:tab w:val="left" w:pos="709"/>
        </w:tabs>
        <w:spacing w:after="200" w:line="360" w:lineRule="auto"/>
        <w:rPr>
          <w:rFonts w:hint="eastAsia"/>
          <w:i/>
          <w:szCs w:val="28"/>
        </w:rPr>
      </w:pPr>
      <w:r>
        <w:rPr>
          <w:rFonts w:hint="eastAsia"/>
          <w:szCs w:val="28"/>
        </w:rPr>
        <w:lastRenderedPageBreak/>
        <w:t>I now deal with her 1</w:t>
      </w:r>
      <w:r>
        <w:rPr>
          <w:rFonts w:hint="eastAsia"/>
          <w:szCs w:val="28"/>
          <w:vertAlign w:val="superscript"/>
        </w:rPr>
        <w:t>st</w:t>
      </w:r>
      <w:r>
        <w:rPr>
          <w:rFonts w:hint="eastAsia"/>
          <w:szCs w:val="28"/>
        </w:rPr>
        <w:t xml:space="preserve"> limb of argument.  A revisit of </w:t>
      </w:r>
      <w:r>
        <w:rPr>
          <w:szCs w:val="28"/>
        </w:rPr>
        <w:t>th</w:t>
      </w:r>
      <w:r>
        <w:rPr>
          <w:rFonts w:hint="eastAsia"/>
          <w:szCs w:val="28"/>
        </w:rPr>
        <w:t>e</w:t>
      </w:r>
      <w:r>
        <w:rPr>
          <w:szCs w:val="28"/>
        </w:rPr>
        <w:t xml:space="preserve"> aut</w:t>
      </w:r>
      <w:r>
        <w:rPr>
          <w:rFonts w:hint="eastAsia"/>
          <w:szCs w:val="28"/>
        </w:rPr>
        <w:t>h</w:t>
      </w:r>
      <w:r>
        <w:rPr>
          <w:szCs w:val="28"/>
        </w:rPr>
        <w:t>or</w:t>
      </w:r>
      <w:r>
        <w:rPr>
          <w:rFonts w:hint="eastAsia"/>
          <w:szCs w:val="28"/>
        </w:rPr>
        <w:t>i</w:t>
      </w:r>
      <w:r>
        <w:rPr>
          <w:szCs w:val="28"/>
        </w:rPr>
        <w:t xml:space="preserve">ties </w:t>
      </w:r>
      <w:r>
        <w:rPr>
          <w:rFonts w:hint="eastAsia"/>
          <w:szCs w:val="28"/>
        </w:rPr>
        <w:t xml:space="preserve">causes me to come to the view that two scenarios are to be </w:t>
      </w:r>
      <w:r>
        <w:rPr>
          <w:szCs w:val="28"/>
        </w:rPr>
        <w:t>distinguished</w:t>
      </w:r>
      <w:r>
        <w:rPr>
          <w:rFonts w:hint="eastAsia"/>
          <w:szCs w:val="28"/>
        </w:rPr>
        <w:t xml:space="preserve">. </w:t>
      </w:r>
      <w:r>
        <w:rPr>
          <w:szCs w:val="28"/>
        </w:rPr>
        <w:t>The</w:t>
      </w:r>
      <w:r>
        <w:rPr>
          <w:rFonts w:hint="eastAsia"/>
          <w:szCs w:val="28"/>
        </w:rPr>
        <w:t xml:space="preserve"> 1</w:t>
      </w:r>
      <w:r>
        <w:rPr>
          <w:rFonts w:hint="eastAsia"/>
          <w:szCs w:val="28"/>
          <w:vertAlign w:val="superscript"/>
        </w:rPr>
        <w:t>st</w:t>
      </w:r>
      <w:r>
        <w:rPr>
          <w:rFonts w:hint="eastAsia"/>
          <w:szCs w:val="28"/>
        </w:rPr>
        <w:t xml:space="preserve"> scenario is that </w:t>
      </w:r>
      <w:r>
        <w:rPr>
          <w:szCs w:val="28"/>
        </w:rPr>
        <w:t>the</w:t>
      </w:r>
      <w:r>
        <w:rPr>
          <w:rFonts w:hint="eastAsia"/>
          <w:szCs w:val="28"/>
        </w:rPr>
        <w:t xml:space="preserve"> usual costs order in respect of an infant</w:t>
      </w:r>
      <w:r>
        <w:rPr>
          <w:szCs w:val="28"/>
        </w:rPr>
        <w:t>’</w:t>
      </w:r>
      <w:r>
        <w:rPr>
          <w:rFonts w:hint="eastAsia"/>
          <w:szCs w:val="28"/>
        </w:rPr>
        <w:t xml:space="preserve">s settlement or compromise is on </w:t>
      </w:r>
      <w:r>
        <w:rPr>
          <w:szCs w:val="28"/>
        </w:rPr>
        <w:t>common</w:t>
      </w:r>
      <w:r>
        <w:rPr>
          <w:rFonts w:hint="eastAsia"/>
          <w:szCs w:val="28"/>
        </w:rPr>
        <w:t xml:space="preserve"> fund basis, so that </w:t>
      </w:r>
      <w:r>
        <w:rPr>
          <w:szCs w:val="28"/>
        </w:rPr>
        <w:t>the</w:t>
      </w:r>
      <w:r>
        <w:rPr>
          <w:rFonts w:hint="eastAsia"/>
          <w:szCs w:val="28"/>
        </w:rPr>
        <w:t xml:space="preserve"> court can be reasonably sure of </w:t>
      </w:r>
      <w:r>
        <w:rPr>
          <w:szCs w:val="28"/>
        </w:rPr>
        <w:t>the</w:t>
      </w:r>
      <w:r>
        <w:rPr>
          <w:rFonts w:hint="eastAsia"/>
          <w:szCs w:val="28"/>
        </w:rPr>
        <w:t xml:space="preserve"> adequacy of </w:t>
      </w:r>
      <w:r>
        <w:rPr>
          <w:szCs w:val="28"/>
        </w:rPr>
        <w:t>the</w:t>
      </w:r>
      <w:r>
        <w:rPr>
          <w:rFonts w:hint="eastAsia"/>
          <w:szCs w:val="28"/>
        </w:rPr>
        <w:t xml:space="preserve"> settlement to </w:t>
      </w:r>
      <w:r>
        <w:rPr>
          <w:szCs w:val="28"/>
        </w:rPr>
        <w:t>the</w:t>
      </w:r>
      <w:r>
        <w:rPr>
          <w:rFonts w:hint="eastAsia"/>
          <w:szCs w:val="28"/>
        </w:rPr>
        <w:t xml:space="preserve"> infant: </w:t>
      </w:r>
      <w:r>
        <w:rPr>
          <w:rFonts w:hint="eastAsia"/>
          <w:i/>
          <w:szCs w:val="28"/>
        </w:rPr>
        <w:t>Tai Chau Yung &amp; Anr v Ng &amp; Anr [1999] 2 HKLRD 549</w:t>
      </w:r>
      <w:r>
        <w:rPr>
          <w:rFonts w:hint="eastAsia"/>
          <w:szCs w:val="28"/>
        </w:rPr>
        <w:t xml:space="preserve">.  </w:t>
      </w:r>
      <w:r>
        <w:rPr>
          <w:szCs w:val="28"/>
        </w:rPr>
        <w:t>The</w:t>
      </w:r>
      <w:r>
        <w:rPr>
          <w:rFonts w:hint="eastAsia"/>
          <w:szCs w:val="28"/>
        </w:rPr>
        <w:t xml:space="preserve"> 2</w:t>
      </w:r>
      <w:r>
        <w:rPr>
          <w:rFonts w:hint="eastAsia"/>
          <w:szCs w:val="28"/>
          <w:vertAlign w:val="superscript"/>
        </w:rPr>
        <w:t>nd</w:t>
      </w:r>
      <w:r>
        <w:rPr>
          <w:rFonts w:hint="eastAsia"/>
          <w:szCs w:val="28"/>
        </w:rPr>
        <w:t xml:space="preserve"> scenario is after trial or assessment of damages, </w:t>
      </w:r>
      <w:r>
        <w:rPr>
          <w:szCs w:val="28"/>
        </w:rPr>
        <w:t>the</w:t>
      </w:r>
      <w:r>
        <w:rPr>
          <w:rFonts w:hint="eastAsia"/>
          <w:szCs w:val="28"/>
        </w:rPr>
        <w:t xml:space="preserve"> position remains </w:t>
      </w:r>
      <w:r>
        <w:rPr>
          <w:szCs w:val="28"/>
        </w:rPr>
        <w:t>the</w:t>
      </w:r>
      <w:r>
        <w:rPr>
          <w:rFonts w:hint="eastAsia"/>
          <w:szCs w:val="28"/>
        </w:rPr>
        <w:t xml:space="preserve"> same that there must be special or unusual feature of the case before costs on common fund basis be granted:  </w:t>
      </w:r>
      <w:r>
        <w:rPr>
          <w:rFonts w:hint="eastAsia"/>
          <w:i/>
          <w:szCs w:val="28"/>
        </w:rPr>
        <w:t xml:space="preserve">Fung Wing Yee, a minor by Kam Siu Yung Sandy, her next </w:t>
      </w:r>
      <w:r>
        <w:rPr>
          <w:i/>
          <w:szCs w:val="28"/>
        </w:rPr>
        <w:t>friend</w:t>
      </w:r>
      <w:r>
        <w:rPr>
          <w:rFonts w:hint="eastAsia"/>
          <w:i/>
          <w:szCs w:val="28"/>
        </w:rPr>
        <w:t>: HCPI 657/2007 per Hon Suffiad J dated 30</w:t>
      </w:r>
      <w:r>
        <w:rPr>
          <w:rFonts w:hint="eastAsia"/>
          <w:i/>
          <w:szCs w:val="28"/>
          <w:vertAlign w:val="superscript"/>
        </w:rPr>
        <w:t>th</w:t>
      </w:r>
      <w:r>
        <w:rPr>
          <w:rFonts w:hint="eastAsia"/>
          <w:i/>
          <w:szCs w:val="28"/>
        </w:rPr>
        <w:t xml:space="preserve"> April 2010.</w:t>
      </w:r>
    </w:p>
    <w:p w:rsidR="00D97A0F" w:rsidRDefault="00D97A0F">
      <w:pPr>
        <w:pStyle w:val="ListParagraph"/>
        <w:tabs>
          <w:tab w:val="left" w:pos="709"/>
        </w:tabs>
        <w:spacing w:after="200" w:line="360" w:lineRule="auto"/>
        <w:rPr>
          <w:rFonts w:hint="eastAsia"/>
          <w:i/>
          <w:szCs w:val="28"/>
        </w:rPr>
      </w:pPr>
    </w:p>
    <w:p w:rsidR="00D97A0F" w:rsidRDefault="00D97A0F">
      <w:pPr>
        <w:pStyle w:val="ListParagraph"/>
        <w:numPr>
          <w:ilvl w:val="0"/>
          <w:numId w:val="10"/>
        </w:numPr>
        <w:tabs>
          <w:tab w:val="clear" w:pos="720"/>
          <w:tab w:val="left" w:pos="709"/>
        </w:tabs>
        <w:spacing w:after="200" w:line="360" w:lineRule="auto"/>
        <w:rPr>
          <w:rFonts w:hint="eastAsia"/>
          <w:i/>
          <w:szCs w:val="28"/>
        </w:rPr>
      </w:pPr>
      <w:r>
        <w:rPr>
          <w:rFonts w:hint="eastAsia"/>
          <w:szCs w:val="28"/>
        </w:rPr>
        <w:t xml:space="preserve">It is often submitted but it may not be entirely correct that whenever there are cases involving minor, the scale of costs should be on common fund basis.  </w:t>
      </w:r>
      <w:r>
        <w:rPr>
          <w:szCs w:val="28"/>
        </w:rPr>
        <w:t>This i</w:t>
      </w:r>
      <w:r>
        <w:rPr>
          <w:rFonts w:hint="eastAsia"/>
          <w:szCs w:val="28"/>
        </w:rPr>
        <w:t>s</w:t>
      </w:r>
      <w:r>
        <w:rPr>
          <w:szCs w:val="28"/>
        </w:rPr>
        <w:t xml:space="preserve"> particularly </w:t>
      </w:r>
      <w:r>
        <w:rPr>
          <w:rFonts w:hint="eastAsia"/>
          <w:szCs w:val="28"/>
        </w:rPr>
        <w:t xml:space="preserve">so when there is settlement involving minor and hence it is believed that </w:t>
      </w:r>
      <w:r>
        <w:rPr>
          <w:szCs w:val="28"/>
        </w:rPr>
        <w:t>the</w:t>
      </w:r>
      <w:r>
        <w:rPr>
          <w:rFonts w:hint="eastAsia"/>
          <w:szCs w:val="28"/>
        </w:rPr>
        <w:t xml:space="preserve"> position </w:t>
      </w:r>
      <w:r>
        <w:rPr>
          <w:szCs w:val="28"/>
        </w:rPr>
        <w:t>should</w:t>
      </w:r>
      <w:r>
        <w:rPr>
          <w:rFonts w:hint="eastAsia"/>
          <w:szCs w:val="28"/>
        </w:rPr>
        <w:t xml:space="preserve"> be </w:t>
      </w:r>
      <w:r>
        <w:rPr>
          <w:szCs w:val="28"/>
        </w:rPr>
        <w:t>the</w:t>
      </w:r>
      <w:r>
        <w:rPr>
          <w:rFonts w:hint="eastAsia"/>
          <w:szCs w:val="28"/>
        </w:rPr>
        <w:t xml:space="preserve"> same after trial or assessment of damages.  In Ma Ka Lai cases, </w:t>
      </w:r>
      <w:r>
        <w:rPr>
          <w:szCs w:val="28"/>
        </w:rPr>
        <w:t>what</w:t>
      </w:r>
      <w:r>
        <w:rPr>
          <w:rFonts w:hint="eastAsia"/>
          <w:szCs w:val="28"/>
        </w:rPr>
        <w:t xml:space="preserve"> has been said by Hon Seagroatt J is: </w:t>
      </w:r>
    </w:p>
    <w:p w:rsidR="00D97A0F" w:rsidRDefault="00D97A0F">
      <w:pPr>
        <w:pStyle w:val="ListParagraph"/>
        <w:rPr>
          <w:szCs w:val="28"/>
        </w:rPr>
      </w:pPr>
    </w:p>
    <w:p w:rsidR="00D97A0F" w:rsidRDefault="00D97A0F">
      <w:pPr>
        <w:pStyle w:val="ListParagraph"/>
        <w:tabs>
          <w:tab w:val="left" w:pos="709"/>
        </w:tabs>
        <w:spacing w:after="200" w:line="360" w:lineRule="auto"/>
        <w:ind w:left="709"/>
        <w:rPr>
          <w:rFonts w:hint="eastAsia"/>
          <w:i/>
          <w:sz w:val="24"/>
          <w:szCs w:val="24"/>
        </w:rPr>
      </w:pPr>
      <w:r>
        <w:rPr>
          <w:i/>
          <w:sz w:val="24"/>
          <w:szCs w:val="24"/>
        </w:rPr>
        <w:t>“</w:t>
      </w:r>
      <w:r>
        <w:rPr>
          <w:rFonts w:hint="eastAsia"/>
          <w:i/>
          <w:sz w:val="24"/>
          <w:szCs w:val="24"/>
        </w:rPr>
        <w:t>Although costs in such circumstances, after trial or settlement of an infant</w:t>
      </w:r>
      <w:r>
        <w:rPr>
          <w:i/>
          <w:sz w:val="24"/>
          <w:szCs w:val="24"/>
        </w:rPr>
        <w:t>’</w:t>
      </w:r>
      <w:r>
        <w:rPr>
          <w:rFonts w:hint="eastAsia"/>
          <w:i/>
          <w:sz w:val="24"/>
          <w:szCs w:val="24"/>
        </w:rPr>
        <w:t xml:space="preserve">s claim, </w:t>
      </w:r>
      <w:r>
        <w:rPr>
          <w:i/>
          <w:sz w:val="24"/>
          <w:szCs w:val="24"/>
        </w:rPr>
        <w:t>would</w:t>
      </w:r>
      <w:r>
        <w:rPr>
          <w:rFonts w:hint="eastAsia"/>
          <w:i/>
          <w:sz w:val="24"/>
          <w:szCs w:val="24"/>
        </w:rPr>
        <w:t xml:space="preserve"> </w:t>
      </w:r>
      <w:r>
        <w:rPr>
          <w:i/>
          <w:sz w:val="24"/>
          <w:szCs w:val="24"/>
        </w:rPr>
        <w:t>normally</w:t>
      </w:r>
      <w:r>
        <w:rPr>
          <w:rFonts w:hint="eastAsia"/>
          <w:i/>
          <w:sz w:val="24"/>
          <w:szCs w:val="24"/>
        </w:rPr>
        <w:t xml:space="preserve"> be on a common fund basis, in </w:t>
      </w:r>
      <w:r>
        <w:rPr>
          <w:i/>
          <w:sz w:val="24"/>
          <w:szCs w:val="24"/>
        </w:rPr>
        <w:t>the</w:t>
      </w:r>
      <w:r>
        <w:rPr>
          <w:rFonts w:hint="eastAsia"/>
          <w:i/>
          <w:sz w:val="24"/>
          <w:szCs w:val="24"/>
        </w:rPr>
        <w:t xml:space="preserve"> circumstances of this </w:t>
      </w:r>
      <w:r>
        <w:rPr>
          <w:i/>
          <w:sz w:val="24"/>
          <w:szCs w:val="24"/>
        </w:rPr>
        <w:t>relatively</w:t>
      </w:r>
      <w:r>
        <w:rPr>
          <w:rFonts w:hint="eastAsia"/>
          <w:i/>
          <w:sz w:val="24"/>
          <w:szCs w:val="24"/>
        </w:rPr>
        <w:t xml:space="preserve"> simple claim I decided that they </w:t>
      </w:r>
      <w:r>
        <w:rPr>
          <w:i/>
          <w:sz w:val="24"/>
          <w:szCs w:val="24"/>
        </w:rPr>
        <w:t>should</w:t>
      </w:r>
      <w:r>
        <w:rPr>
          <w:rFonts w:hint="eastAsia"/>
          <w:i/>
          <w:sz w:val="24"/>
          <w:szCs w:val="24"/>
        </w:rPr>
        <w:t xml:space="preserve"> be on </w:t>
      </w:r>
      <w:r>
        <w:rPr>
          <w:i/>
          <w:sz w:val="24"/>
          <w:szCs w:val="24"/>
        </w:rPr>
        <w:t>the</w:t>
      </w:r>
      <w:r>
        <w:rPr>
          <w:rFonts w:hint="eastAsia"/>
          <w:i/>
          <w:sz w:val="24"/>
          <w:szCs w:val="24"/>
        </w:rPr>
        <w:t xml:space="preserve"> party and party scale.</w:t>
      </w:r>
      <w:r>
        <w:rPr>
          <w:i/>
          <w:sz w:val="24"/>
          <w:szCs w:val="24"/>
        </w:rPr>
        <w:t>”</w:t>
      </w:r>
      <w:r>
        <w:rPr>
          <w:rFonts w:hint="eastAsia"/>
          <w:i/>
          <w:sz w:val="24"/>
          <w:szCs w:val="24"/>
        </w:rPr>
        <w:t xml:space="preserve">     </w:t>
      </w:r>
    </w:p>
    <w:p w:rsidR="00D97A0F" w:rsidRDefault="00D97A0F">
      <w:pPr>
        <w:pStyle w:val="ListParagraph"/>
        <w:rPr>
          <w:szCs w:val="28"/>
        </w:rPr>
      </w:pPr>
    </w:p>
    <w:p w:rsidR="00D97A0F" w:rsidRDefault="00D97A0F">
      <w:pPr>
        <w:pStyle w:val="ListParagraph"/>
        <w:numPr>
          <w:ilvl w:val="0"/>
          <w:numId w:val="10"/>
        </w:numPr>
        <w:tabs>
          <w:tab w:val="clear" w:pos="720"/>
          <w:tab w:val="left" w:pos="709"/>
        </w:tabs>
        <w:spacing w:after="200" w:line="360" w:lineRule="auto"/>
        <w:rPr>
          <w:rFonts w:hint="eastAsia"/>
          <w:i/>
          <w:szCs w:val="28"/>
        </w:rPr>
      </w:pPr>
      <w:r>
        <w:rPr>
          <w:rFonts w:hint="eastAsia"/>
          <w:szCs w:val="28"/>
        </w:rPr>
        <w:t xml:space="preserve">There was no full argument on what is </w:t>
      </w:r>
      <w:r>
        <w:rPr>
          <w:szCs w:val="28"/>
        </w:rPr>
        <w:t>the</w:t>
      </w:r>
      <w:r>
        <w:rPr>
          <w:rFonts w:hint="eastAsia"/>
          <w:szCs w:val="28"/>
        </w:rPr>
        <w:t xml:space="preserve"> correct test for </w:t>
      </w:r>
      <w:r>
        <w:rPr>
          <w:szCs w:val="28"/>
        </w:rPr>
        <w:t>“common</w:t>
      </w:r>
      <w:r>
        <w:rPr>
          <w:rFonts w:hint="eastAsia"/>
          <w:szCs w:val="28"/>
        </w:rPr>
        <w:t xml:space="preserve"> fund basis</w:t>
      </w:r>
      <w:r>
        <w:rPr>
          <w:szCs w:val="28"/>
        </w:rPr>
        <w:t>”</w:t>
      </w:r>
      <w:r>
        <w:rPr>
          <w:rFonts w:hint="eastAsia"/>
          <w:szCs w:val="28"/>
        </w:rPr>
        <w:t xml:space="preserve"> in </w:t>
      </w:r>
      <w:r>
        <w:rPr>
          <w:rFonts w:hint="eastAsia"/>
          <w:i/>
          <w:iCs/>
          <w:szCs w:val="28"/>
        </w:rPr>
        <w:t>Ma Ka Lai</w:t>
      </w:r>
      <w:r>
        <w:rPr>
          <w:rFonts w:hint="eastAsia"/>
          <w:szCs w:val="28"/>
        </w:rPr>
        <w:t xml:space="preserve"> cases, so as in </w:t>
      </w:r>
      <w:r>
        <w:rPr>
          <w:rFonts w:hint="eastAsia"/>
          <w:i/>
          <w:iCs/>
          <w:szCs w:val="28"/>
        </w:rPr>
        <w:t>Aqsa Rama</w:t>
      </w:r>
      <w:r>
        <w:rPr>
          <w:rFonts w:hint="eastAsia"/>
          <w:szCs w:val="28"/>
        </w:rPr>
        <w:t xml:space="preserve"> case.   </w:t>
      </w:r>
    </w:p>
    <w:p w:rsidR="00D97A0F" w:rsidRDefault="00D97A0F">
      <w:pPr>
        <w:pStyle w:val="ListParagraph"/>
        <w:tabs>
          <w:tab w:val="left" w:pos="709"/>
        </w:tabs>
        <w:spacing w:after="200" w:line="360" w:lineRule="auto"/>
        <w:rPr>
          <w:rFonts w:hint="eastAsia"/>
          <w:i/>
          <w:szCs w:val="28"/>
        </w:rPr>
      </w:pPr>
      <w:r>
        <w:rPr>
          <w:rFonts w:hint="eastAsia"/>
          <w:szCs w:val="28"/>
        </w:rPr>
        <w:t xml:space="preserve">  </w:t>
      </w:r>
    </w:p>
    <w:p w:rsidR="00D97A0F" w:rsidRDefault="00D97A0F">
      <w:pPr>
        <w:pStyle w:val="ListParagraph"/>
        <w:numPr>
          <w:ilvl w:val="0"/>
          <w:numId w:val="10"/>
        </w:numPr>
        <w:tabs>
          <w:tab w:val="clear" w:pos="720"/>
          <w:tab w:val="left" w:pos="709"/>
        </w:tabs>
        <w:spacing w:after="200" w:line="360" w:lineRule="auto"/>
        <w:rPr>
          <w:rFonts w:hint="eastAsia"/>
          <w:szCs w:val="28"/>
        </w:rPr>
      </w:pPr>
      <w:r>
        <w:rPr>
          <w:rFonts w:hint="eastAsia"/>
          <w:szCs w:val="28"/>
        </w:rPr>
        <w:t xml:space="preserve">However, full contentions were made in </w:t>
      </w:r>
      <w:r>
        <w:rPr>
          <w:rFonts w:hint="eastAsia"/>
          <w:i/>
          <w:iCs/>
          <w:szCs w:val="28"/>
        </w:rPr>
        <w:t>Fung Wing Yee</w:t>
      </w:r>
      <w:r>
        <w:rPr>
          <w:rFonts w:hint="eastAsia"/>
          <w:szCs w:val="28"/>
        </w:rPr>
        <w:t xml:space="preserve"> case in </w:t>
      </w:r>
      <w:r>
        <w:rPr>
          <w:szCs w:val="28"/>
        </w:rPr>
        <w:t>which</w:t>
      </w:r>
      <w:r>
        <w:rPr>
          <w:rFonts w:hint="eastAsia"/>
          <w:szCs w:val="28"/>
        </w:rPr>
        <w:t xml:space="preserve"> Hon Suffiad J drew </w:t>
      </w:r>
      <w:r>
        <w:rPr>
          <w:szCs w:val="28"/>
        </w:rPr>
        <w:t>the</w:t>
      </w:r>
      <w:r>
        <w:rPr>
          <w:rFonts w:hint="eastAsia"/>
          <w:szCs w:val="28"/>
        </w:rPr>
        <w:t xml:space="preserve"> distinction between 2 scenarios: (i) cases involving minor was settled or compromised and (ii) cases involving minor after trial or assessment of damages.  </w:t>
      </w:r>
    </w:p>
    <w:p w:rsidR="00D97A0F" w:rsidRDefault="00D97A0F">
      <w:pPr>
        <w:pStyle w:val="ListParagraph"/>
        <w:tabs>
          <w:tab w:val="left" w:pos="709"/>
        </w:tabs>
        <w:spacing w:after="200" w:line="360" w:lineRule="auto"/>
        <w:ind w:left="0"/>
        <w:rPr>
          <w:rFonts w:hint="eastAsia"/>
          <w:szCs w:val="28"/>
        </w:rPr>
      </w:pPr>
    </w:p>
    <w:p w:rsidR="00D97A0F" w:rsidRDefault="00D97A0F">
      <w:pPr>
        <w:pStyle w:val="ListParagraph"/>
        <w:numPr>
          <w:ilvl w:val="0"/>
          <w:numId w:val="10"/>
        </w:numPr>
        <w:tabs>
          <w:tab w:val="clear" w:pos="720"/>
          <w:tab w:val="left" w:pos="709"/>
        </w:tabs>
        <w:spacing w:after="200" w:line="360" w:lineRule="auto"/>
        <w:rPr>
          <w:rFonts w:hint="eastAsia"/>
          <w:i/>
          <w:szCs w:val="28"/>
        </w:rPr>
      </w:pPr>
      <w:r>
        <w:rPr>
          <w:rFonts w:hint="eastAsia"/>
          <w:szCs w:val="28"/>
        </w:rPr>
        <w:t xml:space="preserve">Hon. Suffiad J noted </w:t>
      </w:r>
      <w:r>
        <w:rPr>
          <w:szCs w:val="28"/>
        </w:rPr>
        <w:t>the</w:t>
      </w:r>
      <w:r>
        <w:rPr>
          <w:rFonts w:hint="eastAsia"/>
          <w:szCs w:val="28"/>
        </w:rPr>
        <w:t xml:space="preserve"> inconsistency between </w:t>
      </w:r>
      <w:r>
        <w:rPr>
          <w:szCs w:val="28"/>
        </w:rPr>
        <w:t>Master Barnes’</w:t>
      </w:r>
      <w:r>
        <w:rPr>
          <w:rFonts w:hint="eastAsia"/>
          <w:szCs w:val="28"/>
        </w:rPr>
        <w:t xml:space="preserve">s passages (similar to </w:t>
      </w:r>
      <w:r>
        <w:rPr>
          <w:szCs w:val="28"/>
        </w:rPr>
        <w:t>the</w:t>
      </w:r>
      <w:r>
        <w:rPr>
          <w:rFonts w:hint="eastAsia"/>
          <w:szCs w:val="28"/>
        </w:rPr>
        <w:t xml:space="preserve"> P</w:t>
      </w:r>
      <w:r>
        <w:rPr>
          <w:szCs w:val="28"/>
        </w:rPr>
        <w:t>l</w:t>
      </w:r>
      <w:r>
        <w:rPr>
          <w:rFonts w:hint="eastAsia"/>
          <w:szCs w:val="28"/>
        </w:rPr>
        <w:t>aintiff</w:t>
      </w:r>
      <w:r>
        <w:rPr>
          <w:szCs w:val="28"/>
        </w:rPr>
        <w:t>’</w:t>
      </w:r>
      <w:r>
        <w:rPr>
          <w:rFonts w:hint="eastAsia"/>
          <w:szCs w:val="28"/>
        </w:rPr>
        <w:t>s 1</w:t>
      </w:r>
      <w:r>
        <w:rPr>
          <w:rFonts w:hint="eastAsia"/>
          <w:szCs w:val="28"/>
          <w:vertAlign w:val="superscript"/>
        </w:rPr>
        <w:t>st</w:t>
      </w:r>
      <w:r>
        <w:rPr>
          <w:rFonts w:hint="eastAsia"/>
          <w:szCs w:val="28"/>
        </w:rPr>
        <w:t xml:space="preserve"> limb of argument here) in </w:t>
      </w:r>
      <w:r>
        <w:rPr>
          <w:rFonts w:hint="eastAsia"/>
          <w:i/>
          <w:szCs w:val="28"/>
        </w:rPr>
        <w:t xml:space="preserve">Wai Yin Wa by her next friend Choi Siu Yick v Laminate Enterprises Ltd HCPI 514/1997 per Master Barnes (as she then was) </w:t>
      </w:r>
      <w:r>
        <w:rPr>
          <w:rFonts w:hint="eastAsia"/>
          <w:szCs w:val="28"/>
        </w:rPr>
        <w:t xml:space="preserve">and the legal commentary under para. 62/App/8 of the Hong Kong Civil Procedure.  </w:t>
      </w:r>
    </w:p>
    <w:p w:rsidR="00D97A0F" w:rsidRDefault="00D97A0F">
      <w:pPr>
        <w:pStyle w:val="ListParagraph"/>
        <w:rPr>
          <w:szCs w:val="28"/>
        </w:rPr>
      </w:pPr>
    </w:p>
    <w:p w:rsidR="00D97A0F" w:rsidRDefault="00D97A0F">
      <w:pPr>
        <w:pStyle w:val="ListParagraph"/>
        <w:numPr>
          <w:ilvl w:val="0"/>
          <w:numId w:val="10"/>
        </w:numPr>
        <w:tabs>
          <w:tab w:val="clear" w:pos="720"/>
          <w:tab w:val="left" w:pos="709"/>
        </w:tabs>
        <w:spacing w:after="200" w:line="360" w:lineRule="auto"/>
        <w:rPr>
          <w:rFonts w:hint="eastAsia"/>
          <w:szCs w:val="28"/>
        </w:rPr>
      </w:pPr>
      <w:r>
        <w:rPr>
          <w:rFonts w:hint="eastAsia"/>
        </w:rPr>
        <w:t>In Order 62 of the Hong Kong Civil Procedure 2010 edition, under marginal note</w:t>
      </w:r>
      <w:r>
        <w:t> </w:t>
      </w:r>
      <w:r>
        <w:rPr>
          <w:rFonts w:hint="eastAsia"/>
        </w:rPr>
        <w:t>62/App/8 there appears the following commentary</w:t>
      </w:r>
      <w:r>
        <w:t> </w:t>
      </w:r>
      <w:r>
        <w:rPr>
          <w:rFonts w:hint="eastAsia"/>
        </w:rPr>
        <w:t>:</w:t>
      </w:r>
    </w:p>
    <w:p w:rsidR="00D97A0F" w:rsidRDefault="00D97A0F">
      <w:pPr>
        <w:pStyle w:val="ListParagraph"/>
        <w:ind w:left="0"/>
        <w:rPr>
          <w:szCs w:val="28"/>
        </w:rPr>
      </w:pPr>
    </w:p>
    <w:p w:rsidR="00D97A0F" w:rsidRDefault="00D97A0F">
      <w:pPr>
        <w:pStyle w:val="Quotation"/>
        <w:spacing w:after="640"/>
        <w:rPr>
          <w:rFonts w:hint="eastAsia"/>
        </w:rPr>
      </w:pPr>
      <w:r>
        <w:t xml:space="preserve"> “</w:t>
      </w:r>
      <w:r>
        <w:rPr>
          <w:rFonts w:hint="eastAsia"/>
          <w:b/>
          <w:bCs/>
        </w:rPr>
        <w:t>When to Order common fund costs</w:t>
      </w:r>
      <w:r>
        <w:rPr>
          <w:rFonts w:hint="eastAsia"/>
          <w:b/>
          <w:bCs/>
        </w:rPr>
        <w:t>—</w:t>
      </w:r>
      <w:r>
        <w:rPr>
          <w:rFonts w:hint="eastAsia"/>
        </w:rPr>
        <w:t>To justify an order</w:t>
      </w:r>
      <w:r>
        <w:rPr>
          <w:lang w:val="en-US"/>
        </w:rPr>
        <w:t xml:space="preserve"> </w:t>
      </w:r>
      <w:r>
        <w:rPr>
          <w:rFonts w:hint="eastAsia"/>
        </w:rPr>
        <w:t>for costs on the common fund basis, the case has to have some special or unusual feature (</w:t>
      </w:r>
      <w:r>
        <w:rPr>
          <w:rFonts w:hint="eastAsia"/>
          <w:i/>
          <w:iCs/>
        </w:rPr>
        <w:t>Overseas Trust Bank Ltd v Coopers &amp; Lybrand (a firm) &amp; Ors</w:t>
      </w:r>
      <w:r>
        <w:rPr>
          <w:rFonts w:hint="eastAsia"/>
        </w:rPr>
        <w:t xml:space="preserve"> [1991] H.K.L.R.</w:t>
      </w:r>
      <w:r>
        <w:rPr>
          <w:lang w:val="en-US"/>
        </w:rPr>
        <w:t>1</w:t>
      </w:r>
      <w:r>
        <w:rPr>
          <w:rFonts w:hint="eastAsia"/>
        </w:rPr>
        <w:t xml:space="preserve">77).  It has now become the general practice of the court in cases settled or compromised in favour of an infant or a patient plaintiff to award costs on common fund basis and not party and party basis as the courts needed to be sure of adequacy of settlement </w:t>
      </w:r>
      <w:r>
        <w:rPr>
          <w:rFonts w:hint="eastAsia"/>
          <w:i/>
          <w:iCs/>
        </w:rPr>
        <w:t>(Tai Chau Yung &amp; Anr v Ng &amp; Anr</w:t>
      </w:r>
      <w:r>
        <w:rPr>
          <w:rFonts w:hint="eastAsia"/>
        </w:rPr>
        <w:t xml:space="preserve"> [1999]</w:t>
      </w:r>
      <w:r>
        <w:rPr>
          <w:lang w:val="en-US"/>
        </w:rPr>
        <w:t> </w:t>
      </w:r>
      <w:r>
        <w:rPr>
          <w:rFonts w:hint="eastAsia"/>
        </w:rPr>
        <w:t>2 H.K.L.R.D.549).</w:t>
      </w:r>
      <w:r>
        <w:t>”</w:t>
      </w:r>
    </w:p>
    <w:p w:rsidR="00D97A0F" w:rsidRDefault="00D97A0F">
      <w:pPr>
        <w:pStyle w:val="ListParagraph"/>
        <w:numPr>
          <w:ilvl w:val="0"/>
          <w:numId w:val="10"/>
        </w:numPr>
        <w:tabs>
          <w:tab w:val="clear" w:pos="720"/>
          <w:tab w:val="left" w:pos="709"/>
        </w:tabs>
        <w:spacing w:after="200" w:line="360" w:lineRule="auto"/>
        <w:rPr>
          <w:rFonts w:hint="eastAsia"/>
          <w:szCs w:val="28"/>
        </w:rPr>
      </w:pPr>
      <w:r>
        <w:rPr>
          <w:rFonts w:hint="eastAsia"/>
        </w:rPr>
        <w:t xml:space="preserve">  Master Barnes</w:t>
      </w:r>
      <w:r>
        <w:t>’</w:t>
      </w:r>
      <w:r>
        <w:rPr>
          <w:rFonts w:hint="eastAsia"/>
        </w:rPr>
        <w:t>s relevant passage is as follows:-</w:t>
      </w:r>
    </w:p>
    <w:p w:rsidR="00D97A0F" w:rsidRDefault="00D97A0F">
      <w:pPr>
        <w:pStyle w:val="Quotation"/>
        <w:spacing w:after="640"/>
        <w:rPr>
          <w:rFonts w:hint="eastAsia"/>
          <w:sz w:val="22"/>
        </w:rPr>
      </w:pPr>
      <w:r>
        <w:t xml:space="preserve"> “…</w:t>
      </w:r>
      <w:r>
        <w:rPr>
          <w:rFonts w:hint="eastAsia"/>
        </w:rPr>
        <w:t xml:space="preserve"> After considering the authority of </w:t>
      </w:r>
      <w:r>
        <w:rPr>
          <w:rFonts w:hint="eastAsia"/>
          <w:b/>
          <w:bCs/>
        </w:rPr>
        <w:t xml:space="preserve">Tai Chau Yung and Chu Yau v Ng Jim et al </w:t>
      </w:r>
      <w:r>
        <w:rPr>
          <w:rFonts w:hint="eastAsia"/>
        </w:rPr>
        <w:t xml:space="preserve">(HCPI No. 753 of 1997), I am of the view that a court in exercising its discretion </w:t>
      </w:r>
      <w:r>
        <w:t>should</w:t>
      </w:r>
      <w:r>
        <w:rPr>
          <w:rFonts w:hint="eastAsia"/>
        </w:rPr>
        <w:t xml:space="preserve"> award costs on a Common Fund basis to safeguard the interest of an aided Plaintiff who is under a disability. I am also of the view </w:t>
      </w:r>
      <w:r>
        <w:t>that</w:t>
      </w:r>
      <w:r>
        <w:rPr>
          <w:rFonts w:hint="eastAsia"/>
        </w:rPr>
        <w:t xml:space="preserve"> the same approach should be adopted whether the case was compromised by settlement or concluded after a full assessment.</w:t>
      </w:r>
      <w:r>
        <w:t>”</w:t>
      </w:r>
    </w:p>
    <w:p w:rsidR="00D97A0F" w:rsidRDefault="00D97A0F">
      <w:pPr>
        <w:pStyle w:val="Final"/>
        <w:numPr>
          <w:ilvl w:val="0"/>
          <w:numId w:val="10"/>
        </w:numPr>
        <w:tabs>
          <w:tab w:val="clear" w:pos="1440"/>
          <w:tab w:val="left" w:pos="851"/>
        </w:tabs>
        <w:spacing w:after="0"/>
        <w:rPr>
          <w:rFonts w:hint="eastAsia"/>
        </w:rPr>
      </w:pPr>
      <w:r>
        <w:rPr>
          <w:rFonts w:hint="eastAsia"/>
          <w:lang w:val="en-US"/>
        </w:rPr>
        <w:t xml:space="preserve">What was said in </w:t>
      </w:r>
      <w:r>
        <w:rPr>
          <w:rFonts w:hint="eastAsia"/>
          <w:i/>
          <w:iCs/>
          <w:lang w:val="en-US"/>
        </w:rPr>
        <w:t>Tai Chau Yung</w:t>
      </w:r>
      <w:r>
        <w:rPr>
          <w:i/>
          <w:iCs/>
          <w:lang w:val="en-US"/>
        </w:rPr>
        <w:t>’</w:t>
      </w:r>
      <w:r>
        <w:rPr>
          <w:rFonts w:hint="eastAsia"/>
          <w:i/>
          <w:iCs/>
          <w:lang w:val="en-US"/>
        </w:rPr>
        <w:t>s</w:t>
      </w:r>
      <w:r>
        <w:rPr>
          <w:rFonts w:hint="eastAsia"/>
          <w:lang w:val="en-US"/>
        </w:rPr>
        <w:t xml:space="preserve"> case was as follows :</w:t>
      </w:r>
    </w:p>
    <w:p w:rsidR="00D97A0F" w:rsidRDefault="00D97A0F">
      <w:pPr>
        <w:pStyle w:val="Quotation"/>
        <w:rPr>
          <w:rFonts w:hint="eastAsia"/>
        </w:rPr>
      </w:pPr>
      <w:r>
        <w:t>“</w:t>
      </w:r>
      <w:r>
        <w:rPr>
          <w:rFonts w:hint="eastAsia"/>
        </w:rPr>
        <w:t xml:space="preserve">In coming to a decision on the question of costs, first of all, </w:t>
      </w:r>
      <w:r>
        <w:t>I</w:t>
      </w:r>
      <w:r>
        <w:rPr>
          <w:rFonts w:hint="eastAsia"/>
        </w:rPr>
        <w:t> </w:t>
      </w:r>
      <w:r>
        <w:rPr>
          <w:lang w:val="en-US"/>
        </w:rPr>
        <w:t xml:space="preserve">note that the award of costs is always a matter left </w:t>
      </w:r>
      <w:r>
        <w:rPr>
          <w:rFonts w:hint="eastAsia"/>
          <w:lang w:val="en-US"/>
        </w:rPr>
        <w:t xml:space="preserve">to the discretion of the court.  Secondly, it has been a long standing practice at least in England if not in Hong Kong for costs to be awarded on a common fund basis to a successful infant plaintiff where the matter is compromised or settled, so that the court can be reasonably sure of the adequacy of the settlement to the infant.  If this practice is not one which has been prevalent in Hong Kong hitherto, the time has come for those advising in such cases where infant interest or patients are involved to take note of this long adopted practice in England which, in the views of judges dealing with the PI List, should be applied with much more regularity in Hong Kong, where appropriate, than has been the case.  Especially taking into account the fact that </w:t>
      </w:r>
      <w:r>
        <w:rPr>
          <w:lang w:val="en-US"/>
        </w:rPr>
        <w:t xml:space="preserve">costs in Hong </w:t>
      </w:r>
      <w:r>
        <w:rPr>
          <w:rFonts w:hint="eastAsia"/>
          <w:lang w:val="en-US"/>
        </w:rPr>
        <w:t xml:space="preserve">Kong </w:t>
      </w:r>
      <w:r>
        <w:rPr>
          <w:lang w:val="en-US"/>
        </w:rPr>
        <w:t>greatly</w:t>
      </w:r>
      <w:r>
        <w:rPr>
          <w:rFonts w:hint="eastAsia"/>
          <w:lang w:val="en-US"/>
        </w:rPr>
        <w:t xml:space="preserve"> </w:t>
      </w:r>
      <w:r>
        <w:rPr>
          <w:lang w:val="en-US"/>
        </w:rPr>
        <w:t>exceed</w:t>
      </w:r>
      <w:r>
        <w:rPr>
          <w:rFonts w:hint="eastAsia"/>
          <w:lang w:val="en-US"/>
        </w:rPr>
        <w:t xml:space="preserve"> that in England where litigation is concerned, such that a successful infant or patient, where a case is settled or compromised, is often left with much less than the amount upon which the case was compromised for. </w:t>
      </w:r>
      <w:r>
        <w:rPr>
          <w:lang w:val="en-US"/>
        </w:rPr>
        <w:t>…</w:t>
      </w:r>
      <w:r>
        <w:t>”</w:t>
      </w:r>
    </w:p>
    <w:p w:rsidR="00D97A0F" w:rsidRDefault="00D97A0F">
      <w:pPr>
        <w:pStyle w:val="hspace"/>
        <w:rPr>
          <w:rFonts w:hint="eastAsia"/>
        </w:rPr>
      </w:pPr>
    </w:p>
    <w:p w:rsidR="00D97A0F" w:rsidRDefault="00D97A0F">
      <w:pPr>
        <w:pStyle w:val="hspace"/>
        <w:rPr>
          <w:rFonts w:hint="eastAsia"/>
        </w:rPr>
      </w:pPr>
    </w:p>
    <w:p w:rsidR="00D97A0F" w:rsidRDefault="00D97A0F">
      <w:pPr>
        <w:pStyle w:val="Final"/>
        <w:numPr>
          <w:ilvl w:val="0"/>
          <w:numId w:val="10"/>
        </w:numPr>
        <w:tabs>
          <w:tab w:val="clear" w:pos="1440"/>
          <w:tab w:val="left" w:pos="851"/>
        </w:tabs>
        <w:rPr>
          <w:rFonts w:hint="eastAsia"/>
        </w:rPr>
      </w:pPr>
      <w:r>
        <w:rPr>
          <w:rFonts w:hint="eastAsia"/>
        </w:rPr>
        <w:t xml:space="preserve">Having summarised </w:t>
      </w:r>
      <w:r>
        <w:t>the</w:t>
      </w:r>
      <w:r>
        <w:rPr>
          <w:rFonts w:hint="eastAsia"/>
        </w:rPr>
        <w:t xml:space="preserve"> passages, Hon Suffiad J made his </w:t>
      </w:r>
      <w:r>
        <w:t>concluding</w:t>
      </w:r>
      <w:r>
        <w:rPr>
          <w:rFonts w:hint="eastAsia"/>
        </w:rPr>
        <w:t xml:space="preserve"> remarks as follows:-</w:t>
      </w:r>
    </w:p>
    <w:p w:rsidR="00D97A0F" w:rsidRDefault="00D97A0F">
      <w:pPr>
        <w:pStyle w:val="Final"/>
        <w:numPr>
          <w:ilvl w:val="0"/>
          <w:numId w:val="0"/>
        </w:numPr>
        <w:tabs>
          <w:tab w:val="clear" w:pos="1440"/>
          <w:tab w:val="left" w:pos="851"/>
        </w:tabs>
        <w:ind w:left="720"/>
        <w:rPr>
          <w:rFonts w:hint="eastAsia"/>
          <w:i/>
          <w:sz w:val="24"/>
          <w:szCs w:val="24"/>
        </w:rPr>
      </w:pPr>
      <w:r>
        <w:rPr>
          <w:i/>
          <w:sz w:val="24"/>
          <w:szCs w:val="24"/>
        </w:rPr>
        <w:t>“</w:t>
      </w:r>
      <w:r>
        <w:rPr>
          <w:rFonts w:hint="eastAsia"/>
          <w:i/>
          <w:sz w:val="24"/>
          <w:szCs w:val="24"/>
        </w:rPr>
        <w:t xml:space="preserve">From those words it can be seen that the </w:t>
      </w:r>
      <w:r>
        <w:rPr>
          <w:i/>
          <w:sz w:val="24"/>
          <w:szCs w:val="24"/>
        </w:rPr>
        <w:t>rationale</w:t>
      </w:r>
      <w:r>
        <w:rPr>
          <w:rFonts w:hint="eastAsia"/>
          <w:i/>
          <w:sz w:val="24"/>
          <w:szCs w:val="24"/>
        </w:rPr>
        <w:t xml:space="preserve"> for that practice in ordering common fund costs when the case is settled or compromised when a person under disability is involved is such that the court can be reasonably sure of the adequacy of the settlement to the person under disability.  </w:t>
      </w:r>
    </w:p>
    <w:p w:rsidR="00D97A0F" w:rsidRDefault="00D97A0F">
      <w:pPr>
        <w:pStyle w:val="Final"/>
        <w:numPr>
          <w:ilvl w:val="0"/>
          <w:numId w:val="0"/>
        </w:numPr>
        <w:tabs>
          <w:tab w:val="clear" w:pos="1440"/>
          <w:tab w:val="left" w:pos="851"/>
        </w:tabs>
        <w:ind w:left="720"/>
        <w:rPr>
          <w:rFonts w:hint="eastAsia"/>
          <w:i/>
          <w:sz w:val="24"/>
          <w:szCs w:val="24"/>
        </w:rPr>
      </w:pPr>
      <w:r>
        <w:rPr>
          <w:rFonts w:hint="eastAsia"/>
          <w:i/>
          <w:sz w:val="24"/>
          <w:szCs w:val="24"/>
        </w:rPr>
        <w:t xml:space="preserve">Seemingly therefore, between </w:t>
      </w:r>
      <w:r>
        <w:rPr>
          <w:i/>
          <w:sz w:val="24"/>
          <w:szCs w:val="24"/>
        </w:rPr>
        <w:t>the</w:t>
      </w:r>
      <w:r>
        <w:rPr>
          <w:rFonts w:hint="eastAsia"/>
          <w:i/>
          <w:sz w:val="24"/>
          <w:szCs w:val="24"/>
        </w:rPr>
        <w:t xml:space="preserve"> two passages cited above, one from Master Barnes </w:t>
      </w:r>
      <w:r>
        <w:rPr>
          <w:i/>
          <w:sz w:val="24"/>
          <w:szCs w:val="24"/>
        </w:rPr>
        <w:t>and</w:t>
      </w:r>
      <w:r>
        <w:rPr>
          <w:rFonts w:hint="eastAsia"/>
          <w:i/>
          <w:sz w:val="24"/>
          <w:szCs w:val="24"/>
        </w:rPr>
        <w:t xml:space="preserve"> </w:t>
      </w:r>
      <w:r>
        <w:rPr>
          <w:i/>
          <w:sz w:val="24"/>
          <w:szCs w:val="24"/>
        </w:rPr>
        <w:t>the</w:t>
      </w:r>
      <w:r>
        <w:rPr>
          <w:rFonts w:hint="eastAsia"/>
          <w:i/>
          <w:sz w:val="24"/>
          <w:szCs w:val="24"/>
        </w:rPr>
        <w:t xml:space="preserve"> other from the commentary in the Hong Kong White Book, there would appear to be some inconsistency in that the view taken by Master Barnes that the approach contained in </w:t>
      </w:r>
      <w:r>
        <w:rPr>
          <w:rFonts w:hint="eastAsia"/>
          <w:i/>
          <w:iCs/>
          <w:sz w:val="24"/>
          <w:szCs w:val="24"/>
        </w:rPr>
        <w:t>Tai Chau Yung</w:t>
      </w:r>
      <w:r>
        <w:rPr>
          <w:i/>
          <w:iCs/>
          <w:sz w:val="24"/>
          <w:szCs w:val="24"/>
        </w:rPr>
        <w:t>’</w:t>
      </w:r>
      <w:r>
        <w:rPr>
          <w:rFonts w:hint="eastAsia"/>
          <w:i/>
          <w:iCs/>
          <w:sz w:val="24"/>
          <w:szCs w:val="24"/>
        </w:rPr>
        <w:t>s</w:t>
      </w:r>
      <w:r>
        <w:rPr>
          <w:rFonts w:hint="eastAsia"/>
          <w:i/>
          <w:sz w:val="24"/>
          <w:szCs w:val="24"/>
        </w:rPr>
        <w:t xml:space="preserve"> cases should be adopted irrespective of whether it is a settlement or a full assessment differs with what is stated in the commentary in the Hong Kong White Book. </w:t>
      </w:r>
    </w:p>
    <w:p w:rsidR="00D97A0F" w:rsidRDefault="00D97A0F">
      <w:pPr>
        <w:pStyle w:val="Final"/>
        <w:numPr>
          <w:ilvl w:val="0"/>
          <w:numId w:val="0"/>
        </w:numPr>
        <w:tabs>
          <w:tab w:val="clear" w:pos="1440"/>
          <w:tab w:val="left" w:pos="851"/>
        </w:tabs>
        <w:ind w:left="720"/>
        <w:rPr>
          <w:rFonts w:hint="eastAsia"/>
          <w:i/>
          <w:sz w:val="24"/>
          <w:szCs w:val="24"/>
        </w:rPr>
      </w:pPr>
      <w:r>
        <w:rPr>
          <w:rFonts w:hint="eastAsia"/>
          <w:i/>
          <w:sz w:val="24"/>
          <w:szCs w:val="24"/>
        </w:rPr>
        <w:t xml:space="preserve">If there is such a difference, I prefer the commentary contained in </w:t>
      </w:r>
      <w:r>
        <w:rPr>
          <w:i/>
          <w:sz w:val="24"/>
          <w:szCs w:val="24"/>
        </w:rPr>
        <w:t>the</w:t>
      </w:r>
      <w:r>
        <w:rPr>
          <w:rFonts w:hint="eastAsia"/>
          <w:i/>
          <w:sz w:val="24"/>
          <w:szCs w:val="24"/>
        </w:rPr>
        <w:t xml:space="preserve"> Hong Kong White Book as being a more accurate statement of that general practice which is adopted where there is a compromise or settlement involving a person under a disability.</w:t>
      </w:r>
    </w:p>
    <w:p w:rsidR="00D97A0F" w:rsidRDefault="00D97A0F">
      <w:pPr>
        <w:pStyle w:val="Final"/>
        <w:numPr>
          <w:ilvl w:val="0"/>
          <w:numId w:val="0"/>
        </w:numPr>
        <w:tabs>
          <w:tab w:val="clear" w:pos="1440"/>
          <w:tab w:val="left" w:pos="851"/>
        </w:tabs>
        <w:ind w:left="720"/>
        <w:rPr>
          <w:rFonts w:hint="eastAsia"/>
          <w:i/>
          <w:sz w:val="24"/>
          <w:szCs w:val="24"/>
        </w:rPr>
      </w:pPr>
      <w:r>
        <w:rPr>
          <w:rFonts w:hint="eastAsia"/>
          <w:i/>
          <w:sz w:val="24"/>
          <w:szCs w:val="24"/>
        </w:rPr>
        <w:t xml:space="preserve">However that does not mean that in an appropriate case, that discretion given to the court cannot be so exercised by the </w:t>
      </w:r>
      <w:r>
        <w:rPr>
          <w:i/>
          <w:sz w:val="24"/>
          <w:szCs w:val="24"/>
        </w:rPr>
        <w:t>court</w:t>
      </w:r>
      <w:r>
        <w:rPr>
          <w:rFonts w:hint="eastAsia"/>
          <w:i/>
          <w:sz w:val="24"/>
          <w:szCs w:val="24"/>
        </w:rPr>
        <w:t>.</w:t>
      </w:r>
    </w:p>
    <w:p w:rsidR="00D97A0F" w:rsidRDefault="00D97A0F">
      <w:pPr>
        <w:pStyle w:val="Final"/>
        <w:numPr>
          <w:ilvl w:val="0"/>
          <w:numId w:val="0"/>
        </w:numPr>
        <w:tabs>
          <w:tab w:val="clear" w:pos="1440"/>
          <w:tab w:val="left" w:pos="851"/>
        </w:tabs>
        <w:ind w:left="720"/>
        <w:rPr>
          <w:rFonts w:hint="eastAsia"/>
          <w:i/>
          <w:sz w:val="24"/>
          <w:szCs w:val="24"/>
        </w:rPr>
      </w:pPr>
      <w:r>
        <w:rPr>
          <w:rFonts w:hint="eastAsia"/>
          <w:i/>
          <w:sz w:val="24"/>
          <w:szCs w:val="24"/>
        </w:rPr>
        <w:t xml:space="preserve">I therefore read Master Barnes ruling in </w:t>
      </w:r>
      <w:r>
        <w:rPr>
          <w:rFonts w:hint="eastAsia"/>
          <w:i/>
          <w:iCs/>
          <w:sz w:val="24"/>
          <w:szCs w:val="24"/>
        </w:rPr>
        <w:t>Wai Yin Wah</w:t>
      </w:r>
      <w:r>
        <w:rPr>
          <w:i/>
          <w:iCs/>
          <w:sz w:val="24"/>
          <w:szCs w:val="24"/>
        </w:rPr>
        <w:t>’</w:t>
      </w:r>
      <w:r>
        <w:rPr>
          <w:rFonts w:hint="eastAsia"/>
          <w:i/>
          <w:iCs/>
          <w:sz w:val="24"/>
          <w:szCs w:val="24"/>
        </w:rPr>
        <w:t>s</w:t>
      </w:r>
      <w:r>
        <w:rPr>
          <w:rFonts w:hint="eastAsia"/>
          <w:i/>
          <w:sz w:val="24"/>
          <w:szCs w:val="24"/>
        </w:rPr>
        <w:t xml:space="preserve"> case to be her exercise of discretion based on the special feature of that case, and not as of general application.</w:t>
      </w:r>
      <w:r>
        <w:rPr>
          <w:i/>
          <w:sz w:val="24"/>
          <w:szCs w:val="24"/>
        </w:rPr>
        <w:t>”</w:t>
      </w:r>
    </w:p>
    <w:p w:rsidR="00D97A0F" w:rsidRDefault="00D97A0F">
      <w:pPr>
        <w:pStyle w:val="ListParagraph"/>
        <w:numPr>
          <w:ilvl w:val="0"/>
          <w:numId w:val="10"/>
        </w:numPr>
        <w:tabs>
          <w:tab w:val="clear" w:pos="720"/>
          <w:tab w:val="left" w:pos="709"/>
        </w:tabs>
        <w:spacing w:after="200" w:line="360" w:lineRule="auto"/>
        <w:rPr>
          <w:rFonts w:hint="eastAsia"/>
          <w:szCs w:val="28"/>
        </w:rPr>
      </w:pPr>
      <w:r>
        <w:rPr>
          <w:rFonts w:hint="eastAsia"/>
          <w:szCs w:val="28"/>
        </w:rPr>
        <w:t xml:space="preserve">In short, after trial or assessment, it does not matter whether </w:t>
      </w:r>
      <w:r>
        <w:rPr>
          <w:szCs w:val="28"/>
        </w:rPr>
        <w:t>the</w:t>
      </w:r>
      <w:r>
        <w:rPr>
          <w:rFonts w:hint="eastAsia"/>
          <w:szCs w:val="28"/>
        </w:rPr>
        <w:t xml:space="preserve"> case involves a minor or not because </w:t>
      </w:r>
      <w:r>
        <w:rPr>
          <w:szCs w:val="28"/>
        </w:rPr>
        <w:t>the</w:t>
      </w:r>
      <w:r>
        <w:rPr>
          <w:rFonts w:hint="eastAsia"/>
          <w:szCs w:val="28"/>
        </w:rPr>
        <w:t xml:space="preserve"> correct test on common fund basis still remains on </w:t>
      </w:r>
      <w:r>
        <w:rPr>
          <w:szCs w:val="28"/>
        </w:rPr>
        <w:t>“</w:t>
      </w:r>
      <w:r>
        <w:rPr>
          <w:rFonts w:hint="eastAsia"/>
          <w:szCs w:val="28"/>
        </w:rPr>
        <w:t xml:space="preserve">special or </w:t>
      </w:r>
      <w:r>
        <w:rPr>
          <w:szCs w:val="28"/>
        </w:rPr>
        <w:t>unusual</w:t>
      </w:r>
      <w:r>
        <w:rPr>
          <w:rFonts w:hint="eastAsia"/>
          <w:szCs w:val="28"/>
        </w:rPr>
        <w:t xml:space="preserve"> feature</w:t>
      </w:r>
      <w:r>
        <w:rPr>
          <w:szCs w:val="28"/>
        </w:rPr>
        <w:t>”</w:t>
      </w:r>
      <w:r>
        <w:rPr>
          <w:rFonts w:hint="eastAsia"/>
          <w:szCs w:val="28"/>
        </w:rPr>
        <w:t>.</w:t>
      </w:r>
    </w:p>
    <w:p w:rsidR="00D97A0F" w:rsidRDefault="00D97A0F">
      <w:pPr>
        <w:pStyle w:val="ListParagraph"/>
        <w:spacing w:after="200" w:line="360" w:lineRule="auto"/>
        <w:ind w:left="1080"/>
        <w:rPr>
          <w:rFonts w:hint="eastAsia"/>
          <w:szCs w:val="28"/>
        </w:rPr>
      </w:pPr>
    </w:p>
    <w:p w:rsidR="00D97A0F" w:rsidRDefault="00D97A0F">
      <w:pPr>
        <w:pStyle w:val="ListParagraph"/>
        <w:numPr>
          <w:ilvl w:val="0"/>
          <w:numId w:val="10"/>
        </w:numPr>
        <w:tabs>
          <w:tab w:val="clear" w:pos="720"/>
          <w:tab w:val="left" w:pos="709"/>
        </w:tabs>
        <w:spacing w:after="200" w:line="360" w:lineRule="auto"/>
        <w:rPr>
          <w:rFonts w:hint="eastAsia"/>
          <w:szCs w:val="28"/>
        </w:rPr>
      </w:pPr>
      <w:r>
        <w:rPr>
          <w:rFonts w:hint="eastAsia"/>
          <w:szCs w:val="28"/>
        </w:rPr>
        <w:t xml:space="preserve">This brings me to </w:t>
      </w:r>
      <w:r>
        <w:rPr>
          <w:szCs w:val="28"/>
        </w:rPr>
        <w:t>the</w:t>
      </w:r>
      <w:r>
        <w:rPr>
          <w:rFonts w:hint="eastAsia"/>
          <w:szCs w:val="28"/>
        </w:rPr>
        <w:t xml:space="preserve"> 2</w:t>
      </w:r>
      <w:r>
        <w:rPr>
          <w:rFonts w:hint="eastAsia"/>
          <w:szCs w:val="28"/>
          <w:vertAlign w:val="superscript"/>
        </w:rPr>
        <w:t>nd</w:t>
      </w:r>
      <w:r>
        <w:rPr>
          <w:rFonts w:hint="eastAsia"/>
          <w:szCs w:val="28"/>
        </w:rPr>
        <w:t xml:space="preserve"> limb of her argument.  </w:t>
      </w:r>
      <w:r>
        <w:rPr>
          <w:rFonts w:hint="eastAsia"/>
          <w:i/>
          <w:iCs/>
          <w:szCs w:val="28"/>
        </w:rPr>
        <w:t>Lily Tse</w:t>
      </w:r>
      <w:r>
        <w:rPr>
          <w:rFonts w:hint="eastAsia"/>
          <w:szCs w:val="28"/>
        </w:rPr>
        <w:t xml:space="preserve"> case does not avail the Plaintiff.   That case shows Hon Suffiad J</w:t>
      </w:r>
      <w:r>
        <w:rPr>
          <w:szCs w:val="28"/>
        </w:rPr>
        <w:t>’</w:t>
      </w:r>
      <w:r>
        <w:rPr>
          <w:rFonts w:hint="eastAsia"/>
          <w:szCs w:val="28"/>
        </w:rPr>
        <w:t xml:space="preserve">s consistent views: </w:t>
      </w:r>
      <w:r>
        <w:rPr>
          <w:szCs w:val="28"/>
        </w:rPr>
        <w:t>“</w:t>
      </w:r>
      <w:r>
        <w:rPr>
          <w:rFonts w:hint="eastAsia"/>
          <w:szCs w:val="28"/>
        </w:rPr>
        <w:t xml:space="preserve">But where </w:t>
      </w:r>
      <w:r>
        <w:rPr>
          <w:szCs w:val="28"/>
        </w:rPr>
        <w:t>the</w:t>
      </w:r>
      <w:r>
        <w:rPr>
          <w:rFonts w:hint="eastAsia"/>
          <w:szCs w:val="28"/>
        </w:rPr>
        <w:t xml:space="preserve"> </w:t>
      </w:r>
      <w:r>
        <w:rPr>
          <w:szCs w:val="28"/>
        </w:rPr>
        <w:t>action</w:t>
      </w:r>
      <w:r>
        <w:rPr>
          <w:rFonts w:hint="eastAsia"/>
          <w:szCs w:val="28"/>
        </w:rPr>
        <w:t xml:space="preserve"> is tried and disposed of by judgment, </w:t>
      </w:r>
      <w:r>
        <w:rPr>
          <w:szCs w:val="28"/>
        </w:rPr>
        <w:t>the</w:t>
      </w:r>
      <w:r>
        <w:rPr>
          <w:rFonts w:hint="eastAsia"/>
          <w:szCs w:val="28"/>
        </w:rPr>
        <w:t xml:space="preserve"> normal rule is that no special consideration is given to </w:t>
      </w:r>
      <w:r>
        <w:rPr>
          <w:szCs w:val="28"/>
        </w:rPr>
        <w:t>the</w:t>
      </w:r>
      <w:r>
        <w:rPr>
          <w:rFonts w:hint="eastAsia"/>
          <w:szCs w:val="28"/>
        </w:rPr>
        <w:t xml:space="preserve"> fact that the plaintiff is under </w:t>
      </w:r>
      <w:r>
        <w:rPr>
          <w:szCs w:val="28"/>
        </w:rPr>
        <w:t>disability</w:t>
      </w:r>
      <w:r>
        <w:rPr>
          <w:rFonts w:hint="eastAsia"/>
          <w:szCs w:val="28"/>
        </w:rPr>
        <w:t xml:space="preserve"> and </w:t>
      </w:r>
      <w:r>
        <w:rPr>
          <w:szCs w:val="28"/>
        </w:rPr>
        <w:t>the</w:t>
      </w:r>
      <w:r>
        <w:rPr>
          <w:rFonts w:hint="eastAsia"/>
          <w:szCs w:val="28"/>
        </w:rPr>
        <w:t xml:space="preserve"> usual party-and party-costs are awarded</w:t>
      </w:r>
      <w:r>
        <w:rPr>
          <w:szCs w:val="28"/>
        </w:rPr>
        <w:t>”</w:t>
      </w:r>
      <w:r>
        <w:rPr>
          <w:rFonts w:hint="eastAsia"/>
          <w:szCs w:val="28"/>
        </w:rPr>
        <w:t>.  Further, Hon Suffiad J did not agree that the fact that a plaintiff was not on legal aid or defences raised were rejected or a p</w:t>
      </w:r>
      <w:r>
        <w:rPr>
          <w:szCs w:val="28"/>
        </w:rPr>
        <w:t>l</w:t>
      </w:r>
      <w:r>
        <w:rPr>
          <w:rFonts w:hint="eastAsia"/>
          <w:szCs w:val="28"/>
        </w:rPr>
        <w:t xml:space="preserve">aintiff was required to strict proof </w:t>
      </w:r>
      <w:r>
        <w:rPr>
          <w:szCs w:val="28"/>
        </w:rPr>
        <w:t>would</w:t>
      </w:r>
      <w:r>
        <w:rPr>
          <w:rFonts w:hint="eastAsia"/>
          <w:szCs w:val="28"/>
        </w:rPr>
        <w:t xml:space="preserve"> bring a case within </w:t>
      </w:r>
      <w:r>
        <w:rPr>
          <w:szCs w:val="28"/>
        </w:rPr>
        <w:t>the</w:t>
      </w:r>
      <w:r>
        <w:rPr>
          <w:rFonts w:hint="eastAsia"/>
          <w:szCs w:val="28"/>
        </w:rPr>
        <w:t xml:space="preserve"> category of </w:t>
      </w:r>
      <w:r>
        <w:rPr>
          <w:szCs w:val="28"/>
        </w:rPr>
        <w:t>“</w:t>
      </w:r>
      <w:r>
        <w:rPr>
          <w:rFonts w:hint="eastAsia"/>
          <w:szCs w:val="28"/>
        </w:rPr>
        <w:t>special or unusual feature.</w:t>
      </w:r>
      <w:r>
        <w:rPr>
          <w:szCs w:val="28"/>
        </w:rPr>
        <w:t>”</w:t>
      </w:r>
      <w:r>
        <w:rPr>
          <w:rFonts w:hint="eastAsia"/>
          <w:szCs w:val="28"/>
        </w:rPr>
        <w:t xml:space="preserve">  The learned judge was </w:t>
      </w:r>
      <w:r>
        <w:rPr>
          <w:szCs w:val="28"/>
        </w:rPr>
        <w:t>unable</w:t>
      </w:r>
      <w:r>
        <w:rPr>
          <w:rFonts w:hint="eastAsia"/>
          <w:szCs w:val="28"/>
        </w:rPr>
        <w:t xml:space="preserve"> to see </w:t>
      </w:r>
      <w:r>
        <w:rPr>
          <w:szCs w:val="28"/>
        </w:rPr>
        <w:t>the</w:t>
      </w:r>
      <w:r>
        <w:rPr>
          <w:rFonts w:hint="eastAsia"/>
          <w:szCs w:val="28"/>
        </w:rPr>
        <w:t xml:space="preserve"> kind of </w:t>
      </w:r>
      <w:r>
        <w:rPr>
          <w:szCs w:val="28"/>
        </w:rPr>
        <w:t>special</w:t>
      </w:r>
      <w:r>
        <w:rPr>
          <w:rFonts w:hint="eastAsia"/>
          <w:szCs w:val="28"/>
        </w:rPr>
        <w:t xml:space="preserve"> and unusual circumstances that merit costs be ordered on a common fund basis.  </w:t>
      </w:r>
      <w:r>
        <w:rPr>
          <w:szCs w:val="28"/>
        </w:rPr>
        <w:t>H</w:t>
      </w:r>
      <w:r>
        <w:rPr>
          <w:rFonts w:hint="eastAsia"/>
          <w:szCs w:val="28"/>
        </w:rPr>
        <w:t xml:space="preserve">e </w:t>
      </w:r>
      <w:r>
        <w:rPr>
          <w:szCs w:val="28"/>
        </w:rPr>
        <w:t>refused</w:t>
      </w:r>
      <w:r>
        <w:rPr>
          <w:rFonts w:hint="eastAsia"/>
          <w:szCs w:val="28"/>
        </w:rPr>
        <w:t xml:space="preserve"> to order costs on a common fund basis accordingly.  </w:t>
      </w:r>
    </w:p>
    <w:p w:rsidR="00D97A0F" w:rsidRDefault="00D97A0F">
      <w:pPr>
        <w:pStyle w:val="ListParagraph"/>
        <w:rPr>
          <w:szCs w:val="28"/>
        </w:rPr>
      </w:pPr>
    </w:p>
    <w:p w:rsidR="00D97A0F" w:rsidRDefault="00D97A0F">
      <w:pPr>
        <w:pStyle w:val="ListParagraph"/>
        <w:numPr>
          <w:ilvl w:val="0"/>
          <w:numId w:val="10"/>
        </w:numPr>
        <w:tabs>
          <w:tab w:val="clear" w:pos="720"/>
          <w:tab w:val="left" w:pos="709"/>
        </w:tabs>
        <w:spacing w:after="200" w:line="360" w:lineRule="auto"/>
        <w:rPr>
          <w:rFonts w:hint="eastAsia"/>
          <w:szCs w:val="28"/>
        </w:rPr>
      </w:pPr>
      <w:r>
        <w:rPr>
          <w:rFonts w:hint="eastAsia"/>
          <w:szCs w:val="28"/>
        </w:rPr>
        <w:t xml:space="preserve">In </w:t>
      </w:r>
      <w:r>
        <w:rPr>
          <w:rFonts w:hint="eastAsia"/>
          <w:i/>
          <w:iCs/>
          <w:szCs w:val="28"/>
        </w:rPr>
        <w:t>Jackson Ivan</w:t>
      </w:r>
      <w:r>
        <w:rPr>
          <w:rFonts w:hint="eastAsia"/>
          <w:szCs w:val="28"/>
        </w:rPr>
        <w:t xml:space="preserve"> case, Deputy Judge Ko (as he then was) was satisfied that </w:t>
      </w:r>
      <w:r>
        <w:rPr>
          <w:szCs w:val="28"/>
        </w:rPr>
        <w:t>the</w:t>
      </w:r>
      <w:r>
        <w:rPr>
          <w:rFonts w:hint="eastAsia"/>
          <w:szCs w:val="28"/>
        </w:rPr>
        <w:t xml:space="preserve"> </w:t>
      </w:r>
      <w:r>
        <w:rPr>
          <w:szCs w:val="28"/>
        </w:rPr>
        <w:t>special</w:t>
      </w:r>
      <w:r>
        <w:rPr>
          <w:rFonts w:hint="eastAsia"/>
          <w:szCs w:val="28"/>
        </w:rPr>
        <w:t xml:space="preserve"> or unusual </w:t>
      </w:r>
      <w:r>
        <w:rPr>
          <w:szCs w:val="28"/>
        </w:rPr>
        <w:t>feature</w:t>
      </w:r>
      <w:r>
        <w:rPr>
          <w:rFonts w:hint="eastAsia"/>
          <w:szCs w:val="28"/>
        </w:rPr>
        <w:t xml:space="preserve"> was established.  My view is that each case depends on its own facts.  In </w:t>
      </w:r>
      <w:r>
        <w:rPr>
          <w:szCs w:val="28"/>
        </w:rPr>
        <w:t>the</w:t>
      </w:r>
      <w:r>
        <w:rPr>
          <w:rFonts w:hint="eastAsia"/>
          <w:szCs w:val="28"/>
        </w:rPr>
        <w:t xml:space="preserve"> present case, </w:t>
      </w:r>
      <w:r>
        <w:rPr>
          <w:szCs w:val="28"/>
        </w:rPr>
        <w:t>the</w:t>
      </w:r>
      <w:r>
        <w:rPr>
          <w:rFonts w:hint="eastAsia"/>
          <w:szCs w:val="28"/>
        </w:rPr>
        <w:t xml:space="preserve"> discretionary factors that I take into account </w:t>
      </w:r>
      <w:r>
        <w:rPr>
          <w:szCs w:val="28"/>
        </w:rPr>
        <w:t>include</w:t>
      </w:r>
      <w:r>
        <w:rPr>
          <w:rFonts w:hint="eastAsia"/>
          <w:szCs w:val="28"/>
        </w:rPr>
        <w:t xml:space="preserve">, firstly </w:t>
      </w:r>
      <w:r>
        <w:rPr>
          <w:szCs w:val="28"/>
        </w:rPr>
        <w:t>the</w:t>
      </w:r>
      <w:r>
        <w:rPr>
          <w:rFonts w:hint="eastAsia"/>
          <w:szCs w:val="28"/>
        </w:rPr>
        <w:t xml:space="preserve"> causes of the P</w:t>
      </w:r>
      <w:r>
        <w:rPr>
          <w:szCs w:val="28"/>
        </w:rPr>
        <w:t>l</w:t>
      </w:r>
      <w:r>
        <w:rPr>
          <w:rFonts w:hint="eastAsia"/>
          <w:szCs w:val="28"/>
        </w:rPr>
        <w:t>aintiff</w:t>
      </w:r>
      <w:r>
        <w:rPr>
          <w:szCs w:val="28"/>
        </w:rPr>
        <w:t>’</w:t>
      </w:r>
      <w:r>
        <w:rPr>
          <w:rFonts w:hint="eastAsia"/>
          <w:szCs w:val="28"/>
        </w:rPr>
        <w:t>s action on scienter or occupier</w:t>
      </w:r>
      <w:r>
        <w:rPr>
          <w:szCs w:val="28"/>
        </w:rPr>
        <w:t>’</w:t>
      </w:r>
      <w:r>
        <w:rPr>
          <w:rFonts w:hint="eastAsia"/>
          <w:szCs w:val="28"/>
        </w:rPr>
        <w:t xml:space="preserve">s </w:t>
      </w:r>
      <w:r>
        <w:rPr>
          <w:szCs w:val="28"/>
        </w:rPr>
        <w:t>liability</w:t>
      </w:r>
      <w:r>
        <w:rPr>
          <w:rFonts w:hint="eastAsia"/>
          <w:szCs w:val="28"/>
        </w:rPr>
        <w:t xml:space="preserve"> were not pursued or abandoned only during the Plaintiff</w:t>
      </w:r>
      <w:r>
        <w:rPr>
          <w:szCs w:val="28"/>
        </w:rPr>
        <w:t>’</w:t>
      </w:r>
      <w:r>
        <w:rPr>
          <w:rFonts w:hint="eastAsia"/>
          <w:szCs w:val="28"/>
        </w:rPr>
        <w:t xml:space="preserve">s opening submissions.  Secondly, save as </w:t>
      </w:r>
      <w:r>
        <w:rPr>
          <w:szCs w:val="28"/>
        </w:rPr>
        <w:t>the</w:t>
      </w:r>
      <w:r>
        <w:rPr>
          <w:rFonts w:hint="eastAsia"/>
          <w:szCs w:val="28"/>
        </w:rPr>
        <w:t xml:space="preserve"> aspect of whether the Plaintiff has teased </w:t>
      </w:r>
      <w:r>
        <w:rPr>
          <w:szCs w:val="28"/>
        </w:rPr>
        <w:t>the</w:t>
      </w:r>
      <w:r>
        <w:rPr>
          <w:rFonts w:hint="eastAsia"/>
          <w:szCs w:val="28"/>
        </w:rPr>
        <w:t xml:space="preserve"> dog, </w:t>
      </w:r>
      <w:r>
        <w:rPr>
          <w:szCs w:val="28"/>
        </w:rPr>
        <w:t>which</w:t>
      </w:r>
      <w:r>
        <w:rPr>
          <w:rFonts w:hint="eastAsia"/>
          <w:szCs w:val="28"/>
        </w:rPr>
        <w:t xml:space="preserve"> is a narrow and a reasonable factual dispute, the Defendant</w:t>
      </w:r>
      <w:r>
        <w:rPr>
          <w:szCs w:val="28"/>
        </w:rPr>
        <w:t>’</w:t>
      </w:r>
      <w:r>
        <w:rPr>
          <w:rFonts w:hint="eastAsia"/>
          <w:szCs w:val="28"/>
        </w:rPr>
        <w:t xml:space="preserve">s litigating </w:t>
      </w:r>
      <w:r>
        <w:rPr>
          <w:szCs w:val="28"/>
        </w:rPr>
        <w:t>conduct</w:t>
      </w:r>
      <w:r>
        <w:rPr>
          <w:rFonts w:hint="eastAsia"/>
          <w:szCs w:val="28"/>
        </w:rPr>
        <w:t xml:space="preserve"> seemed to be reasonable all along by having agreed as many matters as possible that expedite </w:t>
      </w:r>
      <w:r>
        <w:rPr>
          <w:szCs w:val="28"/>
        </w:rPr>
        <w:t>the</w:t>
      </w:r>
      <w:r>
        <w:rPr>
          <w:rFonts w:hint="eastAsia"/>
          <w:szCs w:val="28"/>
        </w:rPr>
        <w:t xml:space="preserve"> trial hearings.  </w:t>
      </w:r>
    </w:p>
    <w:p w:rsidR="00D97A0F" w:rsidRDefault="00D97A0F">
      <w:pPr>
        <w:pStyle w:val="ListParagraph"/>
        <w:rPr>
          <w:szCs w:val="28"/>
        </w:rPr>
      </w:pPr>
    </w:p>
    <w:p w:rsidR="00D97A0F" w:rsidRDefault="00D97A0F">
      <w:pPr>
        <w:pStyle w:val="ListParagraph"/>
        <w:numPr>
          <w:ilvl w:val="0"/>
          <w:numId w:val="10"/>
        </w:numPr>
        <w:tabs>
          <w:tab w:val="clear" w:pos="720"/>
          <w:tab w:val="left" w:pos="709"/>
        </w:tabs>
        <w:spacing w:after="60" w:line="360" w:lineRule="auto"/>
        <w:rPr>
          <w:szCs w:val="28"/>
        </w:rPr>
      </w:pPr>
      <w:r>
        <w:rPr>
          <w:rFonts w:hint="eastAsia"/>
          <w:szCs w:val="28"/>
        </w:rPr>
        <w:t xml:space="preserve">In a </w:t>
      </w:r>
      <w:r>
        <w:rPr>
          <w:szCs w:val="28"/>
        </w:rPr>
        <w:t>nutshell</w:t>
      </w:r>
      <w:r>
        <w:rPr>
          <w:rFonts w:hint="eastAsia"/>
          <w:szCs w:val="28"/>
        </w:rPr>
        <w:t xml:space="preserve">, I refuse to vary </w:t>
      </w:r>
      <w:r>
        <w:rPr>
          <w:szCs w:val="28"/>
        </w:rPr>
        <w:t>the</w:t>
      </w:r>
      <w:r>
        <w:rPr>
          <w:rFonts w:hint="eastAsia"/>
          <w:szCs w:val="28"/>
        </w:rPr>
        <w:t xml:space="preserve"> scale of costs to common fund basis.  The Plaintiff</w:t>
      </w:r>
      <w:r>
        <w:rPr>
          <w:szCs w:val="28"/>
        </w:rPr>
        <w:t>’</w:t>
      </w:r>
      <w:r>
        <w:rPr>
          <w:rFonts w:hint="eastAsia"/>
          <w:szCs w:val="28"/>
        </w:rPr>
        <w:t>s summons dated 21</w:t>
      </w:r>
      <w:r>
        <w:rPr>
          <w:rFonts w:hint="eastAsia"/>
          <w:szCs w:val="28"/>
          <w:vertAlign w:val="superscript"/>
        </w:rPr>
        <w:t>st</w:t>
      </w:r>
      <w:r>
        <w:rPr>
          <w:rFonts w:hint="eastAsia"/>
          <w:szCs w:val="28"/>
        </w:rPr>
        <w:t xml:space="preserve"> October 2010 be dismissed with no order as to costs.  I say no order as to costs </w:t>
      </w:r>
      <w:r>
        <w:rPr>
          <w:szCs w:val="28"/>
        </w:rPr>
        <w:t>because</w:t>
      </w:r>
      <w:r>
        <w:rPr>
          <w:rFonts w:hint="eastAsia"/>
          <w:szCs w:val="28"/>
        </w:rPr>
        <w:t xml:space="preserve"> those represented </w:t>
      </w:r>
      <w:r>
        <w:rPr>
          <w:szCs w:val="28"/>
        </w:rPr>
        <w:t>the</w:t>
      </w:r>
      <w:r>
        <w:rPr>
          <w:rFonts w:hint="eastAsia"/>
          <w:szCs w:val="28"/>
        </w:rPr>
        <w:t xml:space="preserve"> Defendant chose not to appear or assist </w:t>
      </w:r>
      <w:r>
        <w:rPr>
          <w:szCs w:val="28"/>
        </w:rPr>
        <w:t>the</w:t>
      </w:r>
      <w:r>
        <w:rPr>
          <w:rFonts w:hint="eastAsia"/>
          <w:szCs w:val="28"/>
        </w:rPr>
        <w:t xml:space="preserve"> Court.  By a letter dated 28</w:t>
      </w:r>
      <w:r>
        <w:rPr>
          <w:rFonts w:hint="eastAsia"/>
          <w:szCs w:val="28"/>
          <w:vertAlign w:val="superscript"/>
        </w:rPr>
        <w:t>th</w:t>
      </w:r>
      <w:r>
        <w:rPr>
          <w:rFonts w:hint="eastAsia"/>
          <w:szCs w:val="28"/>
        </w:rPr>
        <w:t xml:space="preserve"> October 2010, they simply </w:t>
      </w:r>
      <w:r>
        <w:rPr>
          <w:szCs w:val="28"/>
        </w:rPr>
        <w:t>asked</w:t>
      </w:r>
      <w:r>
        <w:rPr>
          <w:rFonts w:hint="eastAsia"/>
          <w:szCs w:val="28"/>
        </w:rPr>
        <w:t xml:space="preserve"> for the </w:t>
      </w:r>
      <w:r>
        <w:rPr>
          <w:szCs w:val="28"/>
        </w:rPr>
        <w:t>adjournment</w:t>
      </w:r>
      <w:r>
        <w:rPr>
          <w:rFonts w:hint="eastAsia"/>
          <w:szCs w:val="28"/>
        </w:rPr>
        <w:t xml:space="preserve"> of hearing this simple summons on </w:t>
      </w:r>
      <w:r>
        <w:rPr>
          <w:szCs w:val="28"/>
        </w:rPr>
        <w:t>the</w:t>
      </w:r>
      <w:r>
        <w:rPr>
          <w:rFonts w:hint="eastAsia"/>
          <w:szCs w:val="28"/>
        </w:rPr>
        <w:t xml:space="preserve"> ground of </w:t>
      </w:r>
      <w:r>
        <w:rPr>
          <w:szCs w:val="28"/>
        </w:rPr>
        <w:t>“unavailability</w:t>
      </w:r>
      <w:r>
        <w:rPr>
          <w:rFonts w:hint="eastAsia"/>
          <w:szCs w:val="28"/>
        </w:rPr>
        <w:t xml:space="preserve"> of </w:t>
      </w:r>
      <w:r>
        <w:rPr>
          <w:szCs w:val="28"/>
        </w:rPr>
        <w:t>the</w:t>
      </w:r>
      <w:r>
        <w:rPr>
          <w:rFonts w:hint="eastAsia"/>
          <w:szCs w:val="28"/>
        </w:rPr>
        <w:t xml:space="preserve"> handling solicitor</w:t>
      </w:r>
      <w:r>
        <w:rPr>
          <w:szCs w:val="28"/>
        </w:rPr>
        <w:t>”</w:t>
      </w:r>
      <w:r>
        <w:rPr>
          <w:rFonts w:hint="eastAsia"/>
          <w:szCs w:val="28"/>
        </w:rPr>
        <w:t xml:space="preserve">.   This raises the </w:t>
      </w:r>
    </w:p>
    <w:p w:rsidR="00D97A0F" w:rsidRDefault="00D97A0F">
      <w:pPr>
        <w:pStyle w:val="ListParagraph"/>
        <w:tabs>
          <w:tab w:val="left" w:pos="709"/>
        </w:tabs>
        <w:spacing w:after="60" w:line="360" w:lineRule="auto"/>
        <w:ind w:left="360"/>
        <w:rPr>
          <w:szCs w:val="28"/>
        </w:rPr>
      </w:pPr>
      <w:r>
        <w:rPr>
          <w:szCs w:val="28"/>
        </w:rPr>
        <w:tab/>
      </w:r>
      <w:r>
        <w:rPr>
          <w:szCs w:val="28"/>
        </w:rPr>
        <w:tab/>
      </w:r>
      <w:r>
        <w:rPr>
          <w:rFonts w:hint="eastAsia"/>
          <w:szCs w:val="28"/>
        </w:rPr>
        <w:t>Court</w:t>
      </w:r>
      <w:r>
        <w:rPr>
          <w:szCs w:val="28"/>
        </w:rPr>
        <w:t>’</w:t>
      </w:r>
      <w:r>
        <w:rPr>
          <w:rFonts w:hint="eastAsia"/>
          <w:szCs w:val="28"/>
        </w:rPr>
        <w:t xml:space="preserve">s concern on the duty of an officer of </w:t>
      </w:r>
      <w:r>
        <w:rPr>
          <w:szCs w:val="28"/>
        </w:rPr>
        <w:t>the</w:t>
      </w:r>
      <w:r>
        <w:rPr>
          <w:rFonts w:hint="eastAsia"/>
          <w:szCs w:val="28"/>
        </w:rPr>
        <w:t xml:space="preserve"> court.</w:t>
      </w:r>
    </w:p>
    <w:p w:rsidR="00D97A0F" w:rsidRDefault="00D97A0F">
      <w:pPr>
        <w:pStyle w:val="ListParagraph"/>
        <w:tabs>
          <w:tab w:val="left" w:pos="709"/>
        </w:tabs>
        <w:spacing w:after="200" w:line="360" w:lineRule="auto"/>
        <w:ind w:left="360"/>
        <w:rPr>
          <w:szCs w:val="28"/>
        </w:rPr>
      </w:pPr>
    </w:p>
    <w:p w:rsidR="00D97A0F" w:rsidRDefault="00D97A0F">
      <w:pPr>
        <w:pStyle w:val="para"/>
        <w:numPr>
          <w:ilvl w:val="0"/>
          <w:numId w:val="0"/>
        </w:numPr>
        <w:tabs>
          <w:tab w:val="left" w:pos="720"/>
        </w:tabs>
        <w:ind w:left="5760"/>
        <w:rPr>
          <w:szCs w:val="28"/>
        </w:rPr>
      </w:pPr>
      <w:r>
        <w:rPr>
          <w:szCs w:val="28"/>
        </w:rPr>
        <w:t xml:space="preserve">  (</w:t>
      </w:r>
      <w:r>
        <w:rPr>
          <w:rFonts w:hint="eastAsia"/>
          <w:szCs w:val="28"/>
        </w:rPr>
        <w:t>Clement Lee</w:t>
      </w:r>
      <w:r>
        <w:rPr>
          <w:szCs w:val="28"/>
        </w:rPr>
        <w:t>)</w:t>
      </w:r>
    </w:p>
    <w:p w:rsidR="00D97A0F" w:rsidRDefault="00D97A0F">
      <w:pPr>
        <w:pStyle w:val="para"/>
        <w:numPr>
          <w:ilvl w:val="0"/>
          <w:numId w:val="0"/>
        </w:numPr>
        <w:tabs>
          <w:tab w:val="left" w:pos="720"/>
        </w:tabs>
        <w:spacing w:before="0"/>
        <w:ind w:left="5460"/>
        <w:rPr>
          <w:rFonts w:hint="eastAsia"/>
          <w:szCs w:val="28"/>
        </w:rPr>
      </w:pPr>
      <w:r>
        <w:rPr>
          <w:szCs w:val="28"/>
        </w:rPr>
        <w:t xml:space="preserve"> </w:t>
      </w:r>
      <w:r>
        <w:rPr>
          <w:rFonts w:hint="eastAsia"/>
          <w:szCs w:val="28"/>
        </w:rPr>
        <w:t xml:space="preserve">Deputy </w:t>
      </w:r>
      <w:r>
        <w:rPr>
          <w:szCs w:val="28"/>
        </w:rPr>
        <w:t xml:space="preserve">District </w:t>
      </w:r>
      <w:r>
        <w:rPr>
          <w:rFonts w:hint="eastAsia"/>
          <w:szCs w:val="28"/>
        </w:rPr>
        <w:t>Judge</w:t>
      </w:r>
    </w:p>
    <w:p w:rsidR="00D97A0F" w:rsidRDefault="00D97A0F">
      <w:pPr>
        <w:pStyle w:val="para"/>
        <w:numPr>
          <w:ilvl w:val="0"/>
          <w:numId w:val="0"/>
        </w:numPr>
        <w:tabs>
          <w:tab w:val="left" w:pos="720"/>
        </w:tabs>
        <w:spacing w:before="0"/>
        <w:ind w:left="560" w:hanging="560"/>
        <w:rPr>
          <w:szCs w:val="28"/>
        </w:rPr>
      </w:pPr>
    </w:p>
    <w:p w:rsidR="00D97A0F" w:rsidRDefault="00D97A0F">
      <w:pPr>
        <w:pStyle w:val="para"/>
        <w:numPr>
          <w:ilvl w:val="0"/>
          <w:numId w:val="0"/>
        </w:numPr>
        <w:tabs>
          <w:tab w:val="left" w:pos="720"/>
        </w:tabs>
        <w:spacing w:before="0"/>
        <w:rPr>
          <w:rFonts w:hint="eastAsia"/>
          <w:szCs w:val="28"/>
        </w:rPr>
      </w:pPr>
      <w:r>
        <w:rPr>
          <w:rFonts w:eastAsia="PMingLiU"/>
          <w:szCs w:val="28"/>
          <w:lang w:eastAsia="zh-TW"/>
        </w:rPr>
        <w:t xml:space="preserve">Ms. J. Koon of Messrs </w:t>
      </w:r>
      <w:r>
        <w:rPr>
          <w:rFonts w:hint="eastAsia"/>
          <w:szCs w:val="28"/>
        </w:rPr>
        <w:t xml:space="preserve">Szwina Pang, Edward Li &amp; Co </w:t>
      </w:r>
      <w:r>
        <w:rPr>
          <w:rFonts w:eastAsia="PMingLiU"/>
          <w:szCs w:val="28"/>
          <w:lang w:eastAsia="zh-TW"/>
        </w:rPr>
        <w:t xml:space="preserve">for </w:t>
      </w:r>
      <w:r>
        <w:rPr>
          <w:szCs w:val="28"/>
        </w:rPr>
        <w:t>the</w:t>
      </w:r>
      <w:r>
        <w:rPr>
          <w:rFonts w:hint="eastAsia"/>
          <w:szCs w:val="28"/>
        </w:rPr>
        <w:t xml:space="preserve"> </w:t>
      </w:r>
      <w:r>
        <w:rPr>
          <w:szCs w:val="28"/>
        </w:rPr>
        <w:t>Plaintiff.</w:t>
      </w:r>
    </w:p>
    <w:p w:rsidR="00D97A0F" w:rsidRDefault="00D97A0F">
      <w:pPr>
        <w:pStyle w:val="para"/>
        <w:numPr>
          <w:ilvl w:val="0"/>
          <w:numId w:val="0"/>
        </w:numPr>
        <w:tabs>
          <w:tab w:val="left" w:pos="720"/>
        </w:tabs>
        <w:spacing w:before="0"/>
        <w:rPr>
          <w:rFonts w:hint="eastAsia"/>
          <w:szCs w:val="28"/>
        </w:rPr>
      </w:pPr>
      <w:r>
        <w:rPr>
          <w:rFonts w:hint="eastAsia"/>
          <w:szCs w:val="28"/>
        </w:rPr>
        <w:t xml:space="preserve">Messrs Szeto Virginia &amp; Co for the Defendant, was absent </w:t>
      </w:r>
    </w:p>
    <w:p w:rsidR="00D97A0F" w:rsidRDefault="00D97A0F">
      <w:pPr>
        <w:widowControl w:val="0"/>
        <w:spacing w:line="360" w:lineRule="auto"/>
        <w:ind w:left="720"/>
        <w:rPr>
          <w:rFonts w:hint="eastAsia"/>
          <w:szCs w:val="28"/>
          <w:lang w:val="en-GB"/>
        </w:rPr>
      </w:pPr>
    </w:p>
    <w:p w:rsidR="00D97A0F" w:rsidRDefault="00D97A0F">
      <w:pPr>
        <w:pStyle w:val="ListParagraph"/>
        <w:rPr>
          <w:szCs w:val="28"/>
        </w:rPr>
      </w:pPr>
    </w:p>
    <w:p w:rsidR="00D97A0F" w:rsidRDefault="00D97A0F">
      <w:pPr>
        <w:widowControl w:val="0"/>
        <w:spacing w:line="360" w:lineRule="auto"/>
        <w:ind w:left="720"/>
        <w:rPr>
          <w:szCs w:val="28"/>
        </w:rPr>
      </w:pPr>
    </w:p>
    <w:p w:rsidR="00D97A0F" w:rsidRDefault="00D97A0F">
      <w:pPr>
        <w:spacing w:after="120" w:line="360" w:lineRule="auto"/>
        <w:rPr>
          <w:szCs w:val="28"/>
        </w:rPr>
        <w:sectPr w:rsidR="00D97A0F">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D97A0F" w:rsidRDefault="00D97A0F">
      <w:pPr>
        <w:pStyle w:val="Heading6"/>
        <w:tabs>
          <w:tab w:val="left" w:pos="1120"/>
        </w:tabs>
        <w:jc w:val="left"/>
        <w:rPr>
          <w:sz w:val="28"/>
          <w:szCs w:val="28"/>
        </w:rPr>
      </w:pPr>
    </w:p>
    <w:p w:rsidR="00D97A0F" w:rsidRDefault="00D97A0F">
      <w:pPr>
        <w:pStyle w:val="Heading6"/>
        <w:tabs>
          <w:tab w:val="left" w:pos="1120"/>
        </w:tabs>
        <w:jc w:val="left"/>
        <w:rPr>
          <w:rFonts w:hint="eastAsia"/>
          <w:sz w:val="28"/>
          <w:szCs w:val="28"/>
        </w:rPr>
      </w:pPr>
    </w:p>
    <w:p w:rsidR="00D97A0F" w:rsidRDefault="00D97A0F">
      <w:pPr>
        <w:pStyle w:val="Heading6"/>
        <w:tabs>
          <w:tab w:val="left" w:pos="1120"/>
        </w:tabs>
        <w:jc w:val="left"/>
        <w:rPr>
          <w:rFonts w:hint="eastAsia"/>
          <w:sz w:val="28"/>
          <w:szCs w:val="28"/>
        </w:rPr>
      </w:pPr>
    </w:p>
    <w:p w:rsidR="00D97A0F" w:rsidRDefault="00D97A0F">
      <w:pPr>
        <w:pStyle w:val="Heading6"/>
        <w:tabs>
          <w:tab w:val="left" w:pos="1120"/>
        </w:tabs>
        <w:jc w:val="left"/>
        <w:rPr>
          <w:rFonts w:hint="eastAsia"/>
          <w:sz w:val="28"/>
          <w:szCs w:val="28"/>
        </w:rPr>
      </w:pPr>
    </w:p>
    <w:p w:rsidR="00D97A0F" w:rsidRDefault="00D97A0F">
      <w:pPr>
        <w:pStyle w:val="Heading6"/>
        <w:tabs>
          <w:tab w:val="left" w:pos="1120"/>
        </w:tabs>
        <w:jc w:val="left"/>
        <w:rPr>
          <w:rFonts w:hint="eastAsia"/>
          <w:sz w:val="28"/>
          <w:szCs w:val="28"/>
        </w:rPr>
      </w:pPr>
    </w:p>
    <w:p w:rsidR="00D97A0F" w:rsidRDefault="00D97A0F">
      <w:pPr>
        <w:pStyle w:val="Heading6"/>
        <w:tabs>
          <w:tab w:val="left" w:pos="1120"/>
        </w:tabs>
        <w:jc w:val="left"/>
        <w:rPr>
          <w:rFonts w:hint="eastAsia"/>
          <w:sz w:val="28"/>
          <w:szCs w:val="28"/>
        </w:rPr>
      </w:pPr>
    </w:p>
    <w:p w:rsidR="00D97A0F" w:rsidRDefault="00D97A0F"/>
    <w:sectPr w:rsidR="00D97A0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A0F" w:rsidRDefault="00D97A0F">
      <w:r>
        <w:separator/>
      </w:r>
    </w:p>
  </w:endnote>
  <w:endnote w:type="continuationSeparator" w:id="0">
    <w:p w:rsidR="00D97A0F" w:rsidRDefault="00D9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7A0F" w:rsidRDefault="00D97A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7A0F" w:rsidRDefault="00D97A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7A0F" w:rsidRDefault="00D97A0F">
    <w:pPr>
      <w:pStyle w:val="Footer"/>
      <w:framePr w:wrap="around" w:vAnchor="text" w:hAnchor="margin" w:xAlign="right" w:y="1"/>
      <w:rPr>
        <w:rStyle w:val="PageNumber"/>
      </w:rPr>
    </w:pPr>
  </w:p>
  <w:p w:rsidR="00D97A0F" w:rsidRDefault="00D97A0F">
    <w:pPr>
      <w:pStyle w:val="Footer"/>
      <w:ind w:right="360"/>
      <w:jc w:val="center"/>
      <w:rPr>
        <w:rFonts w:hint="eastAsia"/>
      </w:rPr>
    </w:pPr>
    <w:r>
      <w:rPr>
        <w:rStyle w:val="PageNumber"/>
      </w:rPr>
      <w:fldChar w:fldCharType="begin"/>
    </w:r>
    <w:r>
      <w:rPr>
        <w:rStyle w:val="PageNumber"/>
      </w:rPr>
      <w:instrText xml:space="preserve"> PAGE </w:instrText>
    </w:r>
    <w:r>
      <w:rPr>
        <w:rStyle w:val="PageNumber"/>
      </w:rPr>
      <w:fldChar w:fldCharType="separate"/>
    </w:r>
    <w:r w:rsidR="002516E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A0F" w:rsidRDefault="00D97A0F">
      <w:r>
        <w:separator/>
      </w:r>
    </w:p>
  </w:footnote>
  <w:footnote w:type="continuationSeparator" w:id="0">
    <w:p w:rsidR="00D97A0F" w:rsidRDefault="00D97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7A0F" w:rsidRDefault="00C5650D">
    <w:pPr>
      <w:pStyle w:val="Header"/>
      <w:rPr>
        <w:rFonts w:hint="eastAsia"/>
      </w:rPr>
    </w:pPr>
    <w:r>
      <w:rPr>
        <w:noProof/>
        <w:sz w:val="20"/>
      </w:rPr>
    </w:r>
    <w:r w:rsidR="00C5650D">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6704;mso-wrap-style:square;mso-wrap-edited:f;mso-width-percent:0;mso-height-percent:0;mso-width-percent:0;mso-height-percent:0;v-text-anchor:top" o:allowincell="f" stroked="f">
          <v:textbox style="mso-next-textbox:#_x0000_s1025">
            <w:txbxContent>
              <w:p w:rsidR="00D97A0F" w:rsidRDefault="00D97A0F">
                <w:pPr>
                  <w:rPr>
                    <w:rFonts w:hint="eastAsia"/>
                    <w:b/>
                    <w:sz w:val="20"/>
                  </w:rPr>
                </w:pPr>
                <w:r>
                  <w:rPr>
                    <w:rFonts w:hint="eastAsia"/>
                    <w:b/>
                    <w:sz w:val="20"/>
                  </w:rPr>
                  <w:t>A</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20"/>
                  </w:rPr>
                </w:pPr>
                <w:r>
                  <w:rPr>
                    <w:rFonts w:hint="eastAsia"/>
                    <w:b/>
                    <w:sz w:val="20"/>
                  </w:rPr>
                  <w:t>B</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C</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pStyle w:val="Heading2"/>
                  <w:rPr>
                    <w:rFonts w:hint="eastAsia"/>
                    <w:sz w:val="16"/>
                  </w:rPr>
                </w:pPr>
                <w:r>
                  <w:rPr>
                    <w:rFonts w:hint="eastAsia"/>
                  </w:rPr>
                  <w:t>D</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E</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20"/>
                  </w:rPr>
                </w:pPr>
                <w:r>
                  <w:rPr>
                    <w:rFonts w:hint="eastAsia"/>
                    <w:b/>
                    <w:sz w:val="20"/>
                  </w:rPr>
                  <w:t>F</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G</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H</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I</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J</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K</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L</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M</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N</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O</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P</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Q</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R</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S</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T</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U</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pStyle w:val="Heading3"/>
                  <w:jc w:val="left"/>
                  <w:rPr>
                    <w:rFonts w:hint="eastAsia"/>
                  </w:rPr>
                </w:pPr>
                <w:r>
                  <w:rPr>
                    <w:rFonts w:hint="eastAsia"/>
                  </w:rPr>
                  <w:t>V</w:t>
                </w:r>
              </w:p>
            </w:txbxContent>
          </v:textbox>
        </v:shape>
      </w:pict>
    </w:r>
    <w:r>
      <w:rPr>
        <w:noProof/>
        <w:sz w:val="20"/>
      </w:rPr>
    </w:r>
    <w:r w:rsidR="00C5650D">
      <w:rPr>
        <w:noProof/>
        <w:sz w:val="20"/>
      </w:rPr>
      <w:pict>
        <v:shape id="_x0000_s1027" type="#_x0000_t202" alt="" style="position:absolute;left:0;text-align:left;margin-left:-63pt;margin-top:-19.15pt;width:45pt;height:23.4pt;z-index:251658752;mso-wrap-style:square;mso-wrap-edited:f;mso-width-percent:0;mso-height-percent:0;mso-width-percent:0;mso-height-percent:0;v-text-anchor:top" o:allowincell="f" stroked="f">
          <v:textbox style="mso-next-textbox:#_x0000_s1027">
            <w:txbxContent>
              <w:p w:rsidR="00D97A0F" w:rsidRDefault="00D97A0F">
                <w:pPr>
                  <w:rPr>
                    <w:rFonts w:eastAsia="SimHei" w:hint="eastAsia"/>
                    <w:b/>
                    <w:sz w:val="18"/>
                  </w:rPr>
                </w:pPr>
                <w:r>
                  <w:rPr>
                    <w:rFonts w:eastAsia="SimHei" w:hint="eastAsia"/>
                    <w:b/>
                    <w:sz w:val="18"/>
                  </w:rPr>
                  <w:t>由此</w:t>
                </w:r>
              </w:p>
            </w:txbxContent>
          </v:textbox>
        </v:shape>
      </w:pict>
    </w:r>
    <w:r>
      <w:rPr>
        <w:noProof/>
        <w:sz w:val="20"/>
      </w:rPr>
    </w:r>
    <w:r w:rsidR="00C5650D">
      <w:rPr>
        <w:noProof/>
        <w:sz w:val="20"/>
      </w:rPr>
      <w:pict>
        <v:shape id="_x0000_s1026" type="#_x0000_t202" alt="" style="position:absolute;left:0;text-align:left;margin-left:471.4pt;margin-top:12.25pt;width:32.6pt;height:11in;z-index:251657728;mso-wrap-style:square;mso-wrap-edited:f;mso-width-percent:0;mso-height-percent:0;mso-width-percent:0;mso-height-percent:0;v-text-anchor:top" o:allowincell="f" stroked="f">
          <v:textbox style="mso-next-textbox:#_x0000_s1026">
            <w:txbxContent>
              <w:p w:rsidR="00D97A0F" w:rsidRDefault="00D97A0F">
                <w:pPr>
                  <w:rPr>
                    <w:rFonts w:hint="eastAsia"/>
                    <w:b/>
                    <w:sz w:val="20"/>
                  </w:rPr>
                </w:pPr>
                <w:r>
                  <w:rPr>
                    <w:rFonts w:hint="eastAsia"/>
                    <w:b/>
                    <w:sz w:val="20"/>
                  </w:rPr>
                  <w:t>A</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20"/>
                  </w:rPr>
                </w:pPr>
                <w:r>
                  <w:rPr>
                    <w:rFonts w:hint="eastAsia"/>
                    <w:b/>
                    <w:sz w:val="20"/>
                  </w:rPr>
                  <w:t>B</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C</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pStyle w:val="Heading2"/>
                  <w:rPr>
                    <w:rFonts w:hint="eastAsia"/>
                    <w:sz w:val="16"/>
                  </w:rPr>
                </w:pPr>
                <w:r>
                  <w:rPr>
                    <w:rFonts w:hint="eastAsia"/>
                  </w:rPr>
                  <w:t>D</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E</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20"/>
                  </w:rPr>
                </w:pPr>
                <w:r>
                  <w:rPr>
                    <w:rFonts w:hint="eastAsia"/>
                    <w:b/>
                    <w:sz w:val="20"/>
                  </w:rPr>
                  <w:t>F</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G</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H</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I</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J</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K</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L</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M</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N</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O</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P</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Q</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R</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S</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T</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rPr>
                    <w:rFonts w:hint="eastAsia"/>
                    <w:b/>
                    <w:sz w:val="16"/>
                  </w:rPr>
                </w:pPr>
                <w:r>
                  <w:rPr>
                    <w:rFonts w:hint="eastAsia"/>
                    <w:b/>
                    <w:sz w:val="20"/>
                  </w:rPr>
                  <w:t>U</w:t>
                </w:r>
              </w:p>
              <w:p w:rsidR="00D97A0F" w:rsidRDefault="00D97A0F">
                <w:pPr>
                  <w:rPr>
                    <w:rFonts w:hint="eastAsia"/>
                    <w:b/>
                    <w:sz w:val="10"/>
                  </w:rPr>
                </w:pPr>
              </w:p>
              <w:p w:rsidR="00D97A0F" w:rsidRDefault="00D97A0F">
                <w:pPr>
                  <w:rPr>
                    <w:rFonts w:hint="eastAsia"/>
                    <w:b/>
                    <w:sz w:val="16"/>
                  </w:rPr>
                </w:pPr>
              </w:p>
              <w:p w:rsidR="00D97A0F" w:rsidRDefault="00D97A0F">
                <w:pPr>
                  <w:rPr>
                    <w:rFonts w:hint="eastAsia"/>
                    <w:b/>
                    <w:sz w:val="16"/>
                  </w:rPr>
                </w:pPr>
              </w:p>
              <w:p w:rsidR="00D97A0F" w:rsidRDefault="00D97A0F">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 w15:restartNumberingAfterBreak="0">
    <w:nsid w:val="09A813E0"/>
    <w:multiLevelType w:val="hybridMultilevel"/>
    <w:tmpl w:val="3CD8A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56368"/>
    <w:multiLevelType w:val="hybridMultilevel"/>
    <w:tmpl w:val="99FE2C50"/>
    <w:lvl w:ilvl="0" w:tplc="DC04260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0D603CB3"/>
    <w:multiLevelType w:val="hybridMultilevel"/>
    <w:tmpl w:val="BDB4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B6185"/>
    <w:multiLevelType w:val="hybridMultilevel"/>
    <w:tmpl w:val="E4E49696"/>
    <w:lvl w:ilvl="0" w:tplc="7FB83D92">
      <w:start w:val="1"/>
      <w:numFmt w:val="decimal"/>
      <w:lvlText w:val="%1."/>
      <w:lvlJc w:val="left"/>
      <w:pPr>
        <w:tabs>
          <w:tab w:val="num" w:pos="1080"/>
        </w:tabs>
        <w:ind w:left="1080" w:hanging="720"/>
      </w:pPr>
      <w:rPr>
        <w:rFonts w:hint="eastAsia"/>
      </w:rPr>
    </w:lvl>
    <w:lvl w:ilvl="1" w:tplc="F5E025E6">
      <w:start w:val="1"/>
      <w:numFmt w:val="lowerLetter"/>
      <w:lvlText w:val="(%2)"/>
      <w:lvlJc w:val="left"/>
      <w:pPr>
        <w:tabs>
          <w:tab w:val="num" w:pos="1440"/>
        </w:tabs>
        <w:ind w:left="1440" w:hanging="360"/>
      </w:pPr>
      <w:rPr>
        <w:rFonts w:hint="eastAsia"/>
      </w:rPr>
    </w:lvl>
    <w:lvl w:ilvl="2" w:tplc="8C8659BC">
      <w:start w:val="1"/>
      <w:numFmt w:val="lowerLetter"/>
      <w:lvlText w:val="%3)"/>
      <w:lvlJc w:val="left"/>
      <w:pPr>
        <w:tabs>
          <w:tab w:val="num" w:pos="2700"/>
        </w:tabs>
        <w:ind w:left="2700" w:hanging="720"/>
      </w:pPr>
      <w:rPr>
        <w:rFonts w:hint="eastAsia"/>
      </w:rPr>
    </w:lvl>
    <w:lvl w:ilvl="3" w:tplc="63EE1882">
      <w:start w:val="1"/>
      <w:numFmt w:val="decimal"/>
      <w:lvlText w:val="(%4)"/>
      <w:lvlJc w:val="left"/>
      <w:pPr>
        <w:tabs>
          <w:tab w:val="num" w:pos="3240"/>
        </w:tabs>
        <w:ind w:left="3240" w:hanging="720"/>
      </w:pPr>
      <w:rPr>
        <w:rFonts w:hint="eastAsia"/>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57792C"/>
    <w:multiLevelType w:val="hybridMultilevel"/>
    <w:tmpl w:val="DD1E5950"/>
    <w:lvl w:ilvl="0" w:tplc="EBD859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745EA"/>
    <w:multiLevelType w:val="hybridMultilevel"/>
    <w:tmpl w:val="C1A09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F4174"/>
    <w:multiLevelType w:val="hybridMultilevel"/>
    <w:tmpl w:val="B9DE277A"/>
    <w:lvl w:ilvl="0" w:tplc="4FE8E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D07693"/>
    <w:multiLevelType w:val="hybridMultilevel"/>
    <w:tmpl w:val="41D03D28"/>
    <w:lvl w:ilvl="0" w:tplc="A81A8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7362D2"/>
    <w:multiLevelType w:val="hybridMultilevel"/>
    <w:tmpl w:val="886876F4"/>
    <w:lvl w:ilvl="0" w:tplc="3CD40C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469AB"/>
    <w:multiLevelType w:val="singleLevel"/>
    <w:tmpl w:val="F1D04760"/>
    <w:lvl w:ilvl="0">
      <w:start w:val="1"/>
      <w:numFmt w:val="decimal"/>
      <w:pStyle w:val="para"/>
      <w:lvlText w:val="%1."/>
      <w:lvlJc w:val="left"/>
      <w:pPr>
        <w:tabs>
          <w:tab w:val="num" w:pos="360"/>
        </w:tabs>
        <w:ind w:left="0" w:firstLine="0"/>
      </w:pPr>
    </w:lvl>
  </w:abstractNum>
  <w:abstractNum w:abstractNumId="11" w15:restartNumberingAfterBreak="0">
    <w:nsid w:val="33D074DD"/>
    <w:multiLevelType w:val="hybridMultilevel"/>
    <w:tmpl w:val="BDB4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837D9"/>
    <w:multiLevelType w:val="hybridMultilevel"/>
    <w:tmpl w:val="D84A4F60"/>
    <w:lvl w:ilvl="0" w:tplc="5FEC3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663063"/>
    <w:multiLevelType w:val="hybridMultilevel"/>
    <w:tmpl w:val="3760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91A54"/>
    <w:multiLevelType w:val="hybridMultilevel"/>
    <w:tmpl w:val="68AC0DBE"/>
    <w:lvl w:ilvl="0" w:tplc="0409000F">
      <w:start w:val="1"/>
      <w:numFmt w:val="decimal"/>
      <w:lvlText w:val="%1."/>
      <w:lvlJc w:val="left"/>
      <w:pPr>
        <w:tabs>
          <w:tab w:val="num" w:pos="480"/>
        </w:tabs>
        <w:ind w:left="480" w:hanging="480"/>
      </w:pPr>
    </w:lvl>
    <w:lvl w:ilvl="1" w:tplc="ABC8908E">
      <w:start w:val="1"/>
      <w:numFmt w:val="lowerLetter"/>
      <w:lvlText w:val="(%2)"/>
      <w:lvlJc w:val="left"/>
      <w:pPr>
        <w:tabs>
          <w:tab w:val="num" w:pos="960"/>
        </w:tabs>
        <w:ind w:left="960" w:hanging="4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D4F04A9"/>
    <w:multiLevelType w:val="hybridMultilevel"/>
    <w:tmpl w:val="C9DC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709A3"/>
    <w:multiLevelType w:val="hybridMultilevel"/>
    <w:tmpl w:val="302A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A55B0"/>
    <w:multiLevelType w:val="hybridMultilevel"/>
    <w:tmpl w:val="BDB42914"/>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E4F0A"/>
    <w:multiLevelType w:val="hybridMultilevel"/>
    <w:tmpl w:val="9FFAD5BE"/>
    <w:lvl w:ilvl="0" w:tplc="23BEA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693535"/>
    <w:multiLevelType w:val="hybridMultilevel"/>
    <w:tmpl w:val="BDB4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522A80"/>
    <w:multiLevelType w:val="hybridMultilevel"/>
    <w:tmpl w:val="7C8C83E2"/>
    <w:lvl w:ilvl="0" w:tplc="57606818">
      <w:start w:val="1"/>
      <w:numFmt w:val="decimal"/>
      <w:pStyle w:val="Fin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97B426A"/>
    <w:multiLevelType w:val="hybridMultilevel"/>
    <w:tmpl w:val="C88A0E66"/>
    <w:lvl w:ilvl="0" w:tplc="78C8F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1445732">
    <w:abstractNumId w:val="10"/>
    <w:lvlOverride w:ilvl="0">
      <w:startOverride w:val="1"/>
    </w:lvlOverride>
  </w:num>
  <w:num w:numId="2" w16cid:durableId="18909163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0688816">
    <w:abstractNumId w:val="0"/>
  </w:num>
  <w:num w:numId="4" w16cid:durableId="2071924547">
    <w:abstractNumId w:val="4"/>
  </w:num>
  <w:num w:numId="5" w16cid:durableId="1090615853">
    <w:abstractNumId w:val="5"/>
  </w:num>
  <w:num w:numId="6" w16cid:durableId="1494182494">
    <w:abstractNumId w:val="16"/>
  </w:num>
  <w:num w:numId="7" w16cid:durableId="1859852656">
    <w:abstractNumId w:val="13"/>
  </w:num>
  <w:num w:numId="8" w16cid:durableId="277565861">
    <w:abstractNumId w:val="6"/>
  </w:num>
  <w:num w:numId="9" w16cid:durableId="1804154094">
    <w:abstractNumId w:val="9"/>
  </w:num>
  <w:num w:numId="10" w16cid:durableId="1084641142">
    <w:abstractNumId w:val="17"/>
  </w:num>
  <w:num w:numId="11" w16cid:durableId="358893878">
    <w:abstractNumId w:val="1"/>
  </w:num>
  <w:num w:numId="12" w16cid:durableId="1735009046">
    <w:abstractNumId w:val="15"/>
  </w:num>
  <w:num w:numId="13" w16cid:durableId="915168279">
    <w:abstractNumId w:val="18"/>
  </w:num>
  <w:num w:numId="14" w16cid:durableId="459879524">
    <w:abstractNumId w:val="8"/>
  </w:num>
  <w:num w:numId="15" w16cid:durableId="684985238">
    <w:abstractNumId w:val="7"/>
  </w:num>
  <w:num w:numId="16" w16cid:durableId="865411324">
    <w:abstractNumId w:val="21"/>
  </w:num>
  <w:num w:numId="17" w16cid:durableId="252053767">
    <w:abstractNumId w:val="2"/>
  </w:num>
  <w:num w:numId="18" w16cid:durableId="1897081511">
    <w:abstractNumId w:val="12"/>
  </w:num>
  <w:num w:numId="19" w16cid:durableId="182015025">
    <w:abstractNumId w:val="19"/>
  </w:num>
  <w:num w:numId="20" w16cid:durableId="647056885">
    <w:abstractNumId w:val="11"/>
  </w:num>
  <w:num w:numId="21" w16cid:durableId="2018605960">
    <w:abstractNumId w:val="3"/>
  </w:num>
  <w:num w:numId="22" w16cid:durableId="14292287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16E0"/>
    <w:rsid w:val="002516E0"/>
    <w:rsid w:val="00C5650D"/>
    <w:rsid w:val="00D97A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10DF1A5-7BB5-8D4C-9ACD-1CCE54F4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New Roman" w:hAnsi="Times New Roman"/>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keepLines/>
      <w:spacing w:before="200"/>
      <w:outlineLvl w:val="1"/>
    </w:pPr>
    <w:rPr>
      <w:rFonts w:ascii="Cambria" w:hAnsi="Cambria"/>
      <w:b/>
      <w:bCs/>
      <w:color w:val="4F81BD"/>
      <w:sz w:val="26"/>
      <w:szCs w:val="26"/>
    </w:rPr>
  </w:style>
  <w:style w:type="paragraph" w:styleId="Heading3">
    <w:name w:val="heading 3"/>
    <w:basedOn w:val="Normal"/>
    <w:next w:val="Normal"/>
    <w:qFormat/>
    <w:pPr>
      <w:keepNext/>
      <w:keepLines/>
      <w:spacing w:before="200"/>
      <w:outlineLvl w:val="2"/>
    </w:pPr>
    <w:rPr>
      <w:rFonts w:ascii="Cambria" w:hAnsi="Cambria"/>
      <w:b/>
      <w:bCs/>
      <w:color w:val="4F81BD"/>
    </w:rPr>
  </w:style>
  <w:style w:type="paragraph" w:styleId="Heading6">
    <w:name w:val="heading 6"/>
    <w:basedOn w:val="Normal"/>
    <w:next w:val="Normal"/>
    <w:qFormat/>
    <w:pPr>
      <w:keepNext/>
      <w:spacing w:line="360" w:lineRule="auto"/>
      <w:outlineLvl w:val="5"/>
    </w:pPr>
    <w:rPr>
      <w:i/>
      <w:sz w:val="24"/>
      <w:u w:val="single"/>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SimSun" w:hAnsi="Times New Roman" w:cs="Times New Roman"/>
      <w:b/>
      <w:kern w:val="2"/>
      <w:sz w:val="28"/>
      <w:szCs w:val="20"/>
    </w:rPr>
  </w:style>
  <w:style w:type="character" w:customStyle="1" w:styleId="Heading2Char">
    <w:name w:val="Heading 2 Char"/>
    <w:basedOn w:val="DefaultParagraphFont"/>
    <w:semiHidden/>
    <w:rPr>
      <w:rFonts w:ascii="Cambria" w:eastAsia="SimSun" w:hAnsi="Cambria" w:cs="Times New Roman"/>
      <w:b/>
      <w:bCs/>
      <w:color w:val="4F81BD"/>
      <w:kern w:val="2"/>
      <w:sz w:val="26"/>
      <w:szCs w:val="26"/>
    </w:rPr>
  </w:style>
  <w:style w:type="character" w:customStyle="1" w:styleId="Heading3Char">
    <w:name w:val="Heading 3 Char"/>
    <w:basedOn w:val="DefaultParagraphFont"/>
    <w:semiHidden/>
    <w:rPr>
      <w:rFonts w:ascii="Cambria" w:eastAsia="SimSun" w:hAnsi="Cambria" w:cs="Times New Roman"/>
      <w:b/>
      <w:bCs/>
      <w:color w:val="4F81BD"/>
      <w:kern w:val="2"/>
      <w:sz w:val="28"/>
      <w:szCs w:val="20"/>
    </w:rPr>
  </w:style>
  <w:style w:type="character" w:customStyle="1" w:styleId="Heading6Char">
    <w:name w:val="Heading 6 Char"/>
    <w:basedOn w:val="DefaultParagraphFont"/>
    <w:semiHidden/>
    <w:rPr>
      <w:rFonts w:ascii="Times New Roman" w:eastAsia="SimSun" w:hAnsi="Times New Roman" w:cs="Times New Roman"/>
      <w:i/>
      <w:kern w:val="2"/>
      <w:sz w:val="24"/>
      <w:szCs w:val="20"/>
      <w:u w:val="single"/>
    </w:rPr>
  </w:style>
  <w:style w:type="paragraph" w:customStyle="1" w:styleId="para">
    <w:name w:val="para"/>
    <w:semiHidden/>
    <w:pPr>
      <w:numPr>
        <w:numId w:val="1"/>
      </w:numPr>
      <w:tabs>
        <w:tab w:val="clear" w:pos="360"/>
        <w:tab w:val="num" w:pos="1400"/>
      </w:tabs>
      <w:snapToGrid w:val="0"/>
      <w:spacing w:before="480" w:line="360" w:lineRule="auto"/>
    </w:pPr>
    <w:rPr>
      <w:rFonts w:ascii="Times New Roman" w:hAnsi="Times New Roman"/>
      <w:sz w:val="28"/>
      <w:lang w:val="en-GB"/>
    </w:rPr>
  </w:style>
  <w:style w:type="paragraph" w:styleId="Header">
    <w:name w:val="header"/>
    <w:basedOn w:val="Normal"/>
    <w:semiHidden/>
    <w:pPr>
      <w:tabs>
        <w:tab w:val="left" w:pos="1440"/>
        <w:tab w:val="center" w:pos="4153"/>
        <w:tab w:val="center" w:pos="4320"/>
        <w:tab w:val="right" w:pos="8306"/>
        <w:tab w:val="right" w:pos="9072"/>
      </w:tabs>
      <w:snapToGrid w:val="0"/>
      <w:jc w:val="center"/>
    </w:pPr>
    <w:rPr>
      <w:kern w:val="0"/>
      <w:sz w:val="18"/>
    </w:rPr>
  </w:style>
  <w:style w:type="character" w:customStyle="1" w:styleId="HeaderChar">
    <w:name w:val="Header Char"/>
    <w:basedOn w:val="DefaultParagraphFont"/>
    <w:semiHidden/>
    <w:rPr>
      <w:rFonts w:ascii="Times New Roman" w:eastAsia="SimSun" w:hAnsi="Times New Roman" w:cs="Times New Roman"/>
      <w:sz w:val="18"/>
      <w:szCs w:val="20"/>
    </w:rPr>
  </w:style>
  <w:style w:type="paragraph" w:customStyle="1" w:styleId="j-draft">
    <w:name w:val="j-draft"/>
    <w:basedOn w:val="Normal"/>
    <w:pPr>
      <w:numPr>
        <w:numId w:val="2"/>
      </w:numPr>
      <w:tabs>
        <w:tab w:val="left" w:pos="1080"/>
      </w:tabs>
      <w:suppressAutoHyphens/>
      <w:snapToGrid w:val="0"/>
      <w:spacing w:line="480" w:lineRule="auto"/>
    </w:pPr>
    <w:rPr>
      <w:kern w:val="1"/>
      <w:lang w:val="en-GB" w:eastAsia="ar-SA"/>
    </w:rPr>
  </w:style>
  <w:style w:type="paragraph" w:customStyle="1" w:styleId="mainheadings">
    <w:name w:val="mainheadings"/>
    <w:next w:val="Normal"/>
    <w:pPr>
      <w:keepNext/>
      <w:suppressAutoHyphens/>
      <w:spacing w:before="600"/>
    </w:pPr>
    <w:rPr>
      <w:rFonts w:ascii="Times New Roman" w:eastAsia="MingLiU" w:hAnsi="Times New Roman"/>
      <w:i/>
      <w:caps/>
      <w:sz w:val="28"/>
      <w:lang w:val="en-US" w:eastAsia="ar-SA"/>
    </w:rPr>
  </w:style>
  <w:style w:type="character" w:styleId="PageNumber">
    <w:name w:val="page number"/>
    <w:basedOn w:val="DefaultParagraphFont"/>
    <w:semiHidden/>
  </w:style>
  <w:style w:type="paragraph" w:styleId="Footer">
    <w:name w:val="footer"/>
    <w:basedOn w:val="Normal"/>
    <w:semiHidden/>
    <w:pPr>
      <w:tabs>
        <w:tab w:val="left" w:pos="1440"/>
        <w:tab w:val="center" w:pos="4153"/>
        <w:tab w:val="center" w:pos="4320"/>
        <w:tab w:val="right" w:pos="8306"/>
        <w:tab w:val="right" w:pos="9072"/>
      </w:tabs>
      <w:snapToGrid w:val="0"/>
      <w:jc w:val="left"/>
    </w:pPr>
    <w:rPr>
      <w:kern w:val="0"/>
      <w:sz w:val="20"/>
    </w:rPr>
  </w:style>
  <w:style w:type="character" w:customStyle="1" w:styleId="FooterChar">
    <w:name w:val="Footer Char"/>
    <w:basedOn w:val="DefaultParagraphFont"/>
    <w:semiHidden/>
    <w:rPr>
      <w:rFonts w:ascii="Times New Roman" w:eastAsia="SimSun" w:hAnsi="Times New Roman" w:cs="Times New Roman"/>
      <w:sz w:val="20"/>
      <w:szCs w:val="20"/>
    </w:rPr>
  </w:style>
  <w:style w:type="paragraph" w:styleId="ListParagraph">
    <w:name w:val="List Paragraph"/>
    <w:basedOn w:val="Normal"/>
    <w:qFormat/>
    <w:pPr>
      <w:ind w:left="720"/>
      <w:contextualSpacing/>
    </w:pPr>
  </w:style>
  <w:style w:type="paragraph" w:customStyle="1" w:styleId="Final">
    <w:name w:val="Final"/>
    <w:basedOn w:val="Normal"/>
    <w:pPr>
      <w:numPr>
        <w:numId w:val="22"/>
      </w:numPr>
      <w:tabs>
        <w:tab w:val="clear" w:pos="360"/>
        <w:tab w:val="left" w:pos="1440"/>
        <w:tab w:val="right" w:pos="8453"/>
      </w:tabs>
      <w:snapToGrid w:val="0"/>
      <w:spacing w:after="440" w:line="360" w:lineRule="auto"/>
    </w:pPr>
    <w:rPr>
      <w:kern w:val="0"/>
      <w:lang w:val="en-GB"/>
    </w:rPr>
  </w:style>
  <w:style w:type="paragraph" w:customStyle="1" w:styleId="Quotation">
    <w:name w:val="Quotation"/>
    <w:basedOn w:val="Normal"/>
    <w:pPr>
      <w:tabs>
        <w:tab w:val="left" w:pos="1440"/>
        <w:tab w:val="left" w:pos="2016"/>
        <w:tab w:val="left" w:pos="2448"/>
        <w:tab w:val="center" w:pos="4320"/>
        <w:tab w:val="right" w:pos="8453"/>
      </w:tabs>
      <w:snapToGrid w:val="0"/>
      <w:spacing w:before="240"/>
      <w:ind w:left="1440" w:right="720"/>
    </w:pPr>
    <w:rPr>
      <w:sz w:val="24"/>
      <w:lang w:val="en-GB"/>
    </w:rPr>
  </w:style>
  <w:style w:type="paragraph" w:customStyle="1" w:styleId="hspace">
    <w:name w:val="hspace"/>
    <w:basedOn w:val="Normal"/>
    <w:pPr>
      <w:tabs>
        <w:tab w:val="left" w:pos="1440"/>
        <w:tab w:val="center" w:pos="4320"/>
        <w:tab w:val="right" w:pos="8453"/>
      </w:tabs>
      <w:snapToGrid w:val="0"/>
      <w:spacing w:line="200" w:lineRule="exact"/>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DCPI  2067 of 2009</vt:lpstr>
    </vt:vector>
  </TitlesOfParts>
  <Company>Judiciary hong Kong</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  2067 of 2009</dc:title>
  <dc:subject/>
  <dc:creator>setup</dc:creator>
  <cp:keywords/>
  <cp:lastModifiedBy>Adrien Kwong</cp:lastModifiedBy>
  <cp:revision>2</cp:revision>
  <cp:lastPrinted>2010-11-10T06:11:00Z</cp:lastPrinted>
  <dcterms:created xsi:type="dcterms:W3CDTF">2023-10-14T01:19:00Z</dcterms:created>
  <dcterms:modified xsi:type="dcterms:W3CDTF">2023-10-14T01:19:00Z</dcterms:modified>
</cp:coreProperties>
</file>