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1A0F6D">
      <w:pPr>
        <w:pStyle w:val="Heading2"/>
        <w:tabs>
          <w:tab w:val="clear" w:pos="4320"/>
          <w:tab w:val="clear" w:pos="9072"/>
        </w:tabs>
        <w:snapToGrid w:val="0"/>
        <w:jc w:val="right"/>
        <w:rPr>
          <w:b w:val="0"/>
          <w:bCs w:val="0"/>
          <w:sz w:val="28"/>
          <w:szCs w:val="26"/>
          <w:lang w:val="en-GB"/>
        </w:rPr>
      </w:pPr>
      <w:r w:rsidRPr="006172D9">
        <w:rPr>
          <w:b w:val="0"/>
          <w:bCs w:val="0"/>
          <w:sz w:val="28"/>
          <w:szCs w:val="26"/>
          <w:lang w:val="en-GB"/>
        </w:rPr>
        <w:t xml:space="preserve">DCPI </w:t>
      </w:r>
      <w:r w:rsidR="009738C8" w:rsidRPr="006172D9">
        <w:rPr>
          <w:b w:val="0"/>
          <w:bCs w:val="0"/>
          <w:sz w:val="28"/>
          <w:szCs w:val="26"/>
          <w:lang w:val="en-GB"/>
        </w:rPr>
        <w:t>2179</w:t>
      </w:r>
      <w:r w:rsidRPr="006172D9">
        <w:rPr>
          <w:b w:val="0"/>
          <w:bCs w:val="0"/>
          <w:sz w:val="28"/>
          <w:szCs w:val="26"/>
          <w:lang w:val="en-GB"/>
        </w:rPr>
        <w:t>/20</w:t>
      </w:r>
      <w:r w:rsidR="005E4F81" w:rsidRPr="006172D9">
        <w:rPr>
          <w:b w:val="0"/>
          <w:bCs w:val="0"/>
          <w:sz w:val="28"/>
          <w:szCs w:val="26"/>
          <w:lang w:val="en-GB"/>
        </w:rPr>
        <w:t>1</w:t>
      </w:r>
      <w:r w:rsidR="009738C8" w:rsidRPr="006172D9">
        <w:rPr>
          <w:b w:val="0"/>
          <w:bCs w:val="0"/>
          <w:sz w:val="28"/>
          <w:szCs w:val="26"/>
          <w:lang w:val="en-GB"/>
        </w:rPr>
        <w:t>5</w:t>
      </w:r>
    </w:p>
    <w:p w:rsidR="00F26B60" w:rsidRDefault="003B3259" w:rsidP="003B3259">
      <w:pPr>
        <w:pStyle w:val="normal3"/>
        <w:tabs>
          <w:tab w:val="clear" w:pos="4320"/>
          <w:tab w:val="clear" w:pos="4500"/>
          <w:tab w:val="clear" w:pos="9000"/>
          <w:tab w:val="clear" w:pos="9072"/>
        </w:tabs>
        <w:overflowPunct/>
        <w:autoSpaceDE/>
        <w:autoSpaceDN/>
        <w:jc w:val="right"/>
        <w:rPr>
          <w:rFonts w:eastAsia="宋体"/>
        </w:rPr>
      </w:pPr>
      <w:r w:rsidRPr="003B3259">
        <w:rPr>
          <w:rFonts w:eastAsia="宋体"/>
        </w:rPr>
        <w:t>[2019] HKDC 1088</w:t>
      </w:r>
    </w:p>
    <w:p w:rsidR="003B3259" w:rsidRPr="006172D9" w:rsidRDefault="003B3259" w:rsidP="003B3259">
      <w:pPr>
        <w:pStyle w:val="normal3"/>
        <w:tabs>
          <w:tab w:val="clear" w:pos="4320"/>
          <w:tab w:val="clear" w:pos="4500"/>
          <w:tab w:val="clear" w:pos="9000"/>
          <w:tab w:val="clear" w:pos="9072"/>
        </w:tabs>
        <w:overflowPunct/>
        <w:autoSpaceDE/>
        <w:autoSpaceDN/>
        <w:jc w:val="right"/>
        <w:rPr>
          <w:rFonts w:eastAsia="宋体"/>
        </w:rPr>
      </w:pPr>
    </w:p>
    <w:p w:rsidR="005E4F81" w:rsidRPr="006172D9" w:rsidRDefault="005E4F81" w:rsidP="002C0B1D">
      <w:pPr>
        <w:pStyle w:val="normal3"/>
        <w:tabs>
          <w:tab w:val="clear" w:pos="4320"/>
          <w:tab w:val="clear" w:pos="4500"/>
          <w:tab w:val="clear" w:pos="9000"/>
          <w:tab w:val="clear" w:pos="9072"/>
        </w:tabs>
        <w:overflowPunct/>
        <w:autoSpaceDE/>
        <w:autoSpaceDN/>
        <w:rPr>
          <w:rFonts w:eastAsia="宋体"/>
        </w:rPr>
        <w:sectPr w:rsidR="005E4F81" w:rsidRPr="006172D9"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6172D9" w:rsidRDefault="00F26B60" w:rsidP="002C0B1D">
      <w:pPr>
        <w:tabs>
          <w:tab w:val="clear" w:pos="4320"/>
          <w:tab w:val="clear" w:pos="9072"/>
        </w:tabs>
        <w:spacing w:line="360" w:lineRule="auto"/>
        <w:jc w:val="center"/>
        <w:rPr>
          <w:b/>
          <w:szCs w:val="26"/>
          <w:lang w:val="en-GB"/>
        </w:rPr>
      </w:pPr>
      <w:r w:rsidRPr="006172D9">
        <w:rPr>
          <w:b/>
          <w:szCs w:val="26"/>
          <w:lang w:val="en-GB"/>
        </w:rPr>
        <w:t>IN THE DISTRICT COURT OF THE</w:t>
      </w:r>
    </w:p>
    <w:p w:rsidR="00F26B60" w:rsidRPr="006172D9" w:rsidRDefault="00F26B60" w:rsidP="002C0B1D">
      <w:pPr>
        <w:pStyle w:val="Heading1"/>
        <w:snapToGrid w:val="0"/>
        <w:spacing w:before="0" w:after="0" w:line="360" w:lineRule="auto"/>
        <w:jc w:val="center"/>
        <w:rPr>
          <w:rFonts w:ascii="Times New Roman" w:hAnsi="Times New Roman"/>
          <w:szCs w:val="26"/>
        </w:rPr>
      </w:pPr>
      <w:r w:rsidRPr="006172D9">
        <w:rPr>
          <w:rFonts w:ascii="Times New Roman" w:hAnsi="Times New Roman"/>
          <w:szCs w:val="26"/>
        </w:rPr>
        <w:t>HONG KONG SPECIAL ADMINISTRATIVE REGION</w:t>
      </w:r>
    </w:p>
    <w:p w:rsidR="00F26B60" w:rsidRPr="008F69A9" w:rsidRDefault="00F26B60" w:rsidP="002C0B1D">
      <w:pPr>
        <w:tabs>
          <w:tab w:val="clear" w:pos="4320"/>
          <w:tab w:val="clear" w:pos="9072"/>
        </w:tabs>
        <w:spacing w:line="360" w:lineRule="auto"/>
        <w:jc w:val="center"/>
        <w:rPr>
          <w:rFonts w:eastAsiaTheme="minorEastAsia"/>
          <w:szCs w:val="26"/>
        </w:rPr>
      </w:pPr>
      <w:r w:rsidRPr="006172D9">
        <w:rPr>
          <w:szCs w:val="26"/>
          <w:lang w:val="en-GB"/>
        </w:rPr>
        <w:t>PERSONAL INJURIES ACTION NO</w:t>
      </w:r>
      <w:r w:rsidR="001A0F6D" w:rsidRPr="006172D9">
        <w:rPr>
          <w:szCs w:val="26"/>
          <w:lang w:val="en-GB"/>
        </w:rPr>
        <w:t>.</w:t>
      </w:r>
      <w:r w:rsidRPr="006172D9">
        <w:rPr>
          <w:szCs w:val="26"/>
          <w:lang w:val="en-GB"/>
        </w:rPr>
        <w:t xml:space="preserve"> </w:t>
      </w:r>
      <w:r w:rsidR="009738C8" w:rsidRPr="006172D9">
        <w:rPr>
          <w:szCs w:val="26"/>
          <w:lang w:val="en-GB"/>
        </w:rPr>
        <w:t>2179</w:t>
      </w:r>
      <w:r w:rsidRPr="006172D9">
        <w:rPr>
          <w:szCs w:val="26"/>
          <w:lang w:val="en-GB"/>
        </w:rPr>
        <w:t xml:space="preserve"> OF 20</w:t>
      </w:r>
      <w:r w:rsidR="005E4F81" w:rsidRPr="006172D9">
        <w:rPr>
          <w:szCs w:val="26"/>
          <w:lang w:val="en-GB"/>
        </w:rPr>
        <w:t>1</w:t>
      </w:r>
      <w:r w:rsidR="009738C8" w:rsidRPr="006172D9">
        <w:rPr>
          <w:szCs w:val="26"/>
          <w:lang w:val="en-GB"/>
        </w:rPr>
        <w:t>5</w:t>
      </w:r>
    </w:p>
    <w:p w:rsidR="005E4F81" w:rsidRPr="006172D9" w:rsidRDefault="00CB2483" w:rsidP="002C0B1D">
      <w:pPr>
        <w:tabs>
          <w:tab w:val="clear" w:pos="4320"/>
          <w:tab w:val="clear" w:pos="9072"/>
        </w:tabs>
        <w:spacing w:line="360" w:lineRule="auto"/>
        <w:jc w:val="center"/>
        <w:rPr>
          <w:szCs w:val="26"/>
          <w:lang w:val="en-GB"/>
        </w:rPr>
      </w:pPr>
      <w:r w:rsidRPr="006172D9">
        <w:rPr>
          <w:b/>
          <w:bCs/>
          <w:kern w:val="2"/>
          <w:lang w:val="en-GB"/>
        </w:rPr>
        <w:t>___________________________</w:t>
      </w:r>
    </w:p>
    <w:p w:rsidR="00CB2483" w:rsidRPr="006172D9" w:rsidRDefault="00CB2483" w:rsidP="00A8299F">
      <w:pPr>
        <w:tabs>
          <w:tab w:val="clear" w:pos="4320"/>
          <w:tab w:val="clear" w:pos="9072"/>
        </w:tabs>
        <w:spacing w:line="360" w:lineRule="auto"/>
        <w:rPr>
          <w:szCs w:val="26"/>
          <w:lang w:val="en-GB"/>
        </w:rPr>
      </w:pPr>
    </w:p>
    <w:p w:rsidR="00F26B60" w:rsidRPr="006172D9" w:rsidRDefault="00F26B60" w:rsidP="00A8299F">
      <w:pPr>
        <w:tabs>
          <w:tab w:val="clear" w:pos="4320"/>
          <w:tab w:val="clear" w:pos="9072"/>
        </w:tabs>
        <w:spacing w:line="360" w:lineRule="auto"/>
        <w:rPr>
          <w:szCs w:val="26"/>
          <w:lang w:val="en-GB"/>
        </w:rPr>
      </w:pPr>
      <w:r w:rsidRPr="006172D9">
        <w:rPr>
          <w:szCs w:val="26"/>
          <w:lang w:val="en-GB"/>
        </w:rPr>
        <w:t>BETWEEN</w:t>
      </w:r>
    </w:p>
    <w:p w:rsidR="00F26B60" w:rsidRPr="006172D9" w:rsidRDefault="00F26B60" w:rsidP="00A8299F">
      <w:pPr>
        <w:tabs>
          <w:tab w:val="clear" w:pos="1440"/>
          <w:tab w:val="clear" w:pos="4320"/>
          <w:tab w:val="clear" w:pos="9072"/>
          <w:tab w:val="center" w:pos="4050"/>
          <w:tab w:val="right" w:pos="8280"/>
        </w:tabs>
        <w:spacing w:line="360" w:lineRule="auto"/>
        <w:ind w:right="-36"/>
        <w:rPr>
          <w:szCs w:val="26"/>
          <w:lang w:val="en-GB"/>
        </w:rPr>
      </w:pPr>
      <w:r w:rsidRPr="006172D9">
        <w:rPr>
          <w:szCs w:val="26"/>
          <w:lang w:val="en-GB"/>
        </w:rPr>
        <w:tab/>
      </w:r>
      <w:r w:rsidR="009738C8" w:rsidRPr="006172D9">
        <w:rPr>
          <w:szCs w:val="26"/>
          <w:lang w:val="en-GB"/>
        </w:rPr>
        <w:t>NG YUEK LANG SOPHIA</w:t>
      </w:r>
      <w:r w:rsidRPr="006172D9">
        <w:rPr>
          <w:szCs w:val="26"/>
          <w:lang w:val="en-GB"/>
        </w:rPr>
        <w:tab/>
      </w:r>
      <w:r w:rsidR="005B2D79" w:rsidRPr="006172D9">
        <w:rPr>
          <w:szCs w:val="26"/>
          <w:lang w:val="en-GB"/>
        </w:rPr>
        <w:t>P</w:t>
      </w:r>
      <w:r w:rsidR="005B2D79" w:rsidRPr="006172D9">
        <w:rPr>
          <w:rFonts w:eastAsia="PMingLiU"/>
          <w:szCs w:val="26"/>
          <w:lang w:val="en-GB" w:eastAsia="zh-TW"/>
        </w:rPr>
        <w:t>laintiff</w:t>
      </w:r>
    </w:p>
    <w:p w:rsidR="00B41A5F" w:rsidRPr="006172D9" w:rsidRDefault="00B41A5F" w:rsidP="00A8299F">
      <w:pPr>
        <w:tabs>
          <w:tab w:val="clear" w:pos="1440"/>
          <w:tab w:val="clear" w:pos="4320"/>
          <w:tab w:val="clear" w:pos="9072"/>
          <w:tab w:val="center" w:pos="4050"/>
          <w:tab w:val="right" w:pos="8280"/>
        </w:tabs>
        <w:spacing w:line="360" w:lineRule="auto"/>
        <w:ind w:right="-29"/>
        <w:jc w:val="center"/>
        <w:rPr>
          <w:szCs w:val="26"/>
          <w:lang w:val="en-GB"/>
        </w:rPr>
      </w:pPr>
      <w:r w:rsidRPr="006172D9">
        <w:rPr>
          <w:szCs w:val="26"/>
          <w:lang w:val="en-GB"/>
        </w:rPr>
        <w:t>and</w:t>
      </w:r>
    </w:p>
    <w:p w:rsidR="005F0579" w:rsidRPr="006172D9" w:rsidRDefault="00B55F95" w:rsidP="009738C8">
      <w:pPr>
        <w:tabs>
          <w:tab w:val="clear" w:pos="1440"/>
          <w:tab w:val="clear" w:pos="4320"/>
          <w:tab w:val="clear" w:pos="9072"/>
          <w:tab w:val="center" w:pos="4050"/>
          <w:tab w:val="right" w:pos="8280"/>
        </w:tabs>
        <w:rPr>
          <w:szCs w:val="26"/>
          <w:lang w:val="en-GB"/>
        </w:rPr>
      </w:pPr>
      <w:r w:rsidRPr="006172D9">
        <w:rPr>
          <w:szCs w:val="26"/>
          <w:lang w:val="en-GB"/>
        </w:rPr>
        <w:tab/>
      </w:r>
      <w:r w:rsidR="009738C8" w:rsidRPr="006172D9">
        <w:rPr>
          <w:szCs w:val="26"/>
          <w:lang w:val="en-GB"/>
        </w:rPr>
        <w:t>CHIU KING WA</w:t>
      </w:r>
      <w:r w:rsidR="00B41A5F" w:rsidRPr="006172D9">
        <w:rPr>
          <w:lang w:val="en-GB"/>
        </w:rPr>
        <w:tab/>
      </w:r>
      <w:r w:rsidR="005B2D79" w:rsidRPr="006172D9">
        <w:rPr>
          <w:lang w:val="en-GB"/>
        </w:rPr>
        <w:t>D</w:t>
      </w:r>
      <w:r w:rsidR="005B2D79" w:rsidRPr="006172D9">
        <w:rPr>
          <w:szCs w:val="26"/>
          <w:lang w:val="en-GB"/>
        </w:rPr>
        <w:t>efendant</w:t>
      </w:r>
    </w:p>
    <w:p w:rsidR="00495BDE" w:rsidRPr="006172D9" w:rsidRDefault="00495BDE" w:rsidP="001C2BFE">
      <w:pPr>
        <w:tabs>
          <w:tab w:val="clear" w:pos="4320"/>
          <w:tab w:val="clear" w:pos="9072"/>
          <w:tab w:val="left" w:pos="6930"/>
        </w:tabs>
        <w:spacing w:line="360" w:lineRule="auto"/>
        <w:jc w:val="center"/>
        <w:rPr>
          <w:b/>
          <w:bCs/>
          <w:kern w:val="2"/>
          <w:lang w:val="en-GB"/>
        </w:rPr>
      </w:pPr>
    </w:p>
    <w:p w:rsidR="005E4F81" w:rsidRPr="006172D9" w:rsidRDefault="00CB2483" w:rsidP="001C2BFE">
      <w:pPr>
        <w:tabs>
          <w:tab w:val="clear" w:pos="4320"/>
          <w:tab w:val="clear" w:pos="9072"/>
          <w:tab w:val="left" w:pos="6930"/>
        </w:tabs>
        <w:spacing w:line="360" w:lineRule="auto"/>
        <w:jc w:val="center"/>
        <w:rPr>
          <w:szCs w:val="26"/>
          <w:lang w:val="en-GB"/>
        </w:rPr>
      </w:pPr>
      <w:r w:rsidRPr="006172D9">
        <w:rPr>
          <w:b/>
          <w:bCs/>
          <w:kern w:val="2"/>
          <w:lang w:val="en-GB"/>
        </w:rPr>
        <w:t>___________________________</w:t>
      </w:r>
    </w:p>
    <w:p w:rsidR="00A8299F" w:rsidRPr="006172D9" w:rsidRDefault="00A8299F" w:rsidP="00A8299F">
      <w:pPr>
        <w:tabs>
          <w:tab w:val="right" w:pos="8100"/>
        </w:tabs>
        <w:rPr>
          <w:lang w:val="en-GB"/>
        </w:rPr>
      </w:pPr>
    </w:p>
    <w:p w:rsidR="00A8299F" w:rsidRPr="006172D9" w:rsidRDefault="00A8299F" w:rsidP="00A8299F">
      <w:pPr>
        <w:tabs>
          <w:tab w:val="clear" w:pos="1440"/>
          <w:tab w:val="clear" w:pos="4320"/>
          <w:tab w:val="clear" w:pos="9072"/>
        </w:tabs>
        <w:spacing w:line="360" w:lineRule="auto"/>
        <w:jc w:val="both"/>
        <w:rPr>
          <w:lang w:val="en-GB"/>
        </w:rPr>
      </w:pPr>
      <w:r w:rsidRPr="006172D9">
        <w:rPr>
          <w:lang w:val="en-GB"/>
        </w:rPr>
        <w:t xml:space="preserve">Before:  </w:t>
      </w:r>
      <w:r w:rsidR="001C2BFE" w:rsidRPr="006172D9">
        <w:rPr>
          <w:lang w:val="en-GB"/>
        </w:rPr>
        <w:t xml:space="preserve">His Honour </w:t>
      </w:r>
      <w:bookmarkStart w:id="0" w:name="_GoBack"/>
      <w:r w:rsidR="001C2BFE" w:rsidRPr="006172D9">
        <w:rPr>
          <w:lang w:val="en-GB"/>
        </w:rPr>
        <w:t xml:space="preserve">Judge </w:t>
      </w:r>
      <w:r w:rsidR="009738C8" w:rsidRPr="006172D9">
        <w:rPr>
          <w:lang w:val="en-GB"/>
        </w:rPr>
        <w:t>Edmond Lee</w:t>
      </w:r>
      <w:r w:rsidR="001C2BFE" w:rsidRPr="006172D9">
        <w:rPr>
          <w:lang w:val="en-GB"/>
        </w:rPr>
        <w:t xml:space="preserve"> </w:t>
      </w:r>
      <w:bookmarkEnd w:id="0"/>
      <w:r w:rsidRPr="006172D9">
        <w:rPr>
          <w:lang w:val="en-GB"/>
        </w:rPr>
        <w:t xml:space="preserve">in </w:t>
      </w:r>
      <w:r w:rsidR="005451AD">
        <w:rPr>
          <w:lang w:val="en-GB"/>
        </w:rPr>
        <w:t>Chambers</w:t>
      </w:r>
      <w:r w:rsidRPr="006172D9">
        <w:rPr>
          <w:lang w:val="en-GB"/>
        </w:rPr>
        <w:t xml:space="preserve"> </w:t>
      </w:r>
    </w:p>
    <w:p w:rsidR="00A8299F" w:rsidRPr="006172D9" w:rsidRDefault="00A8299F" w:rsidP="00A8299F">
      <w:pPr>
        <w:tabs>
          <w:tab w:val="left" w:pos="2100"/>
          <w:tab w:val="left" w:pos="2380"/>
          <w:tab w:val="right" w:pos="8100"/>
        </w:tabs>
        <w:spacing w:line="360" w:lineRule="auto"/>
        <w:rPr>
          <w:lang w:val="en-GB"/>
        </w:rPr>
      </w:pPr>
      <w:r w:rsidRPr="006172D9">
        <w:rPr>
          <w:lang w:val="en-GB"/>
        </w:rPr>
        <w:t>Date</w:t>
      </w:r>
      <w:r w:rsidR="00651999">
        <w:rPr>
          <w:lang w:val="en-GB"/>
        </w:rPr>
        <w:t>s</w:t>
      </w:r>
      <w:r w:rsidRPr="006172D9">
        <w:rPr>
          <w:lang w:val="en-GB"/>
        </w:rPr>
        <w:t xml:space="preserve"> of </w:t>
      </w:r>
      <w:r w:rsidR="00311852">
        <w:rPr>
          <w:lang w:val="en-GB"/>
        </w:rPr>
        <w:t>Written Submissions</w:t>
      </w:r>
      <w:r w:rsidRPr="006172D9">
        <w:rPr>
          <w:lang w:val="en-GB"/>
        </w:rPr>
        <w:t xml:space="preserve">:  </w:t>
      </w:r>
      <w:r w:rsidR="006E6506">
        <w:rPr>
          <w:lang w:val="en-GB"/>
        </w:rPr>
        <w:t>14, 23 and</w:t>
      </w:r>
      <w:r w:rsidR="004B0A8B">
        <w:rPr>
          <w:lang w:val="en-GB"/>
        </w:rPr>
        <w:t xml:space="preserve"> 25 April 2019</w:t>
      </w:r>
    </w:p>
    <w:p w:rsidR="00A8299F" w:rsidRPr="006172D9"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rPr>
      </w:pPr>
      <w:r w:rsidRPr="006172D9">
        <w:rPr>
          <w:rFonts w:eastAsia="宋体"/>
        </w:rPr>
        <w:t xml:space="preserve">Date of </w:t>
      </w:r>
      <w:r w:rsidR="000743F5">
        <w:rPr>
          <w:rFonts w:eastAsia="宋体"/>
        </w:rPr>
        <w:t>Decision</w:t>
      </w:r>
      <w:r w:rsidRPr="006172D9">
        <w:rPr>
          <w:rFonts w:eastAsia="宋体"/>
        </w:rPr>
        <w:t xml:space="preserve">:  </w:t>
      </w:r>
      <w:r w:rsidR="00AB62BA">
        <w:rPr>
          <w:rFonts w:eastAsia="宋体"/>
        </w:rPr>
        <w:t>13 August 2019</w:t>
      </w:r>
    </w:p>
    <w:p w:rsidR="002F75ED" w:rsidRPr="006172D9" w:rsidRDefault="002F75ED" w:rsidP="002C0B1D">
      <w:pPr>
        <w:tabs>
          <w:tab w:val="clear" w:pos="4320"/>
          <w:tab w:val="clear" w:pos="9072"/>
        </w:tabs>
        <w:spacing w:line="360" w:lineRule="auto"/>
        <w:jc w:val="center"/>
        <w:rPr>
          <w:b/>
          <w:bCs/>
          <w:kern w:val="2"/>
          <w:lang w:val="en-GB"/>
        </w:rPr>
      </w:pPr>
      <w:r w:rsidRPr="006172D9">
        <w:rPr>
          <w:b/>
          <w:bCs/>
          <w:kern w:val="2"/>
          <w:lang w:val="en-GB"/>
        </w:rPr>
        <w:t>___________________________</w:t>
      </w:r>
    </w:p>
    <w:p w:rsidR="006347B6" w:rsidRPr="006172D9" w:rsidRDefault="006347B6" w:rsidP="002C0B1D">
      <w:pPr>
        <w:tabs>
          <w:tab w:val="clear" w:pos="4320"/>
          <w:tab w:val="clear" w:pos="9072"/>
        </w:tabs>
        <w:spacing w:line="360" w:lineRule="auto"/>
        <w:jc w:val="center"/>
        <w:rPr>
          <w:szCs w:val="26"/>
          <w:lang w:val="en-GB"/>
        </w:rPr>
      </w:pPr>
    </w:p>
    <w:p w:rsidR="005E4F81" w:rsidRPr="006172D9" w:rsidRDefault="00CD39E2" w:rsidP="002C0B1D">
      <w:pPr>
        <w:tabs>
          <w:tab w:val="clear" w:pos="4320"/>
          <w:tab w:val="clear" w:pos="9072"/>
        </w:tabs>
        <w:spacing w:line="360" w:lineRule="auto"/>
        <w:jc w:val="center"/>
        <w:rPr>
          <w:szCs w:val="26"/>
          <w:lang w:val="en-GB"/>
        </w:rPr>
      </w:pPr>
      <w:r>
        <w:rPr>
          <w:szCs w:val="26"/>
          <w:lang w:val="en-GB"/>
        </w:rPr>
        <w:t>DECISION ON COSTS</w:t>
      </w:r>
    </w:p>
    <w:p w:rsidR="00B55F95" w:rsidRPr="006172D9" w:rsidRDefault="002F75ED" w:rsidP="002F75ED">
      <w:pPr>
        <w:tabs>
          <w:tab w:val="clear" w:pos="4320"/>
          <w:tab w:val="clear" w:pos="9072"/>
        </w:tabs>
        <w:spacing w:line="360" w:lineRule="auto"/>
        <w:jc w:val="center"/>
        <w:rPr>
          <w:rFonts w:eastAsia="PMingLiU"/>
          <w:bCs/>
          <w:lang w:val="en-GB"/>
        </w:rPr>
      </w:pPr>
      <w:r w:rsidRPr="006172D9">
        <w:rPr>
          <w:b/>
          <w:bCs/>
          <w:kern w:val="2"/>
          <w:lang w:val="en-GB"/>
        </w:rPr>
        <w:t>___________________________</w:t>
      </w:r>
    </w:p>
    <w:p w:rsidR="0015077B" w:rsidRDefault="0015077B" w:rsidP="0015077B">
      <w:pPr>
        <w:tabs>
          <w:tab w:val="clear" w:pos="1440"/>
          <w:tab w:val="clear" w:pos="4320"/>
        </w:tabs>
        <w:spacing w:line="360" w:lineRule="auto"/>
        <w:jc w:val="both"/>
        <w:rPr>
          <w:i/>
        </w:rPr>
      </w:pPr>
      <w:r>
        <w:rPr>
          <w:i/>
        </w:rPr>
        <w:t>Introduction</w:t>
      </w:r>
    </w:p>
    <w:p w:rsidR="00D66193" w:rsidRPr="006172D9" w:rsidRDefault="00D66193" w:rsidP="004C5D84">
      <w:pPr>
        <w:pStyle w:val="ListParagraph"/>
        <w:spacing w:line="360" w:lineRule="auto"/>
        <w:ind w:left="0"/>
        <w:jc w:val="both"/>
        <w:rPr>
          <w:rFonts w:eastAsia="等线"/>
          <w:lang w:val="en-GB" w:eastAsia="zh-HK"/>
        </w:rPr>
      </w:pPr>
    </w:p>
    <w:p w:rsidR="00D66193" w:rsidRPr="006172D9" w:rsidRDefault="000C0A9B"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 xml:space="preserve">These are two applications by the plaintiff and the defendant respectively for variation of a costs order </w:t>
      </w:r>
      <w:r>
        <w:rPr>
          <w:i/>
        </w:rPr>
        <w:t>nisi</w:t>
      </w:r>
      <w:r w:rsidR="00D66193" w:rsidRPr="006172D9">
        <w:rPr>
          <w:lang w:val="en-GB" w:eastAsia="zh-HK"/>
        </w:rPr>
        <w:t xml:space="preserve">. </w:t>
      </w:r>
    </w:p>
    <w:p w:rsidR="00D66193" w:rsidRPr="006172D9" w:rsidRDefault="00D66193" w:rsidP="004C5D84">
      <w:pPr>
        <w:spacing w:line="360" w:lineRule="auto"/>
        <w:jc w:val="both"/>
        <w:rPr>
          <w:rFonts w:eastAsia="DFKai-SB"/>
          <w:lang w:val="en-GB" w:eastAsia="zh-HK"/>
        </w:rPr>
      </w:pPr>
    </w:p>
    <w:p w:rsidR="00D66193" w:rsidRPr="006172D9" w:rsidRDefault="000C0A9B"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 xml:space="preserve">This was originally a case of traffic accident.  The plaintiff as a passenger in a taxi sustained personal injuries as a result of the bad </w:t>
      </w:r>
      <w:r>
        <w:lastRenderedPageBreak/>
        <w:t>driving of the defendant as the driver of a private car responsible for the accident.  Judgement on liability for the plaintiff was entered by consent whereas the quantum of damages was disputed.  After a two-day-hearing and by a judgment on assessment of damages handed down on 11 January 2019, I awarded damages for the plaintiff as follows:</w:t>
      </w:r>
    </w:p>
    <w:p w:rsidR="00D66193" w:rsidRDefault="00D66193" w:rsidP="004C5D84">
      <w:pPr>
        <w:pStyle w:val="ListParagraph"/>
        <w:spacing w:line="360" w:lineRule="auto"/>
        <w:ind w:left="0"/>
        <w:jc w:val="both"/>
        <w:rPr>
          <w:lang w:val="en-GB" w:eastAsia="zh-HK"/>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20"/>
        <w:gridCol w:w="2180"/>
        <w:gridCol w:w="1828"/>
      </w:tblGrid>
      <w:tr w:rsidR="000C0A9B" w:rsidRPr="00636F60" w:rsidTr="004614CB">
        <w:tc>
          <w:tcPr>
            <w:tcW w:w="2610" w:type="dxa"/>
            <w:shd w:val="clear" w:color="auto" w:fill="auto"/>
          </w:tcPr>
          <w:p w:rsidR="000C0A9B" w:rsidRPr="00B53223" w:rsidRDefault="000C0A9B" w:rsidP="004614CB">
            <w:pPr>
              <w:tabs>
                <w:tab w:val="left" w:pos="-145"/>
              </w:tabs>
              <w:spacing w:line="360" w:lineRule="auto"/>
              <w:jc w:val="both"/>
              <w:rPr>
                <w:rFonts w:eastAsia="DFKai-SB"/>
                <w:sz w:val="24"/>
                <w:szCs w:val="24"/>
                <w:lang w:val="en-GB"/>
              </w:rPr>
            </w:pPr>
          </w:p>
        </w:tc>
        <w:tc>
          <w:tcPr>
            <w:tcW w:w="2220" w:type="dxa"/>
            <w:shd w:val="clear" w:color="auto" w:fill="auto"/>
          </w:tcPr>
          <w:p w:rsidR="000C0A9B" w:rsidRPr="00B53223" w:rsidRDefault="000C0A9B" w:rsidP="004614CB">
            <w:pPr>
              <w:tabs>
                <w:tab w:val="left" w:pos="565"/>
              </w:tabs>
              <w:spacing w:line="360" w:lineRule="auto"/>
              <w:jc w:val="both"/>
              <w:rPr>
                <w:rFonts w:eastAsia="DFKai-SB"/>
                <w:b/>
                <w:sz w:val="24"/>
                <w:szCs w:val="24"/>
                <w:lang w:val="en-GB"/>
              </w:rPr>
            </w:pPr>
            <w:r w:rsidRPr="00636F60">
              <w:rPr>
                <w:rFonts w:eastAsia="DFKai-SB"/>
                <w:b/>
                <w:sz w:val="24"/>
                <w:szCs w:val="24"/>
                <w:lang w:val="en-GB"/>
              </w:rPr>
              <w:t>P</w:t>
            </w:r>
            <w:r w:rsidRPr="00B53223">
              <w:rPr>
                <w:rFonts w:eastAsia="DFKai-SB"/>
                <w:b/>
                <w:sz w:val="24"/>
                <w:szCs w:val="24"/>
                <w:lang w:val="en-GB"/>
              </w:rPr>
              <w:t>laintiff</w:t>
            </w:r>
            <w:r>
              <w:rPr>
                <w:rFonts w:eastAsia="DFKai-SB"/>
                <w:b/>
                <w:sz w:val="24"/>
                <w:szCs w:val="24"/>
                <w:lang w:val="en-GB"/>
              </w:rPr>
              <w:t>’s Claim</w:t>
            </w:r>
            <w:r w:rsidRPr="00B53223">
              <w:rPr>
                <w:rFonts w:eastAsia="DFKai-SB"/>
                <w:b/>
                <w:sz w:val="24"/>
                <w:szCs w:val="24"/>
                <w:lang w:val="en-GB"/>
              </w:rPr>
              <w:t xml:space="preserve"> (HK$)</w:t>
            </w:r>
          </w:p>
        </w:tc>
        <w:tc>
          <w:tcPr>
            <w:tcW w:w="2180" w:type="dxa"/>
            <w:shd w:val="clear" w:color="auto" w:fill="auto"/>
          </w:tcPr>
          <w:p w:rsidR="000C0A9B" w:rsidRPr="00B53223" w:rsidRDefault="000C0A9B" w:rsidP="004614CB">
            <w:pPr>
              <w:tabs>
                <w:tab w:val="left" w:pos="373"/>
              </w:tabs>
              <w:spacing w:line="360" w:lineRule="auto"/>
              <w:jc w:val="both"/>
              <w:rPr>
                <w:rFonts w:eastAsia="DFKai-SB"/>
                <w:b/>
                <w:sz w:val="24"/>
                <w:szCs w:val="24"/>
                <w:lang w:val="en-GB"/>
              </w:rPr>
            </w:pPr>
            <w:r w:rsidRPr="00636F60">
              <w:rPr>
                <w:rFonts w:eastAsia="DFKai-SB"/>
                <w:b/>
                <w:sz w:val="24"/>
                <w:szCs w:val="24"/>
                <w:lang w:val="en-GB"/>
              </w:rPr>
              <w:t>D</w:t>
            </w:r>
            <w:r w:rsidRPr="00B53223">
              <w:rPr>
                <w:rFonts w:eastAsia="DFKai-SB"/>
                <w:b/>
                <w:sz w:val="24"/>
                <w:szCs w:val="24"/>
                <w:lang w:val="en-GB"/>
              </w:rPr>
              <w:t>efendant</w:t>
            </w:r>
            <w:r>
              <w:rPr>
                <w:rFonts w:eastAsia="DFKai-SB"/>
                <w:b/>
                <w:sz w:val="24"/>
                <w:szCs w:val="24"/>
                <w:lang w:val="en-GB"/>
              </w:rPr>
              <w:t>’s Reply</w:t>
            </w:r>
            <w:r w:rsidRPr="00B53223">
              <w:rPr>
                <w:rFonts w:eastAsia="DFKai-SB"/>
                <w:b/>
                <w:sz w:val="24"/>
                <w:szCs w:val="24"/>
                <w:lang w:val="en-GB"/>
              </w:rPr>
              <w:t xml:space="preserve"> </w:t>
            </w:r>
            <w:r w:rsidRPr="00636F60">
              <w:rPr>
                <w:rFonts w:eastAsia="DFKai-SB"/>
                <w:b/>
                <w:sz w:val="24"/>
                <w:szCs w:val="24"/>
                <w:lang w:val="en-GB"/>
              </w:rPr>
              <w:t>(</w:t>
            </w:r>
            <w:r w:rsidRPr="00B53223">
              <w:rPr>
                <w:rFonts w:eastAsia="DFKai-SB"/>
                <w:b/>
                <w:sz w:val="24"/>
                <w:szCs w:val="24"/>
                <w:lang w:val="en-GB"/>
              </w:rPr>
              <w:t>HK$)</w:t>
            </w:r>
          </w:p>
        </w:tc>
        <w:tc>
          <w:tcPr>
            <w:tcW w:w="1828" w:type="dxa"/>
          </w:tcPr>
          <w:p w:rsidR="000C0A9B" w:rsidRDefault="000C0A9B" w:rsidP="004614CB">
            <w:pPr>
              <w:tabs>
                <w:tab w:val="left" w:pos="373"/>
              </w:tabs>
              <w:spacing w:line="360" w:lineRule="auto"/>
              <w:jc w:val="both"/>
              <w:rPr>
                <w:rFonts w:eastAsia="DFKai-SB"/>
                <w:b/>
                <w:sz w:val="24"/>
                <w:szCs w:val="24"/>
                <w:lang w:val="en-GB"/>
              </w:rPr>
            </w:pPr>
            <w:r w:rsidRPr="00636F60">
              <w:rPr>
                <w:rFonts w:eastAsia="DFKai-SB"/>
                <w:b/>
                <w:sz w:val="24"/>
                <w:szCs w:val="24"/>
                <w:lang w:val="en-GB"/>
              </w:rPr>
              <w:t xml:space="preserve">My </w:t>
            </w:r>
            <w:r>
              <w:rPr>
                <w:rFonts w:eastAsia="DFKai-SB"/>
                <w:b/>
                <w:sz w:val="24"/>
                <w:szCs w:val="24"/>
                <w:lang w:val="en-GB"/>
              </w:rPr>
              <w:t>A</w:t>
            </w:r>
            <w:r w:rsidRPr="00636F60">
              <w:rPr>
                <w:rFonts w:eastAsia="DFKai-SB"/>
                <w:b/>
                <w:sz w:val="24"/>
                <w:szCs w:val="24"/>
                <w:lang w:val="en-GB"/>
              </w:rPr>
              <w:t>ssessment</w:t>
            </w:r>
            <w:r>
              <w:rPr>
                <w:rFonts w:eastAsia="DFKai-SB"/>
                <w:b/>
                <w:sz w:val="24"/>
                <w:szCs w:val="24"/>
                <w:lang w:val="en-GB"/>
              </w:rPr>
              <w:t xml:space="preserve"> </w:t>
            </w:r>
          </w:p>
          <w:p w:rsidR="000C0A9B" w:rsidRPr="00636F60" w:rsidRDefault="000C0A9B" w:rsidP="004614CB">
            <w:pPr>
              <w:tabs>
                <w:tab w:val="left" w:pos="373"/>
              </w:tabs>
              <w:spacing w:line="360" w:lineRule="auto"/>
              <w:jc w:val="both"/>
              <w:rPr>
                <w:rFonts w:eastAsia="DFKai-SB"/>
                <w:b/>
                <w:sz w:val="24"/>
                <w:szCs w:val="24"/>
                <w:lang w:val="en-GB"/>
              </w:rPr>
            </w:pPr>
            <w:r>
              <w:rPr>
                <w:rFonts w:eastAsia="DFKai-SB"/>
                <w:b/>
                <w:sz w:val="24"/>
                <w:szCs w:val="24"/>
                <w:lang w:val="en-GB"/>
              </w:rPr>
              <w:t>(HK$)</w:t>
            </w:r>
          </w:p>
        </w:tc>
      </w:tr>
      <w:tr w:rsidR="000C0A9B" w:rsidRPr="00636F60" w:rsidTr="004614CB">
        <w:tc>
          <w:tcPr>
            <w:tcW w:w="2610" w:type="dxa"/>
            <w:shd w:val="clear" w:color="auto" w:fill="auto"/>
          </w:tcPr>
          <w:p w:rsidR="000C0A9B" w:rsidRPr="00B53223" w:rsidRDefault="000C0A9B" w:rsidP="004614CB">
            <w:pPr>
              <w:tabs>
                <w:tab w:val="left" w:pos="-145"/>
              </w:tabs>
              <w:spacing w:line="360" w:lineRule="auto"/>
              <w:jc w:val="both"/>
              <w:rPr>
                <w:rFonts w:eastAsia="DFKai-SB"/>
                <w:sz w:val="24"/>
                <w:szCs w:val="24"/>
                <w:lang w:val="en-GB"/>
              </w:rPr>
            </w:pPr>
            <w:r w:rsidRPr="00B53223">
              <w:rPr>
                <w:rFonts w:eastAsia="DFKai-SB"/>
                <w:sz w:val="24"/>
                <w:szCs w:val="24"/>
                <w:lang w:val="en-GB"/>
              </w:rPr>
              <w:t>PSLA</w:t>
            </w:r>
          </w:p>
        </w:tc>
        <w:tc>
          <w:tcPr>
            <w:tcW w:w="2220" w:type="dxa"/>
            <w:shd w:val="clear" w:color="auto" w:fill="auto"/>
          </w:tcPr>
          <w:p w:rsidR="000C0A9B" w:rsidRPr="00B53223" w:rsidRDefault="000C0A9B" w:rsidP="004614CB">
            <w:pPr>
              <w:tabs>
                <w:tab w:val="left" w:pos="433"/>
              </w:tabs>
              <w:spacing w:line="360" w:lineRule="auto"/>
              <w:jc w:val="both"/>
              <w:rPr>
                <w:rFonts w:eastAsia="DFKai-SB"/>
                <w:sz w:val="24"/>
                <w:szCs w:val="24"/>
                <w:lang w:val="en-GB"/>
              </w:rPr>
            </w:pPr>
            <w:r w:rsidRPr="00B53223">
              <w:rPr>
                <w:rFonts w:eastAsia="DFKai-SB"/>
                <w:sz w:val="24"/>
                <w:szCs w:val="24"/>
                <w:lang w:val="en-GB"/>
              </w:rPr>
              <w:t>450,000</w:t>
            </w:r>
          </w:p>
        </w:tc>
        <w:tc>
          <w:tcPr>
            <w:tcW w:w="2180" w:type="dxa"/>
            <w:shd w:val="clear" w:color="auto" w:fill="auto"/>
          </w:tcPr>
          <w:p w:rsidR="000C0A9B" w:rsidRPr="00B53223" w:rsidRDefault="000C0A9B" w:rsidP="004614CB">
            <w:pPr>
              <w:tabs>
                <w:tab w:val="left" w:pos="373"/>
              </w:tabs>
              <w:spacing w:line="360" w:lineRule="auto"/>
              <w:jc w:val="both"/>
              <w:rPr>
                <w:rFonts w:eastAsia="DFKai-SB"/>
                <w:sz w:val="24"/>
                <w:szCs w:val="24"/>
                <w:lang w:val="en-GB"/>
              </w:rPr>
            </w:pPr>
            <w:r w:rsidRPr="00B53223">
              <w:rPr>
                <w:rFonts w:eastAsia="DFKai-SB"/>
                <w:sz w:val="24"/>
                <w:szCs w:val="24"/>
                <w:lang w:val="en-GB"/>
              </w:rPr>
              <w:t>80,000 - 100,000</w:t>
            </w:r>
          </w:p>
        </w:tc>
        <w:tc>
          <w:tcPr>
            <w:tcW w:w="1828" w:type="dxa"/>
          </w:tcPr>
          <w:p w:rsidR="000C0A9B" w:rsidRPr="00636F60" w:rsidRDefault="000C0A9B" w:rsidP="004614CB">
            <w:pPr>
              <w:tabs>
                <w:tab w:val="left" w:pos="373"/>
              </w:tabs>
              <w:spacing w:line="360" w:lineRule="auto"/>
              <w:rPr>
                <w:rFonts w:eastAsia="DFKai-SB"/>
                <w:sz w:val="24"/>
                <w:szCs w:val="24"/>
                <w:lang w:val="en-GB"/>
              </w:rPr>
            </w:pPr>
            <w:r>
              <w:rPr>
                <w:rFonts w:eastAsia="DFKai-SB"/>
                <w:sz w:val="24"/>
                <w:szCs w:val="24"/>
                <w:lang w:val="en-GB"/>
              </w:rPr>
              <w:t>250,000</w:t>
            </w:r>
          </w:p>
        </w:tc>
      </w:tr>
      <w:tr w:rsidR="000C0A9B" w:rsidRPr="00636F60" w:rsidTr="004614CB">
        <w:tc>
          <w:tcPr>
            <w:tcW w:w="2610" w:type="dxa"/>
            <w:shd w:val="clear" w:color="auto" w:fill="auto"/>
          </w:tcPr>
          <w:p w:rsidR="000C0A9B" w:rsidRPr="00B53223" w:rsidRDefault="000C0A9B" w:rsidP="004614CB">
            <w:pPr>
              <w:tabs>
                <w:tab w:val="left" w:pos="-145"/>
              </w:tabs>
              <w:spacing w:line="360" w:lineRule="auto"/>
              <w:jc w:val="both"/>
              <w:rPr>
                <w:rFonts w:eastAsia="DFKai-SB"/>
                <w:sz w:val="24"/>
                <w:szCs w:val="24"/>
                <w:lang w:val="en-GB"/>
              </w:rPr>
            </w:pPr>
            <w:r w:rsidRPr="00B53223">
              <w:rPr>
                <w:rFonts w:eastAsia="DFKai-SB"/>
                <w:sz w:val="24"/>
                <w:szCs w:val="24"/>
                <w:lang w:val="en-GB"/>
              </w:rPr>
              <w:t>Loss of Earning Capacity</w:t>
            </w:r>
          </w:p>
        </w:tc>
        <w:tc>
          <w:tcPr>
            <w:tcW w:w="2220" w:type="dxa"/>
            <w:shd w:val="clear" w:color="auto" w:fill="auto"/>
          </w:tcPr>
          <w:p w:rsidR="000C0A9B" w:rsidRPr="00B53223" w:rsidRDefault="000C0A9B" w:rsidP="004614CB">
            <w:pPr>
              <w:tabs>
                <w:tab w:val="left" w:pos="433"/>
              </w:tabs>
              <w:spacing w:line="360" w:lineRule="auto"/>
              <w:jc w:val="both"/>
              <w:rPr>
                <w:rFonts w:eastAsia="DFKai-SB"/>
                <w:sz w:val="24"/>
                <w:szCs w:val="24"/>
                <w:lang w:val="en-GB"/>
              </w:rPr>
            </w:pPr>
            <w:r w:rsidRPr="00B53223">
              <w:rPr>
                <w:rFonts w:eastAsia="DFKai-SB"/>
                <w:sz w:val="24"/>
                <w:szCs w:val="24"/>
                <w:lang w:val="en-GB"/>
              </w:rPr>
              <w:t>150,000</w:t>
            </w:r>
          </w:p>
        </w:tc>
        <w:tc>
          <w:tcPr>
            <w:tcW w:w="2180" w:type="dxa"/>
            <w:shd w:val="clear" w:color="auto" w:fill="auto"/>
          </w:tcPr>
          <w:p w:rsidR="000C0A9B" w:rsidRPr="00B53223" w:rsidRDefault="000C0A9B" w:rsidP="004614CB">
            <w:pPr>
              <w:tabs>
                <w:tab w:val="left" w:pos="373"/>
              </w:tabs>
              <w:spacing w:line="360" w:lineRule="auto"/>
              <w:jc w:val="both"/>
              <w:rPr>
                <w:rFonts w:eastAsia="DFKai-SB"/>
                <w:sz w:val="24"/>
                <w:szCs w:val="24"/>
                <w:lang w:val="en-GB"/>
              </w:rPr>
            </w:pPr>
            <w:r w:rsidRPr="00B53223">
              <w:rPr>
                <w:rFonts w:eastAsia="DFKai-SB"/>
                <w:sz w:val="24"/>
                <w:szCs w:val="24"/>
                <w:lang w:val="en-GB"/>
              </w:rPr>
              <w:t>Nil</w:t>
            </w:r>
          </w:p>
        </w:tc>
        <w:tc>
          <w:tcPr>
            <w:tcW w:w="1828" w:type="dxa"/>
          </w:tcPr>
          <w:p w:rsidR="000C0A9B" w:rsidRPr="00636F60" w:rsidRDefault="000C0A9B" w:rsidP="004614CB">
            <w:pPr>
              <w:tabs>
                <w:tab w:val="left" w:pos="373"/>
              </w:tabs>
              <w:spacing w:line="360" w:lineRule="auto"/>
              <w:jc w:val="both"/>
              <w:rPr>
                <w:rFonts w:eastAsia="DFKai-SB"/>
                <w:sz w:val="24"/>
                <w:szCs w:val="24"/>
                <w:lang w:val="en-GB"/>
              </w:rPr>
            </w:pPr>
            <w:r>
              <w:rPr>
                <w:rFonts w:eastAsia="DFKai-SB"/>
                <w:sz w:val="24"/>
                <w:szCs w:val="24"/>
                <w:lang w:val="en-GB"/>
              </w:rPr>
              <w:t>Nil</w:t>
            </w:r>
          </w:p>
        </w:tc>
      </w:tr>
      <w:tr w:rsidR="000C0A9B" w:rsidRPr="00636F60" w:rsidTr="004614CB">
        <w:tc>
          <w:tcPr>
            <w:tcW w:w="2610" w:type="dxa"/>
            <w:shd w:val="clear" w:color="auto" w:fill="auto"/>
          </w:tcPr>
          <w:p w:rsidR="000C0A9B" w:rsidRPr="00B53223" w:rsidRDefault="000C0A9B" w:rsidP="004614CB">
            <w:pPr>
              <w:tabs>
                <w:tab w:val="left" w:pos="-145"/>
              </w:tabs>
              <w:spacing w:line="360" w:lineRule="auto"/>
              <w:jc w:val="both"/>
              <w:rPr>
                <w:rFonts w:eastAsia="DFKai-SB"/>
                <w:sz w:val="24"/>
                <w:szCs w:val="24"/>
                <w:lang w:val="en-GB"/>
              </w:rPr>
            </w:pPr>
            <w:r w:rsidRPr="00B53223">
              <w:rPr>
                <w:rFonts w:eastAsia="DFKai-SB"/>
                <w:sz w:val="24"/>
                <w:szCs w:val="24"/>
                <w:lang w:val="en-GB"/>
              </w:rPr>
              <w:t xml:space="preserve">Special Damages </w:t>
            </w:r>
          </w:p>
          <w:p w:rsidR="000C0A9B" w:rsidRPr="00B53223" w:rsidRDefault="000C0A9B" w:rsidP="004614CB">
            <w:pPr>
              <w:tabs>
                <w:tab w:val="left" w:pos="-145"/>
              </w:tabs>
              <w:spacing w:line="360" w:lineRule="auto"/>
              <w:jc w:val="both"/>
              <w:rPr>
                <w:rFonts w:eastAsia="DFKai-SB"/>
                <w:sz w:val="24"/>
                <w:szCs w:val="24"/>
                <w:lang w:val="en-GB"/>
              </w:rPr>
            </w:pPr>
            <w:r w:rsidRPr="00B53223">
              <w:rPr>
                <w:rFonts w:eastAsia="DFKai-SB"/>
                <w:sz w:val="24"/>
                <w:szCs w:val="24"/>
                <w:lang w:val="en-GB"/>
              </w:rPr>
              <w:t xml:space="preserve">(medical, travelling, etc.) </w:t>
            </w:r>
          </w:p>
        </w:tc>
        <w:tc>
          <w:tcPr>
            <w:tcW w:w="2220" w:type="dxa"/>
            <w:shd w:val="clear" w:color="auto" w:fill="auto"/>
          </w:tcPr>
          <w:p w:rsidR="000C0A9B" w:rsidRPr="00B53223" w:rsidRDefault="000C0A9B" w:rsidP="004614CB">
            <w:pPr>
              <w:tabs>
                <w:tab w:val="left" w:pos="433"/>
              </w:tabs>
              <w:spacing w:line="360" w:lineRule="auto"/>
              <w:jc w:val="both"/>
              <w:rPr>
                <w:rFonts w:eastAsia="DFKai-SB"/>
                <w:sz w:val="24"/>
                <w:szCs w:val="24"/>
                <w:lang w:val="en-GB"/>
              </w:rPr>
            </w:pPr>
            <w:r w:rsidRPr="00B53223">
              <w:rPr>
                <w:rFonts w:eastAsia="DFKai-SB"/>
                <w:sz w:val="24"/>
                <w:szCs w:val="24"/>
                <w:lang w:val="en-GB"/>
              </w:rPr>
              <w:t>128,611.30</w:t>
            </w:r>
          </w:p>
        </w:tc>
        <w:tc>
          <w:tcPr>
            <w:tcW w:w="2180" w:type="dxa"/>
            <w:shd w:val="clear" w:color="auto" w:fill="auto"/>
          </w:tcPr>
          <w:p w:rsidR="000C0A9B" w:rsidRPr="00B53223" w:rsidRDefault="000C0A9B" w:rsidP="004614CB">
            <w:pPr>
              <w:tabs>
                <w:tab w:val="left" w:pos="373"/>
              </w:tabs>
              <w:spacing w:line="360" w:lineRule="auto"/>
              <w:jc w:val="both"/>
              <w:rPr>
                <w:rFonts w:eastAsia="DFKai-SB"/>
                <w:sz w:val="24"/>
                <w:szCs w:val="24"/>
                <w:lang w:val="en-GB"/>
              </w:rPr>
            </w:pPr>
            <w:r w:rsidRPr="00B53223">
              <w:rPr>
                <w:rFonts w:eastAsia="DFKai-SB"/>
                <w:sz w:val="24"/>
                <w:szCs w:val="24"/>
                <w:lang w:val="en-GB"/>
              </w:rPr>
              <w:t>19,360</w:t>
            </w:r>
          </w:p>
        </w:tc>
        <w:tc>
          <w:tcPr>
            <w:tcW w:w="1828" w:type="dxa"/>
          </w:tcPr>
          <w:p w:rsidR="000C0A9B" w:rsidRPr="00636F60" w:rsidRDefault="000C0A9B" w:rsidP="004614CB">
            <w:pPr>
              <w:tabs>
                <w:tab w:val="left" w:pos="373"/>
              </w:tabs>
              <w:spacing w:line="360" w:lineRule="auto"/>
              <w:jc w:val="both"/>
              <w:rPr>
                <w:rFonts w:eastAsia="DFKai-SB"/>
                <w:sz w:val="24"/>
                <w:szCs w:val="24"/>
                <w:lang w:val="en-GB"/>
              </w:rPr>
            </w:pPr>
            <w:r>
              <w:rPr>
                <w:rFonts w:eastAsia="DFKai-SB"/>
                <w:sz w:val="24"/>
                <w:szCs w:val="24"/>
                <w:lang w:val="en-GB"/>
              </w:rPr>
              <w:t>54,342</w:t>
            </w:r>
          </w:p>
        </w:tc>
      </w:tr>
      <w:tr w:rsidR="000C0A9B" w:rsidRPr="00636F60" w:rsidTr="004614CB">
        <w:tc>
          <w:tcPr>
            <w:tcW w:w="2610" w:type="dxa"/>
            <w:shd w:val="clear" w:color="auto" w:fill="auto"/>
          </w:tcPr>
          <w:p w:rsidR="000C0A9B" w:rsidRPr="00B53223" w:rsidRDefault="000C0A9B" w:rsidP="004614CB">
            <w:pPr>
              <w:tabs>
                <w:tab w:val="left" w:pos="-145"/>
              </w:tabs>
              <w:spacing w:line="360" w:lineRule="auto"/>
              <w:jc w:val="both"/>
              <w:rPr>
                <w:rFonts w:eastAsia="DFKai-SB"/>
                <w:sz w:val="24"/>
                <w:szCs w:val="24"/>
                <w:lang w:val="en-GB"/>
              </w:rPr>
            </w:pPr>
            <w:r w:rsidRPr="00B53223">
              <w:rPr>
                <w:rFonts w:eastAsia="DFKai-SB"/>
                <w:sz w:val="24"/>
                <w:szCs w:val="24"/>
                <w:lang w:val="en-GB"/>
              </w:rPr>
              <w:t>Future Expenses</w:t>
            </w:r>
          </w:p>
        </w:tc>
        <w:tc>
          <w:tcPr>
            <w:tcW w:w="2220" w:type="dxa"/>
            <w:shd w:val="clear" w:color="auto" w:fill="auto"/>
          </w:tcPr>
          <w:p w:rsidR="000C0A9B" w:rsidRPr="00B53223" w:rsidRDefault="000C0A9B" w:rsidP="004614CB">
            <w:pPr>
              <w:tabs>
                <w:tab w:val="left" w:pos="433"/>
              </w:tabs>
              <w:spacing w:line="360" w:lineRule="auto"/>
              <w:jc w:val="both"/>
              <w:rPr>
                <w:rFonts w:eastAsia="DFKai-SB"/>
                <w:sz w:val="24"/>
                <w:szCs w:val="24"/>
                <w:lang w:val="en-GB"/>
              </w:rPr>
            </w:pPr>
            <w:r w:rsidRPr="00B53223">
              <w:rPr>
                <w:rFonts w:eastAsia="DFKai-SB"/>
                <w:sz w:val="24"/>
                <w:szCs w:val="24"/>
                <w:lang w:val="en-GB"/>
              </w:rPr>
              <w:t>57,440</w:t>
            </w:r>
          </w:p>
        </w:tc>
        <w:tc>
          <w:tcPr>
            <w:tcW w:w="2180" w:type="dxa"/>
            <w:shd w:val="clear" w:color="auto" w:fill="auto"/>
          </w:tcPr>
          <w:p w:rsidR="000C0A9B" w:rsidRPr="00B53223" w:rsidRDefault="000C0A9B" w:rsidP="004614CB">
            <w:pPr>
              <w:tabs>
                <w:tab w:val="left" w:pos="373"/>
              </w:tabs>
              <w:spacing w:line="360" w:lineRule="auto"/>
              <w:jc w:val="both"/>
              <w:rPr>
                <w:rFonts w:eastAsia="DFKai-SB"/>
                <w:sz w:val="24"/>
                <w:szCs w:val="24"/>
                <w:lang w:val="en-GB"/>
              </w:rPr>
            </w:pPr>
            <w:r w:rsidRPr="00B53223">
              <w:rPr>
                <w:rFonts w:eastAsia="DFKai-SB"/>
                <w:sz w:val="24"/>
                <w:szCs w:val="24"/>
                <w:lang w:val="en-GB"/>
              </w:rPr>
              <w:t>Nil</w:t>
            </w:r>
          </w:p>
        </w:tc>
        <w:tc>
          <w:tcPr>
            <w:tcW w:w="1828" w:type="dxa"/>
          </w:tcPr>
          <w:p w:rsidR="000C0A9B" w:rsidRPr="00636F60" w:rsidRDefault="000C0A9B" w:rsidP="004614CB">
            <w:pPr>
              <w:tabs>
                <w:tab w:val="left" w:pos="373"/>
              </w:tabs>
              <w:spacing w:line="360" w:lineRule="auto"/>
              <w:jc w:val="both"/>
              <w:rPr>
                <w:rFonts w:eastAsia="DFKai-SB"/>
                <w:sz w:val="24"/>
                <w:szCs w:val="24"/>
                <w:lang w:val="en-GB"/>
              </w:rPr>
            </w:pPr>
            <w:r>
              <w:rPr>
                <w:rFonts w:eastAsia="DFKai-SB"/>
                <w:sz w:val="24"/>
                <w:szCs w:val="24"/>
                <w:lang w:val="en-GB"/>
              </w:rPr>
              <w:t>Nil</w:t>
            </w:r>
          </w:p>
        </w:tc>
      </w:tr>
      <w:tr w:rsidR="000C0A9B" w:rsidRPr="00636F60" w:rsidTr="004614CB">
        <w:tc>
          <w:tcPr>
            <w:tcW w:w="2610" w:type="dxa"/>
            <w:shd w:val="clear" w:color="auto" w:fill="auto"/>
          </w:tcPr>
          <w:p w:rsidR="000C0A9B" w:rsidRPr="00B53223" w:rsidRDefault="000C0A9B" w:rsidP="004614CB">
            <w:pPr>
              <w:tabs>
                <w:tab w:val="left" w:pos="-145"/>
              </w:tabs>
              <w:spacing w:line="360" w:lineRule="auto"/>
              <w:jc w:val="both"/>
              <w:rPr>
                <w:rFonts w:eastAsia="DFKai-SB"/>
                <w:b/>
                <w:sz w:val="24"/>
                <w:szCs w:val="24"/>
                <w:lang w:val="en-GB"/>
              </w:rPr>
            </w:pPr>
            <w:r w:rsidRPr="00B53223">
              <w:rPr>
                <w:rFonts w:eastAsia="DFKai-SB"/>
                <w:b/>
                <w:sz w:val="24"/>
                <w:szCs w:val="24"/>
                <w:lang w:val="en-GB"/>
              </w:rPr>
              <w:t>Total:</w:t>
            </w:r>
          </w:p>
        </w:tc>
        <w:tc>
          <w:tcPr>
            <w:tcW w:w="2220" w:type="dxa"/>
            <w:shd w:val="clear" w:color="auto" w:fill="auto"/>
          </w:tcPr>
          <w:p w:rsidR="000C0A9B" w:rsidRPr="00B53223" w:rsidRDefault="000C0A9B" w:rsidP="004614CB">
            <w:pPr>
              <w:tabs>
                <w:tab w:val="left" w:pos="433"/>
              </w:tabs>
              <w:spacing w:line="360" w:lineRule="auto"/>
              <w:jc w:val="both"/>
              <w:rPr>
                <w:rFonts w:eastAsia="DFKai-SB"/>
                <w:b/>
                <w:sz w:val="24"/>
                <w:szCs w:val="24"/>
                <w:lang w:val="en-GB"/>
              </w:rPr>
            </w:pPr>
            <w:r w:rsidRPr="00B53223">
              <w:rPr>
                <w:rFonts w:eastAsia="DFKai-SB"/>
                <w:b/>
                <w:sz w:val="24"/>
                <w:szCs w:val="24"/>
                <w:lang w:val="en-GB"/>
              </w:rPr>
              <w:t>786,051.30</w:t>
            </w:r>
          </w:p>
        </w:tc>
        <w:tc>
          <w:tcPr>
            <w:tcW w:w="2180" w:type="dxa"/>
            <w:shd w:val="clear" w:color="auto" w:fill="auto"/>
          </w:tcPr>
          <w:p w:rsidR="000C0A9B" w:rsidRPr="00B53223" w:rsidRDefault="000C0A9B" w:rsidP="004614CB">
            <w:pPr>
              <w:tabs>
                <w:tab w:val="left" w:pos="373"/>
              </w:tabs>
              <w:spacing w:line="360" w:lineRule="auto"/>
              <w:jc w:val="both"/>
              <w:rPr>
                <w:rFonts w:eastAsia="DFKai-SB"/>
                <w:b/>
                <w:sz w:val="24"/>
                <w:szCs w:val="24"/>
                <w:lang w:val="en-GB"/>
              </w:rPr>
            </w:pPr>
            <w:r w:rsidRPr="00B53223">
              <w:rPr>
                <w:rFonts w:eastAsia="DFKai-SB"/>
                <w:b/>
                <w:sz w:val="24"/>
                <w:szCs w:val="24"/>
                <w:lang w:val="en-GB"/>
              </w:rPr>
              <w:t>99,360 - 119,360</w:t>
            </w:r>
          </w:p>
        </w:tc>
        <w:tc>
          <w:tcPr>
            <w:tcW w:w="1828" w:type="dxa"/>
          </w:tcPr>
          <w:p w:rsidR="000C0A9B" w:rsidRPr="00636F60" w:rsidRDefault="000C0A9B" w:rsidP="004614CB">
            <w:pPr>
              <w:tabs>
                <w:tab w:val="left" w:pos="373"/>
              </w:tabs>
              <w:spacing w:line="360" w:lineRule="auto"/>
              <w:jc w:val="both"/>
              <w:rPr>
                <w:rFonts w:eastAsia="DFKai-SB"/>
                <w:b/>
                <w:sz w:val="24"/>
                <w:szCs w:val="24"/>
                <w:lang w:val="en-GB"/>
              </w:rPr>
            </w:pPr>
            <w:r>
              <w:rPr>
                <w:rFonts w:eastAsia="DFKai-SB"/>
                <w:b/>
                <w:sz w:val="24"/>
                <w:szCs w:val="24"/>
                <w:lang w:val="en-GB"/>
              </w:rPr>
              <w:t>304,342</w:t>
            </w:r>
          </w:p>
        </w:tc>
      </w:tr>
    </w:tbl>
    <w:p w:rsidR="000C0A9B" w:rsidRPr="006172D9" w:rsidRDefault="000C0A9B" w:rsidP="004C5D84">
      <w:pPr>
        <w:pStyle w:val="ListParagraph"/>
        <w:spacing w:line="360" w:lineRule="auto"/>
        <w:ind w:left="0"/>
        <w:jc w:val="both"/>
        <w:rPr>
          <w:lang w:val="en-GB" w:eastAsia="zh-HK"/>
        </w:rPr>
      </w:pPr>
    </w:p>
    <w:p w:rsidR="00D66193" w:rsidRPr="006172D9" w:rsidRDefault="000C0A9B"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 xml:space="preserve">I also made an order </w:t>
      </w:r>
      <w:r>
        <w:rPr>
          <w:i/>
        </w:rPr>
        <w:t>nisi</w:t>
      </w:r>
      <w:r>
        <w:t xml:space="preserve"> that the costs be to the plaintiff, with a certificate for counsel, to be taxed if not agreed, and that the plaintiff’s costs be taxed in accordance with the Legal Aid Regulations (“costs order </w:t>
      </w:r>
      <w:r w:rsidRPr="00255DAA">
        <w:rPr>
          <w:i/>
        </w:rPr>
        <w:t>n</w:t>
      </w:r>
      <w:r>
        <w:rPr>
          <w:i/>
        </w:rPr>
        <w:t>isi</w:t>
      </w:r>
      <w:r>
        <w:t>”)</w:t>
      </w:r>
      <w:r w:rsidR="00D66193" w:rsidRPr="006172D9">
        <w:rPr>
          <w:lang w:val="en-GB" w:eastAsia="zh-HK"/>
        </w:rPr>
        <w:t xml:space="preserve">. </w:t>
      </w:r>
    </w:p>
    <w:p w:rsidR="00D66193" w:rsidRPr="006172D9" w:rsidRDefault="00D66193" w:rsidP="004C5D84">
      <w:pPr>
        <w:spacing w:line="360" w:lineRule="auto"/>
        <w:jc w:val="both"/>
        <w:rPr>
          <w:lang w:val="en-GB"/>
        </w:rPr>
      </w:pPr>
      <w:r w:rsidRPr="006172D9">
        <w:rPr>
          <w:b/>
          <w:u w:val="single"/>
          <w:lang w:val="en-GB"/>
        </w:rPr>
        <w:t xml:space="preserve"> </w:t>
      </w:r>
    </w:p>
    <w:p w:rsidR="00D66193" w:rsidRPr="006172D9" w:rsidRDefault="000C0A9B"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t xml:space="preserve">By a summons dated 24 January 2019, the plaintiff applied to vary the costs order </w:t>
      </w:r>
      <w:r>
        <w:rPr>
          <w:i/>
        </w:rPr>
        <w:t>nisi</w:t>
      </w:r>
      <w:r>
        <w:t xml:space="preserve"> (“plaintiff’s application”) to the extent that</w:t>
      </w:r>
      <w:r w:rsidR="009F4623">
        <w:rPr>
          <w:lang w:val="en-GB"/>
        </w:rPr>
        <w:t>:</w:t>
      </w:r>
    </w:p>
    <w:p w:rsidR="00D66193" w:rsidRDefault="00D66193" w:rsidP="004C5D84">
      <w:pPr>
        <w:pStyle w:val="ListParagraph"/>
        <w:spacing w:line="360" w:lineRule="auto"/>
        <w:ind w:left="0"/>
        <w:jc w:val="both"/>
        <w:rPr>
          <w:rFonts w:eastAsia="DFKai-SB"/>
          <w:lang w:val="en-GB"/>
        </w:rPr>
      </w:pPr>
    </w:p>
    <w:p w:rsidR="000C0A9B" w:rsidRDefault="000C0A9B" w:rsidP="000C0A9B">
      <w:pPr>
        <w:numPr>
          <w:ilvl w:val="0"/>
          <w:numId w:val="10"/>
        </w:numPr>
        <w:spacing w:line="360" w:lineRule="auto"/>
        <w:ind w:left="1440" w:right="-36" w:hanging="720"/>
        <w:jc w:val="both"/>
      </w:pPr>
      <w:r>
        <w:t>the costs from the date of the writ of summons up to 28 days after the date of the sanctioned offer made on 14 June 2017 (“sanctioned offer”) be to the plaintiff, with certificate for counsel, to be taxed if not agreed;</w:t>
      </w:r>
    </w:p>
    <w:p w:rsidR="000C0A9B" w:rsidRDefault="000C0A9B" w:rsidP="000C0A9B">
      <w:pPr>
        <w:numPr>
          <w:ilvl w:val="0"/>
          <w:numId w:val="10"/>
        </w:numPr>
        <w:spacing w:line="360" w:lineRule="auto"/>
        <w:ind w:left="1440" w:right="-36" w:hanging="720"/>
        <w:jc w:val="both"/>
      </w:pPr>
      <w:r>
        <w:lastRenderedPageBreak/>
        <w:t>the costs of these proceedings, including all costs reserved, if any, incurred by the plaintiff after 14 June 2017 be paid by the defendant to the plaintiff on an indemnity basis, to be taxed if not agreed;</w:t>
      </w:r>
    </w:p>
    <w:p w:rsidR="000C0A9B" w:rsidRDefault="000C0A9B" w:rsidP="000C0A9B">
      <w:pPr>
        <w:numPr>
          <w:ilvl w:val="0"/>
          <w:numId w:val="10"/>
        </w:numPr>
        <w:spacing w:line="360" w:lineRule="auto"/>
        <w:ind w:left="1440" w:right="-36" w:hanging="720"/>
        <w:jc w:val="both"/>
      </w:pPr>
      <w:r>
        <w:t>the interest on the costs referred to in sub-paragraph (b) be paid by the defendant to the plaintiff at a rate not exceeding 10% above the judgment rate; and</w:t>
      </w:r>
    </w:p>
    <w:p w:rsidR="000C0A9B" w:rsidRDefault="000C0A9B" w:rsidP="000C0A9B">
      <w:pPr>
        <w:numPr>
          <w:ilvl w:val="0"/>
          <w:numId w:val="10"/>
        </w:numPr>
        <w:spacing w:line="360" w:lineRule="auto"/>
        <w:ind w:left="1440" w:right="-36" w:hanging="720"/>
        <w:jc w:val="both"/>
      </w:pPr>
      <w:r>
        <w:t xml:space="preserve">the plaintiff’s own costs and costs of this application be taxed in accordance with the Legal Aid Regulations.  </w:t>
      </w:r>
    </w:p>
    <w:p w:rsidR="000C0A9B" w:rsidRPr="000C0A9B" w:rsidRDefault="000C0A9B" w:rsidP="004C5D84">
      <w:pPr>
        <w:pStyle w:val="ListParagraph"/>
        <w:spacing w:line="360" w:lineRule="auto"/>
        <w:ind w:left="0"/>
        <w:jc w:val="both"/>
        <w:rPr>
          <w:rFonts w:eastAsia="DFKai-SB"/>
        </w:rPr>
      </w:pPr>
    </w:p>
    <w:p w:rsidR="00D66193" w:rsidRDefault="000C0A9B"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t xml:space="preserve">On the other hand, by a summons dated 25 January 2019, the defendant also applied to vary the costs order </w:t>
      </w:r>
      <w:r>
        <w:rPr>
          <w:i/>
        </w:rPr>
        <w:t>nisi</w:t>
      </w:r>
      <w:r>
        <w:t xml:space="preserve"> (“defendant’s application”) to the extent that the costs of and occasioned by the plaintiff in these proceedings be partially allowed, that is the costs of and occasioned by the plaintiff in relation to the special damages and/or future expenses by wholly disallowed or partially allowed, with certificate for counsel, to be taxed if not agreed</w:t>
      </w:r>
      <w:r>
        <w:rPr>
          <w:rFonts w:eastAsia="DFKai-SB"/>
          <w:lang w:val="en-GB"/>
        </w:rPr>
        <w:t>.</w:t>
      </w:r>
    </w:p>
    <w:p w:rsidR="000C0A9B" w:rsidRDefault="000C0A9B" w:rsidP="000C0A9B">
      <w:pPr>
        <w:tabs>
          <w:tab w:val="clear" w:pos="4320"/>
          <w:tab w:val="clear" w:pos="9072"/>
          <w:tab w:val="left" w:pos="0"/>
        </w:tabs>
        <w:snapToGrid/>
        <w:spacing w:line="360" w:lineRule="auto"/>
        <w:jc w:val="both"/>
        <w:rPr>
          <w:rFonts w:eastAsia="DFKai-SB"/>
          <w:lang w:val="en-GB"/>
        </w:rPr>
      </w:pPr>
    </w:p>
    <w:p w:rsidR="000C0A9B" w:rsidRPr="006172D9" w:rsidRDefault="000C0A9B"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t>Both the plaintiff’s application and the defendant’s application are opposed.  I shall deal with these two applications one after another.</w:t>
      </w:r>
    </w:p>
    <w:p w:rsidR="00D66193" w:rsidRPr="006172D9" w:rsidRDefault="00D66193" w:rsidP="004C5D84">
      <w:pPr>
        <w:pStyle w:val="ListParagraph"/>
        <w:spacing w:line="360" w:lineRule="auto"/>
        <w:ind w:left="0"/>
        <w:jc w:val="both"/>
        <w:rPr>
          <w:rFonts w:eastAsia="DFKai-SB"/>
          <w:lang w:val="en-GB"/>
        </w:rPr>
      </w:pPr>
    </w:p>
    <w:p w:rsidR="00D66193" w:rsidRPr="006172D9" w:rsidRDefault="0049444D" w:rsidP="004C5D84">
      <w:pPr>
        <w:pStyle w:val="ListParagraph"/>
        <w:spacing w:line="360" w:lineRule="auto"/>
        <w:ind w:left="0"/>
        <w:jc w:val="both"/>
        <w:rPr>
          <w:rFonts w:eastAsia="等线"/>
          <w:i/>
          <w:lang w:val="en-GB" w:eastAsia="zh-HK"/>
        </w:rPr>
      </w:pPr>
      <w:r>
        <w:rPr>
          <w:i/>
        </w:rPr>
        <w:t>The plaintiff’s application</w:t>
      </w:r>
    </w:p>
    <w:p w:rsidR="00D66193" w:rsidRPr="006172D9" w:rsidRDefault="00D66193" w:rsidP="004C5D84">
      <w:pPr>
        <w:pStyle w:val="ListParagraph"/>
        <w:spacing w:line="360" w:lineRule="auto"/>
        <w:ind w:left="0"/>
        <w:jc w:val="both"/>
        <w:rPr>
          <w:rFonts w:eastAsia="DFKai-SB"/>
          <w:lang w:val="en-GB"/>
        </w:rPr>
      </w:pPr>
    </w:p>
    <w:p w:rsidR="00D66193" w:rsidRPr="006172D9" w:rsidRDefault="0049444D"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 xml:space="preserve">The basis of the plaintiff’s application, in simple terms, is that the defendant should have accepted the sanctioned offer made on 14 June 2017, namely a sum of $300,000 (including interests but excluding costs), in full and final settlement of the plaintiff’s claim.  Now, the fact that the </w:t>
      </w:r>
      <w:r>
        <w:lastRenderedPageBreak/>
        <w:t>plaintiff being finally awarded a total sum of $304,342 with costs, though only marginally exceeding the sum of the sanctioned offer, invoke the operation of O. 22, r. 24 of the Rules of the District Court, Cap. 336H, so that the plaintiff should be granted enhanced interest and costs on indemnity basis</w:t>
      </w:r>
      <w:r w:rsidR="00D66193" w:rsidRPr="006172D9">
        <w:rPr>
          <w:lang w:val="en-GB" w:eastAsia="zh-HK"/>
        </w:rPr>
        <w:t xml:space="preserve">. </w:t>
      </w:r>
    </w:p>
    <w:p w:rsidR="00D66193" w:rsidRPr="006172D9" w:rsidRDefault="00D66193" w:rsidP="004C5D84">
      <w:pPr>
        <w:spacing w:line="360" w:lineRule="auto"/>
        <w:jc w:val="both"/>
        <w:rPr>
          <w:lang w:val="en-GB"/>
        </w:rPr>
      </w:pPr>
    </w:p>
    <w:p w:rsidR="00D66193" w:rsidRPr="006172D9" w:rsidRDefault="0049444D"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It is provided under O. 22, r. 24 that:</w:t>
      </w:r>
      <w:r w:rsidR="00D66193" w:rsidRPr="006172D9">
        <w:rPr>
          <w:rFonts w:eastAsia="DFKai-SB"/>
          <w:u w:val="single"/>
          <w:lang w:val="en-GB"/>
        </w:rPr>
        <w:t xml:space="preserve"> </w:t>
      </w:r>
    </w:p>
    <w:p w:rsidR="00D66193" w:rsidRDefault="00D66193" w:rsidP="004C5D84">
      <w:pPr>
        <w:spacing w:line="360" w:lineRule="auto"/>
        <w:jc w:val="both"/>
        <w:rPr>
          <w:lang w:val="en-GB"/>
        </w:rPr>
      </w:pPr>
    </w:p>
    <w:p w:rsidR="00C444D6" w:rsidRPr="0001716C" w:rsidRDefault="00C444D6" w:rsidP="00155FB0">
      <w:pPr>
        <w:tabs>
          <w:tab w:val="clear" w:pos="1440"/>
          <w:tab w:val="clear" w:pos="4320"/>
          <w:tab w:val="clear" w:pos="9072"/>
        </w:tabs>
        <w:snapToGrid/>
        <w:ind w:left="1440" w:right="746"/>
        <w:jc w:val="both"/>
        <w:rPr>
          <w:rFonts w:eastAsia="Times New Roman"/>
          <w:b/>
          <w:color w:val="000000"/>
          <w:sz w:val="24"/>
          <w:szCs w:val="24"/>
          <w:lang w:val="en"/>
        </w:rPr>
      </w:pPr>
      <w:r w:rsidRPr="0001716C">
        <w:rPr>
          <w:rFonts w:eastAsia="Times New Roman"/>
          <w:b/>
          <w:color w:val="000000"/>
          <w:sz w:val="24"/>
          <w:szCs w:val="24"/>
          <w:lang w:val="en"/>
        </w:rPr>
        <w:t>Costs and other consequences where plaintiff does better than he proposed in his sanctioned offer (O. 22, r. 24)</w:t>
      </w:r>
    </w:p>
    <w:p w:rsidR="00C444D6"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p>
    <w:p w:rsidR="00C444D6" w:rsidRPr="0001716C"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r w:rsidRPr="0001716C">
        <w:rPr>
          <w:rFonts w:eastAsia="Times New Roman"/>
          <w:color w:val="000000"/>
          <w:sz w:val="24"/>
          <w:szCs w:val="24"/>
          <w:lang w:val="en"/>
        </w:rPr>
        <w:t>(1)</w:t>
      </w:r>
      <w:r>
        <w:rPr>
          <w:rFonts w:eastAsia="Times New Roman"/>
          <w:color w:val="000000"/>
          <w:sz w:val="24"/>
          <w:szCs w:val="24"/>
          <w:lang w:val="en"/>
        </w:rPr>
        <w:tab/>
      </w:r>
      <w:r w:rsidRPr="0001716C">
        <w:rPr>
          <w:rFonts w:eastAsia="Times New Roman"/>
          <w:color w:val="000000"/>
          <w:sz w:val="24"/>
          <w:szCs w:val="24"/>
          <w:lang w:val="en"/>
        </w:rPr>
        <w:t>This rule applies where—</w:t>
      </w:r>
    </w:p>
    <w:p w:rsidR="00C444D6" w:rsidRPr="00962479" w:rsidRDefault="003535A8" w:rsidP="00644F5E">
      <w:pPr>
        <w:pStyle w:val="ListParagraph"/>
        <w:numPr>
          <w:ilvl w:val="0"/>
          <w:numId w:val="18"/>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962479">
        <w:rPr>
          <w:rFonts w:eastAsia="Times New Roman"/>
          <w:color w:val="000000"/>
          <w:sz w:val="24"/>
          <w:szCs w:val="24"/>
          <w:lang w:val="en"/>
        </w:rPr>
        <w:t xml:space="preserve">a </w:t>
      </w:r>
      <w:r w:rsidR="00C444D6" w:rsidRPr="00962479">
        <w:rPr>
          <w:rFonts w:eastAsia="Times New Roman"/>
          <w:color w:val="000000"/>
          <w:sz w:val="24"/>
          <w:szCs w:val="24"/>
          <w:lang w:val="en"/>
        </w:rPr>
        <w:t>defendant is held liable for more than the proposals contained in a plaintiff’s sanctioned offer; or</w:t>
      </w:r>
    </w:p>
    <w:p w:rsidR="00C444D6" w:rsidRPr="00962479" w:rsidRDefault="00C444D6" w:rsidP="00644F5E">
      <w:pPr>
        <w:pStyle w:val="ListParagraph"/>
        <w:numPr>
          <w:ilvl w:val="0"/>
          <w:numId w:val="18"/>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962479">
        <w:rPr>
          <w:rFonts w:eastAsia="Times New Roman"/>
          <w:color w:val="000000"/>
          <w:sz w:val="24"/>
          <w:szCs w:val="24"/>
          <w:lang w:val="en"/>
        </w:rPr>
        <w:t>the judgment against a defendant is more advantageous to the plaintiff than the proposals contained in a plaintiff’s sanctioned offer.</w:t>
      </w:r>
    </w:p>
    <w:p w:rsidR="00C444D6"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p>
    <w:p w:rsidR="00C444D6"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r w:rsidRPr="0001716C">
        <w:rPr>
          <w:rFonts w:eastAsia="Times New Roman"/>
          <w:color w:val="000000"/>
          <w:sz w:val="24"/>
          <w:szCs w:val="24"/>
          <w:lang w:val="en"/>
        </w:rPr>
        <w:t>(2)</w:t>
      </w:r>
      <w:r>
        <w:rPr>
          <w:rFonts w:eastAsia="Times New Roman"/>
          <w:color w:val="000000"/>
          <w:sz w:val="24"/>
          <w:szCs w:val="24"/>
          <w:lang w:val="en"/>
        </w:rPr>
        <w:tab/>
      </w:r>
      <w:r w:rsidRPr="0001716C">
        <w:rPr>
          <w:rFonts w:eastAsia="Times New Roman"/>
          <w:color w:val="000000"/>
          <w:sz w:val="24"/>
          <w:szCs w:val="24"/>
          <w:lang w:val="en"/>
        </w:rPr>
        <w:t>The Court may order interest on the whole or part of any sum of money (excluding interest) awarded to the plaintiff at a rate not exceeding 10% above judgment rate for some or all of the period after the latest date on which the defendant could have accepted the offer without requiring the leave of the Court.</w:t>
      </w:r>
    </w:p>
    <w:p w:rsidR="00C444D6" w:rsidRPr="0001716C"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p>
    <w:p w:rsidR="00C444D6" w:rsidRPr="0001716C"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r w:rsidRPr="0001716C">
        <w:rPr>
          <w:rFonts w:eastAsia="Times New Roman"/>
          <w:color w:val="000000"/>
          <w:sz w:val="24"/>
          <w:szCs w:val="24"/>
          <w:lang w:val="en"/>
        </w:rPr>
        <w:t>(3)</w:t>
      </w:r>
      <w:r>
        <w:rPr>
          <w:rFonts w:eastAsia="Times New Roman"/>
          <w:color w:val="000000"/>
          <w:sz w:val="24"/>
          <w:szCs w:val="24"/>
          <w:lang w:val="en"/>
        </w:rPr>
        <w:tab/>
      </w:r>
      <w:r w:rsidRPr="0001716C">
        <w:rPr>
          <w:rFonts w:eastAsia="Times New Roman"/>
          <w:color w:val="000000"/>
          <w:sz w:val="24"/>
          <w:szCs w:val="24"/>
          <w:lang w:val="en"/>
        </w:rPr>
        <w:t>The Court may also order that the plaintiff is entitled to—</w:t>
      </w:r>
    </w:p>
    <w:p w:rsidR="00C444D6" w:rsidRPr="00A84C7C" w:rsidRDefault="00C444D6" w:rsidP="000E1BC6">
      <w:pPr>
        <w:pStyle w:val="ListParagraph"/>
        <w:numPr>
          <w:ilvl w:val="0"/>
          <w:numId w:val="19"/>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A84C7C">
        <w:rPr>
          <w:rFonts w:eastAsia="Times New Roman"/>
          <w:color w:val="000000"/>
          <w:sz w:val="24"/>
          <w:szCs w:val="24"/>
          <w:lang w:val="en"/>
        </w:rPr>
        <w:t>his costs on the indemnity basis after the latest date on which the defendant could have accepted the offer without requiring the leave of the Court; and</w:t>
      </w:r>
    </w:p>
    <w:p w:rsidR="00C444D6" w:rsidRPr="00A84C7C" w:rsidRDefault="00C444D6" w:rsidP="000E1BC6">
      <w:pPr>
        <w:pStyle w:val="ListParagraph"/>
        <w:numPr>
          <w:ilvl w:val="0"/>
          <w:numId w:val="19"/>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A84C7C">
        <w:rPr>
          <w:rFonts w:eastAsia="Times New Roman"/>
          <w:color w:val="000000"/>
          <w:sz w:val="24"/>
          <w:szCs w:val="24"/>
          <w:lang w:val="en"/>
        </w:rPr>
        <w:t>interest on those costs at a rate not exceeding 10% above judgment rate.</w:t>
      </w:r>
    </w:p>
    <w:p w:rsidR="00C444D6" w:rsidRPr="0001716C" w:rsidRDefault="00C444D6" w:rsidP="00155FB0">
      <w:pPr>
        <w:tabs>
          <w:tab w:val="clear" w:pos="1440"/>
          <w:tab w:val="clear" w:pos="4320"/>
          <w:tab w:val="clear" w:pos="9072"/>
        </w:tabs>
        <w:snapToGrid/>
        <w:spacing w:line="260" w:lineRule="atLeast"/>
        <w:ind w:left="2160" w:right="746"/>
        <w:jc w:val="both"/>
        <w:textAlignment w:val="top"/>
        <w:rPr>
          <w:rFonts w:eastAsia="Times New Roman"/>
          <w:color w:val="000000"/>
          <w:sz w:val="24"/>
          <w:szCs w:val="24"/>
          <w:lang w:val="en"/>
        </w:rPr>
      </w:pPr>
    </w:p>
    <w:p w:rsidR="00C444D6"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r w:rsidRPr="0001716C">
        <w:rPr>
          <w:rFonts w:eastAsia="Times New Roman"/>
          <w:color w:val="000000"/>
          <w:sz w:val="24"/>
          <w:szCs w:val="24"/>
          <w:lang w:val="en"/>
        </w:rPr>
        <w:t>(4)</w:t>
      </w:r>
      <w:r>
        <w:rPr>
          <w:rFonts w:eastAsia="Times New Roman"/>
          <w:color w:val="000000"/>
          <w:sz w:val="24"/>
          <w:szCs w:val="24"/>
          <w:lang w:val="en"/>
        </w:rPr>
        <w:tab/>
      </w:r>
      <w:r w:rsidRPr="0001716C">
        <w:rPr>
          <w:rFonts w:eastAsia="Times New Roman"/>
          <w:color w:val="000000"/>
          <w:sz w:val="24"/>
          <w:szCs w:val="24"/>
          <w:lang w:val="en"/>
        </w:rPr>
        <w:t>Where this rule applies, the Court shall make the orders referred to in paragraphs (2) and (3) unless it considers it unjust to do so.</w:t>
      </w:r>
    </w:p>
    <w:p w:rsidR="00C444D6" w:rsidRPr="0001716C"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p>
    <w:p w:rsidR="00C444D6" w:rsidRDefault="00C444D6"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r w:rsidRPr="0001716C">
        <w:rPr>
          <w:rFonts w:eastAsia="Times New Roman"/>
          <w:color w:val="000000"/>
          <w:sz w:val="24"/>
          <w:szCs w:val="24"/>
          <w:lang w:val="en"/>
        </w:rPr>
        <w:t>(5)</w:t>
      </w:r>
      <w:r>
        <w:rPr>
          <w:rFonts w:eastAsia="Times New Roman"/>
          <w:color w:val="000000"/>
          <w:sz w:val="24"/>
          <w:szCs w:val="24"/>
          <w:lang w:val="en"/>
        </w:rPr>
        <w:tab/>
      </w:r>
      <w:r w:rsidRPr="0001716C">
        <w:rPr>
          <w:rFonts w:eastAsia="Times New Roman"/>
          <w:color w:val="000000"/>
          <w:sz w:val="24"/>
          <w:szCs w:val="24"/>
          <w:lang w:val="en"/>
        </w:rPr>
        <w:t>In considering whether it would be unjust to make the orders referred to in paragraphs (2) and (3), the Court shall take into account all the circumstances of the case including—</w:t>
      </w:r>
    </w:p>
    <w:p w:rsidR="00A33798" w:rsidRDefault="00A33798"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p>
    <w:p w:rsidR="00A33798" w:rsidRPr="0001716C" w:rsidRDefault="00A33798" w:rsidP="00155FB0">
      <w:pPr>
        <w:tabs>
          <w:tab w:val="clear" w:pos="1440"/>
          <w:tab w:val="clear" w:pos="4320"/>
          <w:tab w:val="clear" w:pos="9072"/>
        </w:tabs>
        <w:snapToGrid/>
        <w:spacing w:line="260" w:lineRule="atLeast"/>
        <w:ind w:left="2160" w:right="746" w:hanging="720"/>
        <w:jc w:val="both"/>
        <w:textAlignment w:val="top"/>
        <w:rPr>
          <w:rFonts w:eastAsia="Times New Roman"/>
          <w:color w:val="000000"/>
          <w:sz w:val="24"/>
          <w:szCs w:val="24"/>
          <w:lang w:val="en"/>
        </w:rPr>
      </w:pPr>
    </w:p>
    <w:p w:rsidR="00C444D6" w:rsidRPr="008E624E" w:rsidRDefault="00C444D6" w:rsidP="00655CFF">
      <w:pPr>
        <w:pStyle w:val="ListParagraph"/>
        <w:numPr>
          <w:ilvl w:val="3"/>
          <w:numId w:val="21"/>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8E624E">
        <w:rPr>
          <w:rFonts w:eastAsia="Times New Roman"/>
          <w:color w:val="000000"/>
          <w:sz w:val="24"/>
          <w:szCs w:val="24"/>
          <w:lang w:val="en"/>
        </w:rPr>
        <w:lastRenderedPageBreak/>
        <w:t>the terms of any sanctioned offer;</w:t>
      </w:r>
    </w:p>
    <w:p w:rsidR="00C444D6" w:rsidRPr="008E624E" w:rsidRDefault="00283822" w:rsidP="00655CFF">
      <w:pPr>
        <w:pStyle w:val="ListParagraph"/>
        <w:numPr>
          <w:ilvl w:val="3"/>
          <w:numId w:val="21"/>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8E624E">
        <w:rPr>
          <w:rFonts w:eastAsia="Times New Roman"/>
          <w:color w:val="000000"/>
          <w:sz w:val="24"/>
          <w:szCs w:val="24"/>
          <w:lang w:val="en"/>
        </w:rPr>
        <w:t>t</w:t>
      </w:r>
      <w:r w:rsidR="00C444D6" w:rsidRPr="008E624E">
        <w:rPr>
          <w:rFonts w:eastAsia="Times New Roman"/>
          <w:color w:val="000000"/>
          <w:sz w:val="24"/>
          <w:szCs w:val="24"/>
          <w:lang w:val="en"/>
        </w:rPr>
        <w:t>he stage in the proceedings at which any sanctioned offer was made;</w:t>
      </w:r>
    </w:p>
    <w:p w:rsidR="00C444D6" w:rsidRPr="008E624E" w:rsidRDefault="00C444D6" w:rsidP="00655CFF">
      <w:pPr>
        <w:pStyle w:val="ListParagraph"/>
        <w:numPr>
          <w:ilvl w:val="3"/>
          <w:numId w:val="21"/>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8E624E">
        <w:rPr>
          <w:rFonts w:eastAsia="Times New Roman"/>
          <w:color w:val="000000"/>
          <w:sz w:val="24"/>
          <w:szCs w:val="24"/>
          <w:lang w:val="en"/>
        </w:rPr>
        <w:t>the information available to the parties at the time when the sanctioned offer was made; and</w:t>
      </w:r>
    </w:p>
    <w:p w:rsidR="00C444D6" w:rsidRPr="008E624E" w:rsidRDefault="00C444D6" w:rsidP="00655CFF">
      <w:pPr>
        <w:pStyle w:val="ListParagraph"/>
        <w:numPr>
          <w:ilvl w:val="3"/>
          <w:numId w:val="21"/>
        </w:numPr>
        <w:tabs>
          <w:tab w:val="clear" w:pos="1440"/>
          <w:tab w:val="clear" w:pos="4320"/>
          <w:tab w:val="clear" w:pos="9072"/>
        </w:tabs>
        <w:snapToGrid/>
        <w:spacing w:line="260" w:lineRule="atLeast"/>
        <w:ind w:left="2520" w:right="746"/>
        <w:jc w:val="both"/>
        <w:textAlignment w:val="top"/>
        <w:rPr>
          <w:rFonts w:eastAsia="Times New Roman"/>
          <w:color w:val="000000"/>
          <w:sz w:val="24"/>
          <w:szCs w:val="24"/>
          <w:lang w:val="en"/>
        </w:rPr>
      </w:pPr>
      <w:r w:rsidRPr="008E624E">
        <w:rPr>
          <w:rFonts w:eastAsia="Times New Roman"/>
          <w:color w:val="000000"/>
          <w:sz w:val="24"/>
          <w:szCs w:val="24"/>
          <w:lang w:val="en"/>
        </w:rPr>
        <w:t>the conduct of the parties with regard to the giving or refusing to give information for the purposes of enabling the offer to be made or evaluated.</w:t>
      </w:r>
    </w:p>
    <w:p w:rsidR="00C444D6" w:rsidRPr="0001716C" w:rsidRDefault="00C444D6" w:rsidP="00155FB0">
      <w:pPr>
        <w:tabs>
          <w:tab w:val="clear" w:pos="1440"/>
          <w:tab w:val="clear" w:pos="4320"/>
          <w:tab w:val="clear" w:pos="9072"/>
        </w:tabs>
        <w:snapToGrid/>
        <w:spacing w:line="260" w:lineRule="atLeast"/>
        <w:ind w:left="2160" w:right="746"/>
        <w:jc w:val="both"/>
        <w:textAlignment w:val="top"/>
        <w:rPr>
          <w:rFonts w:eastAsia="Times New Roman"/>
          <w:color w:val="000000"/>
          <w:sz w:val="24"/>
          <w:szCs w:val="24"/>
          <w:lang w:val="en"/>
        </w:rPr>
      </w:pPr>
    </w:p>
    <w:p w:rsidR="00430938" w:rsidRDefault="00C444D6" w:rsidP="00155FB0">
      <w:pPr>
        <w:tabs>
          <w:tab w:val="clear" w:pos="1440"/>
        </w:tabs>
        <w:ind w:left="2160" w:right="746" w:hanging="720"/>
        <w:jc w:val="both"/>
        <w:rPr>
          <w:lang w:val="en-GB"/>
        </w:rPr>
      </w:pPr>
      <w:r w:rsidRPr="0001716C">
        <w:rPr>
          <w:rFonts w:eastAsia="Times New Roman"/>
          <w:color w:val="000000"/>
          <w:sz w:val="24"/>
          <w:szCs w:val="24"/>
          <w:lang w:val="en"/>
        </w:rPr>
        <w:t>(6)</w:t>
      </w:r>
      <w:r>
        <w:rPr>
          <w:rFonts w:eastAsia="Times New Roman"/>
          <w:color w:val="000000"/>
          <w:sz w:val="24"/>
          <w:szCs w:val="24"/>
          <w:lang w:val="en"/>
        </w:rPr>
        <w:tab/>
      </w:r>
      <w:r w:rsidRPr="0001716C">
        <w:rPr>
          <w:rFonts w:eastAsia="Times New Roman"/>
          <w:color w:val="000000"/>
          <w:sz w:val="24"/>
          <w:szCs w:val="24"/>
          <w:lang w:val="en"/>
        </w:rPr>
        <w:t>The power of the Court under this rule is in addition to any other power it may have to award interest.</w:t>
      </w:r>
    </w:p>
    <w:p w:rsidR="00430938" w:rsidRPr="006172D9" w:rsidRDefault="00430938" w:rsidP="004C5D84">
      <w:pPr>
        <w:spacing w:line="360" w:lineRule="auto"/>
        <w:jc w:val="both"/>
        <w:rPr>
          <w:lang w:val="en-GB"/>
        </w:rPr>
      </w:pPr>
    </w:p>
    <w:p w:rsidR="00390243" w:rsidRPr="00390243" w:rsidRDefault="006D16F7"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T</w:t>
      </w:r>
      <w:r w:rsidR="00390243">
        <w:t xml:space="preserve">he plaintiff mainly relies on the authority </w:t>
      </w:r>
      <w:r w:rsidR="00390243" w:rsidRPr="004965A2">
        <w:rPr>
          <w:i/>
        </w:rPr>
        <w:t>Wong Ka Ming v Ng Yin King and anor</w:t>
      </w:r>
      <w:r w:rsidR="00390243">
        <w:t xml:space="preserve"> HCPI 760 of 2009, judgment dated 22 July 2011 where Master Ko (as he then was) at paragraph 18 cited what was said by Evans LJ in </w:t>
      </w:r>
      <w:r w:rsidR="00390243" w:rsidRPr="004965A2">
        <w:rPr>
          <w:i/>
        </w:rPr>
        <w:t>Charm Marine Incorporated v Elborne Mitchell</w:t>
      </w:r>
      <w:r w:rsidR="00390243">
        <w:t xml:space="preserve"> as follows:</w:t>
      </w:r>
    </w:p>
    <w:p w:rsidR="00390243" w:rsidRDefault="00390243" w:rsidP="00390243">
      <w:pPr>
        <w:tabs>
          <w:tab w:val="clear" w:pos="4320"/>
          <w:tab w:val="clear" w:pos="9072"/>
        </w:tabs>
        <w:snapToGrid/>
        <w:spacing w:line="360" w:lineRule="auto"/>
        <w:jc w:val="both"/>
      </w:pPr>
    </w:p>
    <w:p w:rsidR="00390243" w:rsidRPr="00B574C5" w:rsidRDefault="00390243" w:rsidP="000A7C5C">
      <w:pPr>
        <w:tabs>
          <w:tab w:val="clear" w:pos="1440"/>
          <w:tab w:val="clear" w:pos="4320"/>
          <w:tab w:val="clear" w:pos="9072"/>
        </w:tabs>
        <w:snapToGrid/>
        <w:ind w:left="1980" w:right="746" w:hanging="720"/>
        <w:jc w:val="both"/>
        <w:rPr>
          <w:rFonts w:eastAsia="PMingLiU"/>
          <w:sz w:val="24"/>
          <w:szCs w:val="24"/>
          <w:lang w:eastAsia="zh-TW"/>
        </w:rPr>
      </w:pPr>
      <w:r w:rsidRPr="00B574C5">
        <w:rPr>
          <w:sz w:val="24"/>
          <w:szCs w:val="24"/>
        </w:rPr>
        <w:t>“18.</w:t>
      </w:r>
      <w:r w:rsidRPr="00B574C5">
        <w:rPr>
          <w:sz w:val="24"/>
          <w:szCs w:val="24"/>
        </w:rPr>
        <w:tab/>
        <w:t xml:space="preserve">In </w:t>
      </w:r>
      <w:r w:rsidRPr="00B574C5">
        <w:rPr>
          <w:i/>
          <w:sz w:val="24"/>
          <w:szCs w:val="24"/>
        </w:rPr>
        <w:t>Charm Marine Incorporated v Elborne Mitchell</w:t>
      </w:r>
      <w:r w:rsidRPr="00B574C5">
        <w:rPr>
          <w:sz w:val="24"/>
          <w:szCs w:val="24"/>
          <w:vertAlign w:val="superscript"/>
        </w:rPr>
        <w:footnoteReference w:id="1"/>
      </w:r>
      <w:r w:rsidRPr="00B574C5">
        <w:rPr>
          <w:sz w:val="24"/>
          <w:szCs w:val="24"/>
        </w:rPr>
        <w:t>, Evans LJ said:</w:t>
      </w:r>
    </w:p>
    <w:p w:rsidR="00390243" w:rsidRPr="004965A2" w:rsidRDefault="00390243" w:rsidP="000A7C5C">
      <w:pPr>
        <w:jc w:val="both"/>
      </w:pPr>
    </w:p>
    <w:p w:rsidR="00390243" w:rsidRPr="004965A2" w:rsidRDefault="00390243" w:rsidP="000A7C5C">
      <w:pPr>
        <w:tabs>
          <w:tab w:val="clear" w:pos="1440"/>
        </w:tabs>
        <w:ind w:left="1980" w:right="1106" w:hanging="90"/>
        <w:jc w:val="both"/>
        <w:rPr>
          <w:sz w:val="24"/>
          <w:szCs w:val="24"/>
        </w:rPr>
      </w:pPr>
      <w:r w:rsidRPr="004965A2">
        <w:rPr>
          <w:sz w:val="24"/>
          <w:szCs w:val="24"/>
        </w:rPr>
        <w:t>“</w:t>
      </w:r>
      <w:r w:rsidRPr="004965A2">
        <w:rPr>
          <w:iCs/>
          <w:sz w:val="24"/>
          <w:szCs w:val="24"/>
        </w:rPr>
        <w:t>Should the established rule be qualified, therefore, by reserving to the court some power to order the plaintiff to pay the defendant’s costs after the date of payment in, where the payment in came close to matching the amount of the award, even though it fell</w:t>
      </w:r>
      <w:r w:rsidRPr="004965A2">
        <w:rPr>
          <w:sz w:val="24"/>
          <w:szCs w:val="24"/>
        </w:rPr>
        <w:t xml:space="preserve"> </w:t>
      </w:r>
      <w:r w:rsidRPr="004965A2">
        <w:rPr>
          <w:iCs/>
          <w:sz w:val="24"/>
          <w:szCs w:val="24"/>
        </w:rPr>
        <w:t xml:space="preserve">short of doing so? </w:t>
      </w:r>
      <w:r w:rsidRPr="004965A2">
        <w:rPr>
          <w:rFonts w:hint="eastAsia"/>
          <w:iCs/>
          <w:sz w:val="24"/>
          <w:szCs w:val="24"/>
        </w:rPr>
        <w:t xml:space="preserve"> </w:t>
      </w:r>
      <w:r w:rsidRPr="004965A2">
        <w:rPr>
          <w:iCs/>
          <w:sz w:val="24"/>
          <w:szCs w:val="24"/>
        </w:rPr>
        <w:t>I think not</w:t>
      </w:r>
      <w:r w:rsidRPr="004965A2">
        <w:rPr>
          <w:sz w:val="24"/>
          <w:szCs w:val="24"/>
        </w:rPr>
        <w:t>, essentially for four reasons:</w:t>
      </w:r>
    </w:p>
    <w:p w:rsidR="00390243" w:rsidRPr="004965A2" w:rsidRDefault="00390243" w:rsidP="00F77F43">
      <w:pPr>
        <w:tabs>
          <w:tab w:val="clear" w:pos="1440"/>
        </w:tabs>
        <w:ind w:left="1980" w:right="1106"/>
        <w:jc w:val="both"/>
        <w:rPr>
          <w:sz w:val="24"/>
          <w:szCs w:val="24"/>
        </w:rPr>
      </w:pPr>
    </w:p>
    <w:p w:rsidR="00390243" w:rsidRDefault="00390243" w:rsidP="00F77F43">
      <w:pPr>
        <w:numPr>
          <w:ilvl w:val="0"/>
          <w:numId w:val="11"/>
        </w:numPr>
        <w:tabs>
          <w:tab w:val="clear" w:pos="1440"/>
        </w:tabs>
        <w:ind w:left="2340" w:right="1106" w:hanging="360"/>
        <w:jc w:val="both"/>
        <w:rPr>
          <w:sz w:val="24"/>
          <w:szCs w:val="24"/>
        </w:rPr>
      </w:pPr>
      <w:r w:rsidRPr="004965A2">
        <w:rPr>
          <w:sz w:val="24"/>
          <w:szCs w:val="24"/>
        </w:rPr>
        <w:t xml:space="preserve">If the plaintiff recovers more than </w:t>
      </w:r>
      <w:r>
        <w:rPr>
          <w:sz w:val="24"/>
          <w:szCs w:val="24"/>
        </w:rPr>
        <w:t xml:space="preserve">[what] </w:t>
      </w:r>
      <w:r w:rsidRPr="004965A2">
        <w:rPr>
          <w:sz w:val="24"/>
          <w:szCs w:val="24"/>
        </w:rPr>
        <w:t xml:space="preserve">was available to him, then he has succeeded on what became the </w:t>
      </w:r>
      <w:r w:rsidRPr="004965A2">
        <w:rPr>
          <w:i/>
          <w:sz w:val="24"/>
          <w:szCs w:val="24"/>
        </w:rPr>
        <w:t>lis</w:t>
      </w:r>
      <w:r w:rsidRPr="004965A2">
        <w:rPr>
          <w:sz w:val="24"/>
          <w:szCs w:val="24"/>
        </w:rPr>
        <w:t xml:space="preserve"> or issue at the trial, as described by Somervell L.J. However small the margin, if he does recover more he cannot be said to have failed;</w:t>
      </w:r>
    </w:p>
    <w:p w:rsidR="00390243" w:rsidRPr="004965A2" w:rsidRDefault="00390243" w:rsidP="00F77F43">
      <w:pPr>
        <w:tabs>
          <w:tab w:val="clear" w:pos="1440"/>
        </w:tabs>
        <w:ind w:left="2340" w:right="1106" w:hanging="360"/>
        <w:jc w:val="both"/>
        <w:rPr>
          <w:sz w:val="24"/>
          <w:szCs w:val="24"/>
        </w:rPr>
      </w:pPr>
    </w:p>
    <w:p w:rsidR="00390243" w:rsidRDefault="00390243" w:rsidP="00F77F43">
      <w:pPr>
        <w:numPr>
          <w:ilvl w:val="0"/>
          <w:numId w:val="11"/>
        </w:numPr>
        <w:tabs>
          <w:tab w:val="clear" w:pos="1440"/>
        </w:tabs>
        <w:ind w:left="2340" w:right="1106" w:hanging="360"/>
        <w:jc w:val="both"/>
        <w:rPr>
          <w:sz w:val="24"/>
          <w:szCs w:val="24"/>
        </w:rPr>
      </w:pPr>
      <w:r w:rsidRPr="004965A2">
        <w:rPr>
          <w:sz w:val="24"/>
          <w:szCs w:val="24"/>
        </w:rPr>
        <w:t>The advantages of a clear-cut rule outweigh, in my judgment, the consequence of introducing a discretionary element which could lead to uncertainty and give scope for prolonged post-judgment debate.</w:t>
      </w:r>
    </w:p>
    <w:p w:rsidR="00390243" w:rsidRPr="004965A2" w:rsidRDefault="00390243" w:rsidP="00F77F43">
      <w:pPr>
        <w:tabs>
          <w:tab w:val="clear" w:pos="1440"/>
        </w:tabs>
        <w:ind w:left="2340" w:right="1106" w:hanging="360"/>
        <w:jc w:val="both"/>
        <w:rPr>
          <w:sz w:val="24"/>
          <w:szCs w:val="24"/>
        </w:rPr>
      </w:pPr>
    </w:p>
    <w:p w:rsidR="00390243" w:rsidRDefault="00390243" w:rsidP="00F77F43">
      <w:pPr>
        <w:numPr>
          <w:ilvl w:val="0"/>
          <w:numId w:val="11"/>
        </w:numPr>
        <w:tabs>
          <w:tab w:val="clear" w:pos="1440"/>
        </w:tabs>
        <w:ind w:left="2340" w:right="1106" w:hanging="360"/>
        <w:jc w:val="both"/>
        <w:rPr>
          <w:sz w:val="24"/>
          <w:szCs w:val="24"/>
        </w:rPr>
      </w:pPr>
      <w:r w:rsidRPr="004965A2">
        <w:rPr>
          <w:sz w:val="24"/>
          <w:szCs w:val="24"/>
        </w:rPr>
        <w:t>...</w:t>
      </w:r>
    </w:p>
    <w:p w:rsidR="00390243" w:rsidRPr="004965A2" w:rsidRDefault="00390243" w:rsidP="00F77F43">
      <w:pPr>
        <w:tabs>
          <w:tab w:val="clear" w:pos="1440"/>
        </w:tabs>
        <w:ind w:left="2340" w:right="1106" w:hanging="360"/>
        <w:jc w:val="both"/>
        <w:rPr>
          <w:sz w:val="24"/>
          <w:szCs w:val="24"/>
        </w:rPr>
      </w:pPr>
    </w:p>
    <w:p w:rsidR="00D66193" w:rsidRPr="006172D9" w:rsidRDefault="00390243" w:rsidP="00F77F43">
      <w:pPr>
        <w:tabs>
          <w:tab w:val="clear" w:pos="1440"/>
          <w:tab w:val="clear" w:pos="4320"/>
          <w:tab w:val="clear" w:pos="9072"/>
        </w:tabs>
        <w:snapToGrid/>
        <w:ind w:left="2340" w:right="1106" w:hanging="360"/>
        <w:jc w:val="both"/>
        <w:rPr>
          <w:rFonts w:eastAsia="DFKai-SB"/>
          <w:lang w:val="en-GB" w:eastAsia="zh-HK"/>
        </w:rPr>
      </w:pPr>
      <w:r w:rsidRPr="004965A2">
        <w:rPr>
          <w:sz w:val="24"/>
          <w:szCs w:val="24"/>
        </w:rPr>
        <w:lastRenderedPageBreak/>
        <w:t>(4)</w:t>
      </w:r>
      <w:r w:rsidRPr="004965A2">
        <w:rPr>
          <w:rFonts w:hint="eastAsia"/>
          <w:sz w:val="24"/>
          <w:szCs w:val="24"/>
        </w:rPr>
        <w:tab/>
      </w:r>
      <w:r w:rsidRPr="004965A2">
        <w:rPr>
          <w:sz w:val="24"/>
          <w:szCs w:val="24"/>
        </w:rPr>
        <w:t xml:space="preserve">A clear-cut rule means that the defendant must not underestimate the plaintiff’s chances of success, by however small an amount, just as the plaintiff must not be over-optimistic about them. </w:t>
      </w:r>
      <w:r w:rsidRPr="004965A2">
        <w:rPr>
          <w:rFonts w:hint="eastAsia"/>
          <w:sz w:val="24"/>
          <w:szCs w:val="24"/>
        </w:rPr>
        <w:t xml:space="preserve"> </w:t>
      </w:r>
      <w:r w:rsidRPr="004965A2">
        <w:rPr>
          <w:sz w:val="24"/>
          <w:szCs w:val="24"/>
        </w:rPr>
        <w:t xml:space="preserve">This is consistent, in my view, with the policy considerations described by Denning L.J. in </w:t>
      </w:r>
      <w:r w:rsidRPr="004965A2">
        <w:rPr>
          <w:i/>
          <w:sz w:val="24"/>
          <w:szCs w:val="24"/>
        </w:rPr>
        <w:t>Findlay v Railway Executive</w:t>
      </w:r>
      <w:r w:rsidRPr="004965A2">
        <w:rPr>
          <w:sz w:val="24"/>
          <w:szCs w:val="24"/>
        </w:rPr>
        <w:t xml:space="preserve"> [1950] 2 All E.R. 969, [1950] WN 570 at 974 of the former report.”</w:t>
      </w:r>
      <w:r w:rsidR="005D6489" w:rsidRPr="00823AF6">
        <w:rPr>
          <w:sz w:val="24"/>
          <w:szCs w:val="24"/>
        </w:rPr>
        <w:t xml:space="preserve"> ”</w:t>
      </w:r>
      <w:r w:rsidR="00D66193" w:rsidRPr="006172D9">
        <w:rPr>
          <w:lang w:val="en-GB" w:eastAsia="zh-HK"/>
        </w:rPr>
        <w:t xml:space="preserve"> </w:t>
      </w:r>
      <w:r w:rsidR="00D66193" w:rsidRPr="006172D9">
        <w:rPr>
          <w:rFonts w:eastAsia="DFKai-SB"/>
          <w:u w:val="single"/>
          <w:lang w:val="en-GB"/>
        </w:rPr>
        <w:t xml:space="preserve"> </w:t>
      </w:r>
    </w:p>
    <w:p w:rsidR="00D66193" w:rsidRPr="006172D9" w:rsidRDefault="00D66193" w:rsidP="004C5D84">
      <w:pPr>
        <w:spacing w:line="360" w:lineRule="auto"/>
        <w:jc w:val="both"/>
        <w:rPr>
          <w:lang w:val="en-GB"/>
        </w:rPr>
      </w:pPr>
    </w:p>
    <w:p w:rsidR="00D66193" w:rsidRPr="006172D9" w:rsidRDefault="00EC3115"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 xml:space="preserve">The plaintiff submits that the same approach, namely applying the “clear-cut rule” as aforesaid in </w:t>
      </w:r>
      <w:r w:rsidRPr="004965A2">
        <w:rPr>
          <w:i/>
        </w:rPr>
        <w:t>Charm Marine Incorporated v Elborne Mitchel</w:t>
      </w:r>
      <w:r>
        <w:rPr>
          <w:i/>
        </w:rPr>
        <w:t>l</w:t>
      </w:r>
      <w:r>
        <w:t xml:space="preserve">, was also adopted by Deputy High Court Judge Sakhrani (as he then was) in </w:t>
      </w:r>
      <w:r w:rsidRPr="005F4B03">
        <w:rPr>
          <w:i/>
        </w:rPr>
        <w:t xml:space="preserve">Gurung Devchandra v Pacific Construction (HK) Co Limited and ors </w:t>
      </w:r>
      <w:r>
        <w:t>HCPI 138 of 2011, judgment dated 15 October 2014, as per paragraphs 9 and 10</w:t>
      </w:r>
      <w:r w:rsidR="00D66193" w:rsidRPr="006172D9">
        <w:rPr>
          <w:lang w:val="en-GB"/>
        </w:rPr>
        <w:t>.</w:t>
      </w:r>
      <w:r w:rsidR="00D66193" w:rsidRPr="006172D9">
        <w:rPr>
          <w:rFonts w:eastAsia="DFKai-SB"/>
          <w:u w:val="single"/>
          <w:lang w:val="en-GB"/>
        </w:rPr>
        <w:t xml:space="preserve"> </w:t>
      </w:r>
    </w:p>
    <w:p w:rsidR="00D66193" w:rsidRPr="006172D9" w:rsidRDefault="00D66193" w:rsidP="004C5D84">
      <w:pPr>
        <w:spacing w:line="360" w:lineRule="auto"/>
        <w:jc w:val="both"/>
        <w:rPr>
          <w:lang w:val="en-GB"/>
        </w:rPr>
      </w:pPr>
    </w:p>
    <w:p w:rsidR="00D66193" w:rsidRPr="006172D9" w:rsidRDefault="00EC3115"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The plaintiff therefore submits that, as long as the plaintiff does better than the sanctioned offer, even by a small margin, O. 22 r. 24 should still apply in this case and that the plaintiff should be granted enhanced interest (suggested to be 5% here) and costs on indemnity basis.  It is also submitted that the plaintiff’s solicitors wrote to the defendant’s solicitors on 16 January 2019 seeking enhanced interest and costs but was not replied to and that the plaintiff should be granted costs on indemnity basis for this plaintiff’s application</w:t>
      </w:r>
      <w:r w:rsidR="00D66193" w:rsidRPr="006172D9">
        <w:rPr>
          <w:lang w:val="en-GB"/>
        </w:rPr>
        <w:t xml:space="preserve">. </w:t>
      </w:r>
    </w:p>
    <w:p w:rsidR="00D66193" w:rsidRPr="006172D9" w:rsidRDefault="00D66193" w:rsidP="004C5D84">
      <w:pPr>
        <w:spacing w:line="360" w:lineRule="auto"/>
        <w:jc w:val="both"/>
        <w:rPr>
          <w:lang w:val="en-GB"/>
        </w:rPr>
      </w:pPr>
    </w:p>
    <w:p w:rsidR="00161E6D" w:rsidRPr="00161E6D" w:rsidRDefault="00EC3115" w:rsidP="00CF6A65">
      <w:pPr>
        <w:numPr>
          <w:ilvl w:val="0"/>
          <w:numId w:val="3"/>
        </w:numPr>
        <w:tabs>
          <w:tab w:val="clear" w:pos="1080"/>
          <w:tab w:val="clear" w:pos="4320"/>
          <w:tab w:val="clear" w:pos="9072"/>
        </w:tabs>
        <w:snapToGrid/>
        <w:spacing w:line="360" w:lineRule="auto"/>
        <w:ind w:left="0" w:firstLine="0"/>
        <w:jc w:val="both"/>
        <w:rPr>
          <w:rFonts w:eastAsia="DFKai-SB"/>
          <w:lang w:val="en-GB" w:eastAsia="zh-HK"/>
        </w:rPr>
      </w:pPr>
      <w:r>
        <w:t>The defendant opposed to this plaintiff’s application.  The only ground is that the criteria under O. 22, r. 24(5) is non-exhaustive and that the Court is entitled to take into consideration all the circumstances of the case including that</w:t>
      </w:r>
      <w:r w:rsidRPr="00216B6C">
        <w:t xml:space="preserve"> </w:t>
      </w:r>
      <w:r>
        <w:t>the plaintiff:</w:t>
      </w:r>
    </w:p>
    <w:p w:rsidR="00161E6D" w:rsidRDefault="00161E6D" w:rsidP="00161E6D">
      <w:pPr>
        <w:pStyle w:val="ListParagraph"/>
        <w:rPr>
          <w:lang w:val="en-GB"/>
        </w:rPr>
      </w:pPr>
    </w:p>
    <w:p w:rsidR="00F10B52" w:rsidRPr="00F10B52" w:rsidRDefault="00F10B52" w:rsidP="004F6F13">
      <w:pPr>
        <w:pStyle w:val="ListParagraph"/>
        <w:numPr>
          <w:ilvl w:val="0"/>
          <w:numId w:val="12"/>
        </w:numPr>
        <w:tabs>
          <w:tab w:val="clear" w:pos="4320"/>
          <w:tab w:val="clear" w:pos="9072"/>
          <w:tab w:val="right" w:pos="8640"/>
        </w:tabs>
        <w:snapToGrid/>
        <w:spacing w:line="360" w:lineRule="auto"/>
        <w:ind w:left="1440" w:right="-36" w:hanging="720"/>
        <w:jc w:val="both"/>
        <w:rPr>
          <w:rFonts w:eastAsia="DFKai-SB"/>
          <w:lang w:val="en-GB" w:eastAsia="zh-HK"/>
        </w:rPr>
      </w:pPr>
      <w:r w:rsidRPr="00216B6C">
        <w:lastRenderedPageBreak/>
        <w:t>did not succeed in every allegation and there was</w:t>
      </w:r>
      <w:r>
        <w:t xml:space="preserve"> </w:t>
      </w:r>
      <w:r w:rsidRPr="00216B6C">
        <w:t>apparent evidence of gross exaggeration and/or unreasonable conduct; and</w:t>
      </w:r>
    </w:p>
    <w:p w:rsidR="00D66193" w:rsidRPr="00F10B52" w:rsidRDefault="00F10B52" w:rsidP="004F6F13">
      <w:pPr>
        <w:pStyle w:val="ListParagraph"/>
        <w:numPr>
          <w:ilvl w:val="0"/>
          <w:numId w:val="12"/>
        </w:numPr>
        <w:tabs>
          <w:tab w:val="clear" w:pos="4320"/>
          <w:tab w:val="clear" w:pos="9072"/>
          <w:tab w:val="right" w:pos="8640"/>
        </w:tabs>
        <w:snapToGrid/>
        <w:spacing w:line="360" w:lineRule="auto"/>
        <w:ind w:left="1440" w:right="-36" w:hanging="720"/>
        <w:jc w:val="both"/>
        <w:rPr>
          <w:rFonts w:eastAsia="DFKai-SB"/>
          <w:lang w:val="en-GB" w:eastAsia="zh-HK"/>
        </w:rPr>
      </w:pPr>
      <w:r>
        <w:t>only succeeded by a very minimal amount of $4,342.</w:t>
      </w:r>
      <w:r w:rsidR="00D66193" w:rsidRPr="00F10B52">
        <w:rPr>
          <w:lang w:val="en-GB"/>
        </w:rPr>
        <w:t xml:space="preserve">  </w:t>
      </w:r>
    </w:p>
    <w:p w:rsidR="00D66193" w:rsidRPr="006172D9" w:rsidRDefault="00D66193" w:rsidP="004C5D84">
      <w:pPr>
        <w:pStyle w:val="ListParagraph"/>
        <w:spacing w:line="360" w:lineRule="auto"/>
        <w:ind w:left="0"/>
        <w:jc w:val="both"/>
        <w:rPr>
          <w:rFonts w:eastAsia="DFKai-SB"/>
          <w:lang w:val="en-GB" w:eastAsia="zh-HK"/>
        </w:rPr>
      </w:pPr>
    </w:p>
    <w:p w:rsidR="00D66193" w:rsidRPr="006172D9" w:rsidRDefault="007B5E03"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t>In my view, the ultimate question is whether it is unjust to order enhanced interest and costs on indemnity basis in all the circumstances of the case.  If it is not unjust to do so, an order or orders should be made accordingly under O. 22, r. 24</w:t>
      </w:r>
      <w:r w:rsidR="00D66193" w:rsidRPr="006172D9">
        <w:rPr>
          <w:lang w:val="en-GB" w:eastAsia="zh-HK"/>
        </w:rPr>
        <w:t>.</w:t>
      </w:r>
    </w:p>
    <w:p w:rsidR="00D66193" w:rsidRPr="006172D9" w:rsidRDefault="00D66193" w:rsidP="004C5D84">
      <w:pPr>
        <w:tabs>
          <w:tab w:val="left" w:pos="0"/>
        </w:tabs>
        <w:spacing w:line="360" w:lineRule="auto"/>
        <w:jc w:val="both"/>
        <w:rPr>
          <w:rFonts w:eastAsia="DFKai-SB"/>
          <w:lang w:val="en-GB"/>
        </w:rPr>
      </w:pPr>
    </w:p>
    <w:p w:rsidR="00D66193" w:rsidRPr="006172D9" w:rsidRDefault="00BA523A"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t>Having considered all the circumstances of the case and the parties’ submissions, I am not convinced that the circumstances as relied upon by the defendant amount to a valid objection to the plaintiff’s application.  There is nothing unjust to make orders for enhanced interest and costs on indemnity basis in the circumstances of this case</w:t>
      </w:r>
      <w:r w:rsidR="00D66193" w:rsidRPr="006172D9">
        <w:rPr>
          <w:lang w:val="en-GB"/>
        </w:rPr>
        <w:t xml:space="preserve">.  </w:t>
      </w:r>
    </w:p>
    <w:p w:rsidR="00D66193" w:rsidRPr="006172D9" w:rsidRDefault="00D66193" w:rsidP="004C5D84">
      <w:pPr>
        <w:pStyle w:val="ListParagraph"/>
        <w:spacing w:line="360" w:lineRule="auto"/>
        <w:ind w:left="0"/>
        <w:jc w:val="both"/>
        <w:rPr>
          <w:rFonts w:eastAsia="DFKai-SB"/>
          <w:lang w:val="en-GB"/>
        </w:rPr>
      </w:pPr>
    </w:p>
    <w:p w:rsidR="00D66193" w:rsidRPr="006172D9" w:rsidRDefault="00BA523A" w:rsidP="00CF6A65">
      <w:pPr>
        <w:numPr>
          <w:ilvl w:val="0"/>
          <w:numId w:val="3"/>
        </w:numPr>
        <w:tabs>
          <w:tab w:val="clear" w:pos="1080"/>
          <w:tab w:val="clear" w:pos="4320"/>
          <w:tab w:val="clear" w:pos="9072"/>
          <w:tab w:val="left" w:pos="0"/>
        </w:tabs>
        <w:snapToGrid/>
        <w:spacing w:line="360" w:lineRule="auto"/>
        <w:ind w:left="0" w:firstLine="0"/>
        <w:jc w:val="both"/>
        <w:rPr>
          <w:rFonts w:eastAsia="DFKai-SB"/>
          <w:lang w:val="en-GB"/>
        </w:rPr>
      </w:pPr>
      <w:r>
        <w:t>It is true that I rejected, in whole or in part, some of the plaintiff’s claims under the heads of special damages (for travelling expenses, tonic food, laundry expenses, part-time domestic helper expenses and drugs over the counter) and future expenses.  Nevertheless, my rejection of the plaintiff’s claims as aforesaid had already been reflected in the final award of the damages</w:t>
      </w:r>
      <w:r w:rsidR="00D66193" w:rsidRPr="006172D9">
        <w:rPr>
          <w:lang w:val="en-GB"/>
        </w:rPr>
        <w:t>.</w:t>
      </w:r>
    </w:p>
    <w:p w:rsidR="00D66193" w:rsidRPr="006172D9" w:rsidRDefault="00D66193" w:rsidP="004C5D84">
      <w:pPr>
        <w:pStyle w:val="ListParagraph"/>
        <w:spacing w:line="360" w:lineRule="auto"/>
        <w:ind w:left="0"/>
        <w:jc w:val="both"/>
        <w:rPr>
          <w:rFonts w:eastAsia="DFKai-SB"/>
          <w:lang w:val="en-GB"/>
        </w:rPr>
      </w:pPr>
    </w:p>
    <w:p w:rsidR="00D66193" w:rsidRPr="006172D9" w:rsidRDefault="00BA523A"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rsidRPr="009160CD">
        <w:t>It is noted that, the plaintiff though d</w:t>
      </w:r>
      <w:r>
        <w:t>oes</w:t>
      </w:r>
      <w:r w:rsidRPr="009160CD">
        <w:t xml:space="preserve"> not succeed in all her claims under the heads of special damages and future expenses, she succeed</w:t>
      </w:r>
      <w:r>
        <w:t>s</w:t>
      </w:r>
      <w:r w:rsidRPr="009160CD">
        <w:t xml:space="preserve"> in some of them.  For the total amount of special damages, she </w:t>
      </w:r>
      <w:r>
        <w:t>i</w:t>
      </w:r>
      <w:r w:rsidRPr="009160CD">
        <w:t xml:space="preserve">s eventually awarded a sum of $54,342, which </w:t>
      </w:r>
      <w:r>
        <w:t>i</w:t>
      </w:r>
      <w:r w:rsidRPr="009160CD">
        <w:t>s significantly higher than the sum of $19,360 argued by the</w:t>
      </w:r>
      <w:r>
        <w:t xml:space="preserve"> defendant, not to mention the</w:t>
      </w:r>
      <w:r w:rsidRPr="009160CD">
        <w:t xml:space="preserve"> fact that </w:t>
      </w:r>
      <w:r w:rsidRPr="009160CD">
        <w:lastRenderedPageBreak/>
        <w:t xml:space="preserve">the plaintiff </w:t>
      </w:r>
      <w:r>
        <w:t>i</w:t>
      </w:r>
      <w:r w:rsidRPr="009160CD">
        <w:t>s awarded a sum of $250,000 for pain, suffering and loss of amenities after the hearing when the defendant sought to argue an unrealistic sum of $80,000 to $100,000.  I do not lose sight of the fact that the plaintiff has failed completely in some of the claims (like those for drugs over the counter and future expenses) and in some other claims (</w:t>
      </w:r>
      <w:r>
        <w:t>like those for medical expenses already incurred, travelling expenses and tonic food</w:t>
      </w:r>
      <w:r w:rsidRPr="009160CD">
        <w:t>) c</w:t>
      </w:r>
      <w:r>
        <w:t>an</w:t>
      </w:r>
      <w:r w:rsidRPr="009160CD">
        <w:t xml:space="preserve"> only get what the defence agree</w:t>
      </w:r>
      <w:r>
        <w:t>s</w:t>
      </w:r>
      <w:r w:rsidRPr="009160CD">
        <w:t>.   The parties’ arguments in th</w:t>
      </w:r>
      <w:r>
        <w:t>e</w:t>
      </w:r>
      <w:r w:rsidRPr="009160CD">
        <w:t xml:space="preserve">se areas did not take up substantial time in Court and after all, the hearing (including taking of evidence and submissions) took just a total of </w:t>
      </w:r>
      <w:r w:rsidR="00F829DC">
        <w:t>2 days</w:t>
      </w:r>
      <w:r>
        <w:t>.</w:t>
      </w:r>
    </w:p>
    <w:p w:rsidR="00D66193" w:rsidRPr="006172D9" w:rsidRDefault="00D66193" w:rsidP="004C5D84">
      <w:pPr>
        <w:pStyle w:val="ListParagraph"/>
        <w:spacing w:line="360" w:lineRule="auto"/>
        <w:ind w:left="0"/>
        <w:jc w:val="both"/>
        <w:rPr>
          <w:rFonts w:eastAsia="DFKai-SB"/>
          <w:lang w:val="en-GB"/>
        </w:rPr>
      </w:pPr>
    </w:p>
    <w:p w:rsidR="00D66193" w:rsidRPr="006172D9" w:rsidRDefault="003774CB"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What is important here is that the fact remains, that the plaintiff has beaten the sanctioned offer by $4,342 and that the plaintiff has succeeded at the contested hearing</w:t>
      </w:r>
      <w:r w:rsidR="00D66193" w:rsidRPr="006172D9">
        <w:rPr>
          <w:lang w:val="en-GB" w:eastAsia="zh-HK"/>
        </w:rPr>
        <w:t>.</w:t>
      </w:r>
    </w:p>
    <w:p w:rsidR="00D66193" w:rsidRPr="006172D9" w:rsidRDefault="00D66193" w:rsidP="004C5D84">
      <w:pPr>
        <w:tabs>
          <w:tab w:val="left" w:pos="0"/>
        </w:tabs>
        <w:spacing w:line="360" w:lineRule="auto"/>
        <w:jc w:val="both"/>
        <w:rPr>
          <w:rFonts w:eastAsia="DFKai-SB"/>
          <w:lang w:val="en-GB"/>
        </w:rPr>
      </w:pPr>
    </w:p>
    <w:p w:rsidR="00D66193" w:rsidRPr="006172D9" w:rsidRDefault="003774CB"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 xml:space="preserve">It is also noted that the sanctioned offer was made by the plaintiff about three months before the first day of the hearing and by then, the defendant should have all the essential information required to consider whether or not the sanctioned offer should be accepted.   In any event, the defendant did not reply to the plaintiff by seeking further information or making any counter proposal.  As what was observed by Deputy High Court Judge Sakhrani (as he then was) at paragraph 11 of the judgement of </w:t>
      </w:r>
      <w:r w:rsidRPr="005F4B03">
        <w:rPr>
          <w:i/>
        </w:rPr>
        <w:t>Gurung Devchandra v Pacific Construction (HK) Co Limited and ors</w:t>
      </w:r>
      <w:r>
        <w:t>, (supra), which is equally valid here in this case, “</w:t>
      </w:r>
      <w:r>
        <w:rPr>
          <w:i/>
        </w:rPr>
        <w:t>the defendants could have added a bit more to the last sanctioned payment and the result will be certain and different on the question of costs”</w:t>
      </w:r>
      <w:r w:rsidR="00D66193" w:rsidRPr="006172D9">
        <w:rPr>
          <w:lang w:val="en-GB"/>
        </w:rPr>
        <w:t>.</w:t>
      </w:r>
    </w:p>
    <w:p w:rsidR="00D66193" w:rsidRPr="006172D9" w:rsidRDefault="00D66193" w:rsidP="004C5D84">
      <w:pPr>
        <w:pStyle w:val="ListParagraph"/>
        <w:spacing w:line="360" w:lineRule="auto"/>
        <w:ind w:left="0"/>
        <w:jc w:val="both"/>
        <w:rPr>
          <w:rFonts w:eastAsia="DFKai-SB"/>
          <w:lang w:val="en-GB"/>
        </w:rPr>
      </w:pPr>
    </w:p>
    <w:p w:rsidR="00D66193" w:rsidRPr="006172D9" w:rsidRDefault="003774CB" w:rsidP="00CF6A65">
      <w:pPr>
        <w:numPr>
          <w:ilvl w:val="0"/>
          <w:numId w:val="3"/>
        </w:numPr>
        <w:tabs>
          <w:tab w:val="clear" w:pos="1080"/>
          <w:tab w:val="clear" w:pos="4320"/>
          <w:tab w:val="clear" w:pos="9072"/>
        </w:tabs>
        <w:snapToGrid/>
        <w:spacing w:line="360" w:lineRule="auto"/>
        <w:ind w:left="0" w:firstLine="0"/>
        <w:jc w:val="both"/>
        <w:rPr>
          <w:lang w:val="en-GB"/>
        </w:rPr>
      </w:pPr>
      <w:r>
        <w:lastRenderedPageBreak/>
        <w:t xml:space="preserve">I am prepared to apply the “clear-cut rule” as suggested in </w:t>
      </w:r>
      <w:r w:rsidRPr="004965A2">
        <w:rPr>
          <w:i/>
        </w:rPr>
        <w:t>Charm Marine Incorporated v Elborne Mitchel</w:t>
      </w:r>
      <w:r>
        <w:rPr>
          <w:i/>
        </w:rPr>
        <w:t>l</w:t>
      </w:r>
      <w:r>
        <w:t>, and of the view that the small margin that the plaintiff succeeds in her final claim over the sanctioned offer should only be reflected in the percentage of the enhanced interest, which is a matter of discretion for the Court</w:t>
      </w:r>
      <w:r w:rsidR="00D66193" w:rsidRPr="006172D9">
        <w:rPr>
          <w:lang w:val="en-GB"/>
        </w:rPr>
        <w:t>.</w:t>
      </w:r>
    </w:p>
    <w:p w:rsidR="00D66193" w:rsidRPr="006172D9" w:rsidRDefault="00D66193" w:rsidP="004C5D84">
      <w:pPr>
        <w:tabs>
          <w:tab w:val="left" w:pos="720"/>
        </w:tabs>
        <w:spacing w:line="360" w:lineRule="auto"/>
        <w:jc w:val="both"/>
        <w:rPr>
          <w:lang w:val="en-GB"/>
        </w:rPr>
      </w:pPr>
      <w:r w:rsidRPr="006172D9">
        <w:rPr>
          <w:lang w:val="en-GB"/>
        </w:rPr>
        <w:t xml:space="preserve"> </w:t>
      </w:r>
    </w:p>
    <w:p w:rsidR="00D66193" w:rsidRPr="003774CB" w:rsidRDefault="003774CB"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I shall grant the plaintiff’s application except that the enhanced interest should be 2% (instead of 5% as suggested by the plaintiff) above the judgment rate, in view of the small margin which the final award exceeds the sanctioned offer and all other circumstances of the case</w:t>
      </w:r>
      <w:r w:rsidR="00D66193" w:rsidRPr="006172D9">
        <w:rPr>
          <w:lang w:val="en-GB"/>
        </w:rPr>
        <w:t>.</w:t>
      </w:r>
    </w:p>
    <w:p w:rsidR="003774CB" w:rsidRDefault="003774CB" w:rsidP="003774CB">
      <w:pPr>
        <w:pStyle w:val="ListParagraph"/>
        <w:ind w:left="0"/>
        <w:rPr>
          <w:rFonts w:eastAsia="DFKai-SB"/>
          <w:lang w:val="en-GB"/>
        </w:rPr>
      </w:pPr>
    </w:p>
    <w:p w:rsidR="003774CB" w:rsidRPr="006172D9" w:rsidRDefault="003774CB"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As the plaintiff succeeds in the plaintiff’s application, there is no reason why the plaintiff should not be granted costs accordingly</w:t>
      </w:r>
      <w:r w:rsidR="00C50662">
        <w:t>.</w:t>
      </w:r>
    </w:p>
    <w:p w:rsidR="00D66193" w:rsidRPr="006172D9" w:rsidRDefault="00D66193" w:rsidP="004C5D84">
      <w:pPr>
        <w:pStyle w:val="ListParagraph"/>
        <w:spacing w:line="360" w:lineRule="auto"/>
        <w:ind w:left="0"/>
        <w:jc w:val="both"/>
        <w:rPr>
          <w:rFonts w:eastAsia="DFKai-SB"/>
          <w:lang w:val="en-GB"/>
        </w:rPr>
      </w:pPr>
    </w:p>
    <w:p w:rsidR="00D66193" w:rsidRPr="006172D9" w:rsidRDefault="00971064" w:rsidP="004C5D84">
      <w:pPr>
        <w:pStyle w:val="ListParagraph"/>
        <w:spacing w:line="360" w:lineRule="auto"/>
        <w:ind w:left="0"/>
        <w:jc w:val="both"/>
        <w:rPr>
          <w:rFonts w:eastAsia="DFKai-SB"/>
          <w:i/>
          <w:lang w:val="en-GB"/>
        </w:rPr>
      </w:pPr>
      <w:r>
        <w:rPr>
          <w:rFonts w:eastAsia="DFKai-SB"/>
          <w:i/>
          <w:lang w:val="en-GB"/>
        </w:rPr>
        <w:t>The defendant’s application</w:t>
      </w:r>
    </w:p>
    <w:p w:rsidR="00D66193" w:rsidRPr="006172D9" w:rsidRDefault="00D66193" w:rsidP="004C5D84">
      <w:pPr>
        <w:pStyle w:val="ListParagraph"/>
        <w:spacing w:line="360" w:lineRule="auto"/>
        <w:ind w:left="0"/>
        <w:jc w:val="both"/>
        <w:rPr>
          <w:rFonts w:eastAsia="DFKai-SB"/>
          <w:lang w:val="en-GB"/>
        </w:rPr>
      </w:pPr>
    </w:p>
    <w:p w:rsidR="00D66193" w:rsidRPr="006172D9" w:rsidRDefault="00ED5E5F"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The basis of the defendant’s application, in simple terms, is that the plaintiff’s costs in these proceedings should only be partially allowed as the plaintiff has only succeeded in less than one-third of her claim under the head of special damages and she failed completely in her claim under the head of future expenses</w:t>
      </w:r>
      <w:r w:rsidR="009D5CA1">
        <w:rPr>
          <w:lang w:val="en-GB"/>
        </w:rPr>
        <w:t>.</w:t>
      </w:r>
    </w:p>
    <w:p w:rsidR="00D66193" w:rsidRPr="006172D9" w:rsidRDefault="00D66193" w:rsidP="004C5D84">
      <w:pPr>
        <w:tabs>
          <w:tab w:val="left" w:pos="0"/>
        </w:tabs>
        <w:spacing w:line="360" w:lineRule="auto"/>
        <w:jc w:val="both"/>
        <w:rPr>
          <w:rFonts w:eastAsia="DFKai-SB"/>
          <w:lang w:val="en-GB"/>
        </w:rPr>
      </w:pPr>
    </w:p>
    <w:p w:rsidR="00D66193" w:rsidRPr="006172D9" w:rsidRDefault="009202B8"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The defendant relies on O. 62 rule 5(1) and (2) of the Rules of the District Court, Cap. 336H, that the Court when exercising its discretion as to costs shall take into account the conduct of the parties and whether the party has succeeded on part of his case</w:t>
      </w:r>
      <w:r w:rsidR="00D66193" w:rsidRPr="006172D9">
        <w:rPr>
          <w:lang w:val="en-GB" w:eastAsia="zh-HK"/>
        </w:rPr>
        <w:t>.</w:t>
      </w:r>
    </w:p>
    <w:p w:rsidR="00D66193" w:rsidRPr="006172D9" w:rsidRDefault="00D66193" w:rsidP="004C5D84">
      <w:pPr>
        <w:pStyle w:val="ListParagraph"/>
        <w:spacing w:line="360" w:lineRule="auto"/>
        <w:ind w:left="0"/>
        <w:jc w:val="both"/>
        <w:rPr>
          <w:rFonts w:eastAsia="DFKai-SB"/>
          <w:lang w:val="en-GB"/>
        </w:rPr>
      </w:pPr>
    </w:p>
    <w:p w:rsidR="00D66193" w:rsidRPr="006172D9" w:rsidRDefault="009202B8"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The plaintiff opposed to the defendant’s application</w:t>
      </w:r>
      <w:r w:rsidR="00D66193" w:rsidRPr="006172D9">
        <w:rPr>
          <w:lang w:val="en-GB"/>
        </w:rPr>
        <w:t xml:space="preserve">.  </w:t>
      </w:r>
    </w:p>
    <w:p w:rsidR="00D66193" w:rsidRPr="006172D9" w:rsidRDefault="00D66193" w:rsidP="004C5D84">
      <w:pPr>
        <w:pStyle w:val="ListParagraph"/>
        <w:spacing w:line="360" w:lineRule="auto"/>
        <w:ind w:left="0"/>
        <w:jc w:val="both"/>
        <w:rPr>
          <w:lang w:val="en-GB"/>
        </w:rPr>
      </w:pPr>
    </w:p>
    <w:p w:rsidR="00D66193" w:rsidRPr="006172D9" w:rsidRDefault="009202B8"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In fact, the parties’ arguments here are similar to those raised for arguing the plaintiff’s application as aforesaid</w:t>
      </w:r>
      <w:r w:rsidR="00D66193" w:rsidRPr="006172D9">
        <w:rPr>
          <w:lang w:val="en-GB"/>
        </w:rPr>
        <w:t xml:space="preserve">.  </w:t>
      </w:r>
    </w:p>
    <w:p w:rsidR="00D66193" w:rsidRPr="006172D9" w:rsidRDefault="00D66193" w:rsidP="004C5D84">
      <w:pPr>
        <w:tabs>
          <w:tab w:val="left" w:pos="0"/>
          <w:tab w:val="left" w:pos="720"/>
        </w:tabs>
        <w:spacing w:line="360" w:lineRule="auto"/>
        <w:jc w:val="both"/>
        <w:rPr>
          <w:rFonts w:eastAsia="DFKai-SB"/>
          <w:lang w:val="en-GB"/>
        </w:rPr>
      </w:pPr>
    </w:p>
    <w:p w:rsidR="00D66193" w:rsidRPr="006172D9" w:rsidRDefault="009202B8"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For reasons same as those set out in paragraphs 15 to 18 above, I do not consider that the plaintiff should be deprived of any of her costs for the mere fact that she does not succeed in all of her claims under different heads.  The fact remains that the plaintiff has beaten the sanctioned offer which she made to the defendant.  It is also worth-noting that the final reward of $304,342 in total after the hearing is significantly higher than the argued sum of $99,360 to $119,360 by the defendant.  I do not find anything in the circumstances of this case, including the parties’ conduct before and at the hearing, which should justify a departure from the general principle that costs should follow the event</w:t>
      </w:r>
      <w:r w:rsidR="00D66193" w:rsidRPr="006172D9">
        <w:rPr>
          <w:lang w:val="en-GB"/>
        </w:rPr>
        <w:t xml:space="preserve">.   </w:t>
      </w:r>
    </w:p>
    <w:p w:rsidR="00D66193" w:rsidRPr="006172D9" w:rsidRDefault="00D66193" w:rsidP="004C5D84">
      <w:pPr>
        <w:pStyle w:val="ListParagraph"/>
        <w:spacing w:line="360" w:lineRule="auto"/>
        <w:ind w:left="0"/>
        <w:jc w:val="both"/>
        <w:rPr>
          <w:lang w:val="en-GB"/>
        </w:rPr>
      </w:pPr>
    </w:p>
    <w:p w:rsidR="00D66193" w:rsidRPr="006172D9" w:rsidRDefault="009202B8" w:rsidP="00CF6A65">
      <w:pPr>
        <w:numPr>
          <w:ilvl w:val="0"/>
          <w:numId w:val="3"/>
        </w:numPr>
        <w:tabs>
          <w:tab w:val="clear" w:pos="1080"/>
          <w:tab w:val="clear" w:pos="4320"/>
          <w:tab w:val="clear" w:pos="9072"/>
        </w:tabs>
        <w:snapToGrid/>
        <w:spacing w:line="360" w:lineRule="auto"/>
        <w:ind w:left="0" w:firstLine="0"/>
        <w:jc w:val="both"/>
        <w:rPr>
          <w:rFonts w:eastAsia="DFKai-SB"/>
          <w:lang w:val="en-GB"/>
        </w:rPr>
      </w:pPr>
      <w:r>
        <w:t>I shall refuse the defendant’s application.  As the defendant fails in the defendant’s application, there is no reason why the plaintiff should not be granted costs accordingly</w:t>
      </w:r>
      <w:r w:rsidR="00D66193" w:rsidRPr="006172D9">
        <w:rPr>
          <w:lang w:val="en-GB"/>
        </w:rPr>
        <w:t xml:space="preserve">. </w:t>
      </w:r>
    </w:p>
    <w:p w:rsidR="00D66193" w:rsidRDefault="00D66193" w:rsidP="004C5D84">
      <w:pPr>
        <w:pStyle w:val="ListParagraph"/>
        <w:spacing w:line="360" w:lineRule="auto"/>
        <w:ind w:left="0"/>
        <w:jc w:val="both"/>
        <w:rPr>
          <w:rFonts w:eastAsia="DFKai-SB"/>
          <w:lang w:val="en-GB"/>
        </w:rPr>
      </w:pPr>
    </w:p>
    <w:p w:rsidR="00325770" w:rsidRPr="00325770" w:rsidRDefault="00325770" w:rsidP="004C5D84">
      <w:pPr>
        <w:pStyle w:val="ListParagraph"/>
        <w:spacing w:line="360" w:lineRule="auto"/>
        <w:ind w:left="0"/>
        <w:jc w:val="both"/>
        <w:rPr>
          <w:rFonts w:eastAsia="DFKai-SB"/>
          <w:i/>
          <w:lang w:val="en-GB"/>
        </w:rPr>
      </w:pPr>
      <w:r>
        <w:rPr>
          <w:rFonts w:eastAsia="DFKai-SB"/>
          <w:i/>
          <w:lang w:val="en-GB"/>
        </w:rPr>
        <w:t>Disposal</w:t>
      </w:r>
    </w:p>
    <w:p w:rsidR="00325770" w:rsidRPr="006172D9" w:rsidRDefault="00325770" w:rsidP="004C5D84">
      <w:pPr>
        <w:pStyle w:val="ListParagraph"/>
        <w:spacing w:line="360" w:lineRule="auto"/>
        <w:ind w:left="0"/>
        <w:jc w:val="both"/>
        <w:rPr>
          <w:rFonts w:eastAsia="DFKai-SB"/>
          <w:lang w:val="en-GB"/>
        </w:rPr>
      </w:pPr>
    </w:p>
    <w:p w:rsidR="00D66193" w:rsidRPr="006172D9" w:rsidRDefault="009202B8" w:rsidP="00CF6A65">
      <w:pPr>
        <w:numPr>
          <w:ilvl w:val="0"/>
          <w:numId w:val="3"/>
        </w:numPr>
        <w:tabs>
          <w:tab w:val="clear" w:pos="1080"/>
          <w:tab w:val="clear" w:pos="4320"/>
          <w:tab w:val="clear" w:pos="9072"/>
        </w:tabs>
        <w:snapToGrid/>
        <w:spacing w:line="360" w:lineRule="auto"/>
        <w:ind w:left="0" w:firstLine="0"/>
        <w:jc w:val="both"/>
        <w:rPr>
          <w:lang w:val="en-GB"/>
        </w:rPr>
      </w:pPr>
      <w:r w:rsidRPr="000D05BF">
        <w:t xml:space="preserve">Now, I am prepared to amend the costs order </w:t>
      </w:r>
      <w:r w:rsidRPr="000D05BF">
        <w:rPr>
          <w:i/>
        </w:rPr>
        <w:t>nisi</w:t>
      </w:r>
      <w:r w:rsidRPr="000D05BF">
        <w:t xml:space="preserve"> and make an order absolute as follows:</w:t>
      </w:r>
    </w:p>
    <w:p w:rsidR="00D66193" w:rsidRPr="006172D9" w:rsidRDefault="00D66193" w:rsidP="004C5D84">
      <w:pPr>
        <w:spacing w:line="360" w:lineRule="auto"/>
        <w:jc w:val="both"/>
        <w:rPr>
          <w:lang w:val="en-GB"/>
        </w:rPr>
      </w:pPr>
    </w:p>
    <w:p w:rsidR="00FD42DC" w:rsidRDefault="00FD42DC" w:rsidP="003025B7">
      <w:pPr>
        <w:numPr>
          <w:ilvl w:val="0"/>
          <w:numId w:val="16"/>
        </w:numPr>
        <w:tabs>
          <w:tab w:val="clear" w:pos="1080"/>
        </w:tabs>
        <w:spacing w:line="360" w:lineRule="auto"/>
        <w:ind w:left="1440" w:right="-36"/>
        <w:jc w:val="both"/>
      </w:pPr>
      <w:r>
        <w:t>the costs from the date of the writ of summons up to 28 days after the date of the sanctioned offer made on 14 June 2017 be to the plaintiff, with certificate for counsel, to be taxed if not agreed;</w:t>
      </w:r>
    </w:p>
    <w:p w:rsidR="00FD42DC" w:rsidRPr="002E191D" w:rsidRDefault="00FD42DC" w:rsidP="003025B7">
      <w:pPr>
        <w:numPr>
          <w:ilvl w:val="0"/>
          <w:numId w:val="16"/>
        </w:numPr>
        <w:tabs>
          <w:tab w:val="clear" w:pos="1080"/>
          <w:tab w:val="num" w:pos="1440"/>
        </w:tabs>
        <w:spacing w:line="360" w:lineRule="auto"/>
        <w:ind w:left="1440" w:right="-36"/>
        <w:jc w:val="both"/>
      </w:pPr>
      <w:r>
        <w:lastRenderedPageBreak/>
        <w:t>the costs of these proceedings, including all the costs reserved, if any, incurred by the plaintiff after 28 days of the sanction</w:t>
      </w:r>
      <w:r w:rsidR="00353C55">
        <w:t>ed</w:t>
      </w:r>
      <w:r>
        <w:t xml:space="preserve"> offer made on 14 June 2017 </w:t>
      </w:r>
      <w:r w:rsidR="008B0C65">
        <w:t xml:space="preserve">up to the date of </w:t>
      </w:r>
      <w:r w:rsidR="00956B35">
        <w:t>this decision on costs</w:t>
      </w:r>
      <w:r w:rsidR="008B0C65">
        <w:t xml:space="preserve"> </w:t>
      </w:r>
      <w:r>
        <w:t xml:space="preserve">be paid by the </w:t>
      </w:r>
      <w:r w:rsidR="00D813C0">
        <w:t>defendant to the plaintiff on the</w:t>
      </w:r>
      <w:r w:rsidR="00CD4664">
        <w:t xml:space="preserve"> indemnity basis</w:t>
      </w:r>
      <w:r w:rsidR="002339C7">
        <w:t>,</w:t>
      </w:r>
      <w:r w:rsidR="00CD4664" w:rsidRPr="00CD4664">
        <w:t xml:space="preserve"> </w:t>
      </w:r>
      <w:r w:rsidR="00CD4664">
        <w:t xml:space="preserve">with certificate for counsel, </w:t>
      </w:r>
      <w:r>
        <w:t>to be taxed if not agreed;</w:t>
      </w:r>
    </w:p>
    <w:p w:rsidR="00FD42DC" w:rsidRDefault="00FD42DC" w:rsidP="003025B7">
      <w:pPr>
        <w:numPr>
          <w:ilvl w:val="0"/>
          <w:numId w:val="16"/>
        </w:numPr>
        <w:tabs>
          <w:tab w:val="clear" w:pos="1080"/>
          <w:tab w:val="num" w:pos="1440"/>
        </w:tabs>
        <w:spacing w:line="360" w:lineRule="auto"/>
        <w:ind w:left="1440" w:right="-36"/>
        <w:jc w:val="both"/>
      </w:pPr>
      <w:r>
        <w:t>the interest on the costs referred to in sub-paragraph (b) be paid by the defendant to the plaintiff at a rate</w:t>
      </w:r>
      <w:r w:rsidR="004164CD">
        <w:t xml:space="preserve"> of 2% above the judgment rate;</w:t>
      </w:r>
    </w:p>
    <w:p w:rsidR="00FD42DC" w:rsidRDefault="00FD42DC" w:rsidP="003025B7">
      <w:pPr>
        <w:numPr>
          <w:ilvl w:val="0"/>
          <w:numId w:val="16"/>
        </w:numPr>
        <w:tabs>
          <w:tab w:val="clear" w:pos="1080"/>
          <w:tab w:val="num" w:pos="1440"/>
        </w:tabs>
        <w:spacing w:line="360" w:lineRule="auto"/>
        <w:ind w:left="1440" w:right="-36"/>
        <w:jc w:val="both"/>
      </w:pPr>
      <w:r w:rsidRPr="00236F35">
        <w:t>the</w:t>
      </w:r>
      <w:r>
        <w:t xml:space="preserve"> </w:t>
      </w:r>
      <w:r w:rsidRPr="00236F35">
        <w:t xml:space="preserve">costs of the plaintiff’s application under the summons dated 24 January 2019 be paid by the defendant to the plaintiff on </w:t>
      </w:r>
      <w:r w:rsidR="000452D7">
        <w:t xml:space="preserve">the </w:t>
      </w:r>
      <w:r w:rsidR="000D49F9">
        <w:t>indemnity</w:t>
      </w:r>
      <w:r w:rsidR="000452D7">
        <w:t xml:space="preserve"> </w:t>
      </w:r>
      <w:r w:rsidRPr="00236F35">
        <w:t>basis, with certificate for counsel, to be taxed if not agreed</w:t>
      </w:r>
      <w:r>
        <w:t>;</w:t>
      </w:r>
    </w:p>
    <w:p w:rsidR="00FD42DC" w:rsidRDefault="00FD42DC" w:rsidP="003025B7">
      <w:pPr>
        <w:numPr>
          <w:ilvl w:val="0"/>
          <w:numId w:val="16"/>
        </w:numPr>
        <w:tabs>
          <w:tab w:val="clear" w:pos="1080"/>
          <w:tab w:val="num" w:pos="1440"/>
        </w:tabs>
        <w:spacing w:line="360" w:lineRule="auto"/>
        <w:ind w:left="1440" w:right="-36"/>
        <w:jc w:val="both"/>
      </w:pPr>
      <w:r w:rsidRPr="00AE410D">
        <w:t>the costs of the defendant’s application under the summons dated 25 January 2019 be paid by</w:t>
      </w:r>
      <w:r w:rsidR="006E17A0">
        <w:t xml:space="preserve"> the defendant to the plaintiff</w:t>
      </w:r>
      <w:r w:rsidRPr="00AE410D">
        <w:t xml:space="preserve"> </w:t>
      </w:r>
      <w:r w:rsidR="00310598">
        <w:t xml:space="preserve">on the party and party basis, </w:t>
      </w:r>
      <w:r w:rsidRPr="00AE410D">
        <w:t>with certificate for counsel, to be taxed if not agreed</w:t>
      </w:r>
      <w:r>
        <w:t xml:space="preserve">; and </w:t>
      </w:r>
    </w:p>
    <w:p w:rsidR="00D66193" w:rsidRPr="006172D9" w:rsidRDefault="00FD42DC" w:rsidP="003025B7">
      <w:pPr>
        <w:numPr>
          <w:ilvl w:val="0"/>
          <w:numId w:val="16"/>
        </w:numPr>
        <w:tabs>
          <w:tab w:val="clear" w:pos="1080"/>
          <w:tab w:val="clear" w:pos="4320"/>
          <w:tab w:val="clear" w:pos="9072"/>
          <w:tab w:val="num" w:pos="1440"/>
        </w:tabs>
        <w:snapToGrid/>
        <w:spacing w:line="360" w:lineRule="auto"/>
        <w:ind w:left="1440"/>
        <w:jc w:val="both"/>
        <w:rPr>
          <w:lang w:val="en-GB"/>
        </w:rPr>
      </w:pPr>
      <w:r>
        <w:t>the plaintiff’s own costs be taxed in accordance with the Legal Aid Regulations</w:t>
      </w:r>
      <w:r w:rsidR="0081643C">
        <w:rPr>
          <w:lang w:val="en-GB"/>
        </w:rPr>
        <w:t>.</w:t>
      </w:r>
    </w:p>
    <w:p w:rsidR="005B2D79" w:rsidRDefault="005B2D79" w:rsidP="005B2D79">
      <w:pPr>
        <w:tabs>
          <w:tab w:val="clear" w:pos="4320"/>
          <w:tab w:val="clear" w:pos="9072"/>
        </w:tabs>
        <w:spacing w:line="360" w:lineRule="auto"/>
        <w:jc w:val="both"/>
        <w:rPr>
          <w:rFonts w:eastAsia="等线"/>
          <w:lang w:val="en-GB"/>
        </w:rPr>
      </w:pPr>
    </w:p>
    <w:p w:rsidR="004164CD" w:rsidRDefault="004164CD" w:rsidP="005B2D79">
      <w:pPr>
        <w:tabs>
          <w:tab w:val="clear" w:pos="4320"/>
          <w:tab w:val="clear" w:pos="9072"/>
        </w:tabs>
        <w:spacing w:line="360" w:lineRule="auto"/>
        <w:jc w:val="both"/>
        <w:rPr>
          <w:rFonts w:eastAsia="等线"/>
          <w:lang w:val="en-GB"/>
        </w:rPr>
      </w:pPr>
    </w:p>
    <w:p w:rsidR="004164CD" w:rsidRPr="006172D9" w:rsidRDefault="004164CD" w:rsidP="005B2D79">
      <w:pPr>
        <w:tabs>
          <w:tab w:val="clear" w:pos="4320"/>
          <w:tab w:val="clear" w:pos="9072"/>
        </w:tabs>
        <w:spacing w:line="360" w:lineRule="auto"/>
        <w:jc w:val="both"/>
        <w:rPr>
          <w:rFonts w:eastAsia="等线"/>
          <w:lang w:val="en-GB"/>
        </w:rPr>
      </w:pPr>
    </w:p>
    <w:p w:rsidR="005B2D79" w:rsidRPr="006172D9" w:rsidRDefault="005B2D79" w:rsidP="005B2D79">
      <w:pPr>
        <w:pStyle w:val="BodyText"/>
        <w:snapToGrid w:val="0"/>
      </w:pPr>
    </w:p>
    <w:p w:rsidR="005B2D79" w:rsidRPr="006172D9" w:rsidRDefault="005B2D79" w:rsidP="00D66193">
      <w:pPr>
        <w:tabs>
          <w:tab w:val="clear" w:pos="1440"/>
          <w:tab w:val="clear" w:pos="4320"/>
          <w:tab w:val="left" w:pos="1418"/>
          <w:tab w:val="center" w:pos="5880"/>
        </w:tabs>
        <w:kinsoku w:val="0"/>
        <w:jc w:val="both"/>
        <w:rPr>
          <w:lang w:val="en-GB"/>
        </w:rPr>
      </w:pPr>
      <w:r w:rsidRPr="006172D9">
        <w:rPr>
          <w:lang w:val="en-GB"/>
        </w:rPr>
        <w:tab/>
      </w:r>
      <w:r w:rsidRPr="006172D9">
        <w:rPr>
          <w:lang w:val="en-GB"/>
        </w:rPr>
        <w:tab/>
        <w:t xml:space="preserve">( </w:t>
      </w:r>
      <w:r w:rsidR="00D66193" w:rsidRPr="006172D9">
        <w:rPr>
          <w:lang w:val="en-GB"/>
        </w:rPr>
        <w:t>Edmond Lee</w:t>
      </w:r>
      <w:r w:rsidRPr="006172D9">
        <w:rPr>
          <w:lang w:val="en-GB"/>
        </w:rPr>
        <w:t xml:space="preserve"> )</w:t>
      </w:r>
    </w:p>
    <w:p w:rsidR="005B2D79" w:rsidRPr="006172D9" w:rsidRDefault="005B2D79" w:rsidP="005B2D79">
      <w:pPr>
        <w:tabs>
          <w:tab w:val="clear" w:pos="1440"/>
          <w:tab w:val="clear" w:pos="4320"/>
          <w:tab w:val="left" w:pos="1418"/>
          <w:tab w:val="center" w:pos="5880"/>
        </w:tabs>
        <w:kinsoku w:val="0"/>
        <w:rPr>
          <w:lang w:val="en-GB"/>
        </w:rPr>
      </w:pPr>
      <w:r w:rsidRPr="006172D9">
        <w:rPr>
          <w:lang w:val="en-GB"/>
        </w:rPr>
        <w:tab/>
      </w:r>
      <w:r w:rsidRPr="006172D9">
        <w:rPr>
          <w:lang w:val="en-GB"/>
        </w:rPr>
        <w:tab/>
        <w:t>District Judge</w:t>
      </w:r>
    </w:p>
    <w:p w:rsidR="005B2D79" w:rsidRPr="006172D9" w:rsidRDefault="005B2D79" w:rsidP="00193AFA">
      <w:pPr>
        <w:pStyle w:val="BodyText"/>
        <w:snapToGrid w:val="0"/>
        <w:spacing w:line="240" w:lineRule="auto"/>
      </w:pPr>
    </w:p>
    <w:p w:rsidR="005B2D79" w:rsidRPr="006172D9" w:rsidRDefault="005B2D79" w:rsidP="00193AFA">
      <w:pPr>
        <w:pStyle w:val="BodyText"/>
        <w:snapToGrid w:val="0"/>
        <w:spacing w:line="240" w:lineRule="auto"/>
      </w:pPr>
    </w:p>
    <w:p w:rsidR="005B2D79" w:rsidRPr="006172D9" w:rsidRDefault="005B2D79" w:rsidP="00D66193">
      <w:pPr>
        <w:tabs>
          <w:tab w:val="clear" w:pos="1440"/>
          <w:tab w:val="clear" w:pos="4320"/>
          <w:tab w:val="left" w:pos="1418"/>
          <w:tab w:val="center" w:pos="5880"/>
        </w:tabs>
        <w:kinsoku w:val="0"/>
        <w:jc w:val="both"/>
        <w:rPr>
          <w:lang w:val="en-GB"/>
        </w:rPr>
      </w:pPr>
      <w:r w:rsidRPr="006172D9">
        <w:rPr>
          <w:lang w:val="en-GB"/>
        </w:rPr>
        <w:t>M</w:t>
      </w:r>
      <w:r w:rsidR="00D66193" w:rsidRPr="006172D9">
        <w:rPr>
          <w:lang w:val="en-GB"/>
        </w:rPr>
        <w:t>s</w:t>
      </w:r>
      <w:r w:rsidRPr="006172D9">
        <w:rPr>
          <w:lang w:val="en-GB"/>
        </w:rPr>
        <w:t xml:space="preserve"> </w:t>
      </w:r>
      <w:r w:rsidR="00D66193" w:rsidRPr="006172D9">
        <w:rPr>
          <w:lang w:val="en-GB"/>
        </w:rPr>
        <w:t>Lorinda Lau</w:t>
      </w:r>
      <w:r w:rsidR="00A016B4" w:rsidRPr="006172D9">
        <w:rPr>
          <w:lang w:val="en-GB"/>
        </w:rPr>
        <w:t xml:space="preserve">, instructed by </w:t>
      </w:r>
      <w:r w:rsidR="00D66193" w:rsidRPr="006172D9">
        <w:rPr>
          <w:lang w:val="en-GB"/>
        </w:rPr>
        <w:t>Hon &amp; Co</w:t>
      </w:r>
      <w:r w:rsidR="00C5737E">
        <w:rPr>
          <w:lang w:val="en-GB"/>
        </w:rPr>
        <w:t>.</w:t>
      </w:r>
      <w:r w:rsidRPr="006172D9">
        <w:rPr>
          <w:lang w:val="en-GB"/>
        </w:rPr>
        <w:t>, assigned by the D</w:t>
      </w:r>
      <w:r w:rsidR="00193AFA" w:rsidRPr="006172D9">
        <w:rPr>
          <w:lang w:val="en-GB"/>
        </w:rPr>
        <w:t xml:space="preserve">irector of </w:t>
      </w:r>
      <w:r w:rsidRPr="006172D9">
        <w:rPr>
          <w:lang w:val="en-GB"/>
        </w:rPr>
        <w:t>Legal Aid, for the plaintiff</w:t>
      </w:r>
    </w:p>
    <w:p w:rsidR="005B2D79" w:rsidRPr="006172D9" w:rsidRDefault="005B2D79" w:rsidP="00D66193">
      <w:pPr>
        <w:tabs>
          <w:tab w:val="clear" w:pos="1440"/>
          <w:tab w:val="clear" w:pos="4320"/>
          <w:tab w:val="left" w:pos="1418"/>
          <w:tab w:val="center" w:pos="5880"/>
        </w:tabs>
        <w:kinsoku w:val="0"/>
        <w:jc w:val="both"/>
        <w:rPr>
          <w:lang w:val="en-GB"/>
        </w:rPr>
      </w:pPr>
    </w:p>
    <w:p w:rsidR="00D25D2D" w:rsidRPr="006172D9" w:rsidRDefault="00A016B4" w:rsidP="00DC59AC">
      <w:pPr>
        <w:tabs>
          <w:tab w:val="clear" w:pos="1440"/>
          <w:tab w:val="clear" w:pos="4320"/>
          <w:tab w:val="left" w:pos="1418"/>
          <w:tab w:val="center" w:pos="5880"/>
        </w:tabs>
        <w:kinsoku w:val="0"/>
        <w:jc w:val="both"/>
        <w:rPr>
          <w:lang w:val="en-GB"/>
        </w:rPr>
      </w:pPr>
      <w:r w:rsidRPr="006172D9">
        <w:rPr>
          <w:lang w:val="en-GB"/>
        </w:rPr>
        <w:t xml:space="preserve">Ms </w:t>
      </w:r>
      <w:r w:rsidR="00D66193" w:rsidRPr="006172D9">
        <w:rPr>
          <w:lang w:val="en-GB"/>
        </w:rPr>
        <w:t>Phyllis Lee</w:t>
      </w:r>
      <w:r w:rsidRPr="006172D9">
        <w:rPr>
          <w:lang w:val="en-GB"/>
        </w:rPr>
        <w:t xml:space="preserve">, instructed by </w:t>
      </w:r>
      <w:r w:rsidR="00D66193" w:rsidRPr="006172D9">
        <w:rPr>
          <w:lang w:val="en-GB"/>
        </w:rPr>
        <w:t>Kenneth C</w:t>
      </w:r>
      <w:r w:rsidR="00186AA2">
        <w:rPr>
          <w:lang w:val="en-GB"/>
        </w:rPr>
        <w:t>.</w:t>
      </w:r>
      <w:r w:rsidR="00D66193" w:rsidRPr="006172D9">
        <w:rPr>
          <w:lang w:val="en-GB"/>
        </w:rPr>
        <w:t xml:space="preserve"> C</w:t>
      </w:r>
      <w:r w:rsidR="00186AA2">
        <w:rPr>
          <w:lang w:val="en-GB"/>
        </w:rPr>
        <w:t>.</w:t>
      </w:r>
      <w:r w:rsidR="00D66193" w:rsidRPr="006172D9">
        <w:rPr>
          <w:lang w:val="en-GB"/>
        </w:rPr>
        <w:t xml:space="preserve"> Man &amp; Co</w:t>
      </w:r>
      <w:r w:rsidRPr="006172D9">
        <w:rPr>
          <w:lang w:val="en-GB"/>
        </w:rPr>
        <w:t>, for the defendant</w:t>
      </w:r>
    </w:p>
    <w:sectPr w:rsidR="00D25D2D" w:rsidRPr="006172D9"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A7F" w:rsidRDefault="00695A7F">
      <w:r>
        <w:separator/>
      </w:r>
    </w:p>
  </w:endnote>
  <w:endnote w:type="continuationSeparator" w:id="0">
    <w:p w:rsidR="00695A7F" w:rsidRDefault="0069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02" w:rsidRDefault="009F4D02">
    <w:pPr>
      <w:pStyle w:val="Footer"/>
      <w:framePr w:wrap="auto" w:vAnchor="text" w:hAnchor="margin" w:xAlign="right" w:y="1"/>
      <w:rPr>
        <w:rStyle w:val="PageNumber"/>
      </w:rPr>
    </w:pPr>
  </w:p>
  <w:p w:rsidR="009F4D02" w:rsidRDefault="009F4D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A7F" w:rsidRDefault="00695A7F">
      <w:r>
        <w:separator/>
      </w:r>
    </w:p>
  </w:footnote>
  <w:footnote w:type="continuationSeparator" w:id="0">
    <w:p w:rsidR="00695A7F" w:rsidRDefault="00695A7F">
      <w:r>
        <w:continuationSeparator/>
      </w:r>
    </w:p>
  </w:footnote>
  <w:footnote w:id="1">
    <w:p w:rsidR="00390243" w:rsidRPr="00566A6D" w:rsidRDefault="00390243" w:rsidP="00390243">
      <w:pPr>
        <w:pStyle w:val="FootnoteText"/>
        <w:tabs>
          <w:tab w:val="left" w:pos="284"/>
        </w:tabs>
        <w:ind w:left="284" w:hanging="284"/>
      </w:pPr>
      <w:r w:rsidRPr="00566A6D">
        <w:rPr>
          <w:rStyle w:val="FootnoteReference"/>
        </w:rPr>
        <w:footnoteRef/>
      </w:r>
      <w:r>
        <w:rPr>
          <w:rFonts w:hint="eastAsia"/>
        </w:rPr>
        <w:tab/>
      </w:r>
      <w:r w:rsidRPr="00566A6D">
        <w:t>Unreported, Tran</w:t>
      </w:r>
      <w:r>
        <w:t>script: Smith Bernal, 22 July 1997, quoted at para.25 of the j</w:t>
      </w:r>
      <w:r w:rsidRPr="00566A6D">
        <w:t xml:space="preserve">udgment in </w:t>
      </w:r>
      <w:r w:rsidRPr="00566A6D">
        <w:rPr>
          <w:i/>
        </w:rPr>
        <w:t>Lau Chi Keung</w:t>
      </w:r>
      <w:r>
        <w:t>, op cit</w:t>
      </w:r>
      <w:r w:rsidRPr="00566A6D">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02" w:rsidRDefault="009F4D02">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rsidP="005B2D79">
                          <w:pPr>
                            <w:ind w:right="-165"/>
                            <w:rPr>
                              <w:b/>
                              <w:bCs/>
                              <w:sz w:val="20"/>
                              <w:szCs w:val="20"/>
                            </w:rPr>
                          </w:pPr>
                          <w:r>
                            <w:rPr>
                              <w:b/>
                              <w:bCs/>
                              <w:sz w:val="20"/>
                              <w:szCs w:val="20"/>
                            </w:rPr>
                            <w:t>A</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B</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C</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pStyle w:val="Heading2"/>
                            <w:ind w:right="-165"/>
                            <w:rPr>
                              <w:sz w:val="16"/>
                              <w:szCs w:val="16"/>
                            </w:rPr>
                          </w:pPr>
                          <w:r>
                            <w:t>D</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E</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F</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G</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H</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I</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J</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K</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L</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M</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N</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O</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P</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Q</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R</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S</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T</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U</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Pr="005B2D79" w:rsidRDefault="009F4D02"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9F4D02" w:rsidRDefault="009F4D02" w:rsidP="005B2D79">
                    <w:pPr>
                      <w:ind w:right="-165"/>
                      <w:rPr>
                        <w:b/>
                        <w:bCs/>
                        <w:sz w:val="20"/>
                        <w:szCs w:val="20"/>
                      </w:rPr>
                    </w:pPr>
                    <w:r>
                      <w:rPr>
                        <w:b/>
                        <w:bCs/>
                        <w:sz w:val="20"/>
                        <w:szCs w:val="20"/>
                      </w:rPr>
                      <w:t>A</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B</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C</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pStyle w:val="Heading2"/>
                      <w:ind w:right="-165"/>
                      <w:rPr>
                        <w:sz w:val="16"/>
                        <w:szCs w:val="16"/>
                      </w:rPr>
                    </w:pPr>
                    <w:r>
                      <w:t>D</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E</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20"/>
                        <w:szCs w:val="20"/>
                      </w:rPr>
                    </w:pPr>
                    <w:r>
                      <w:rPr>
                        <w:b/>
                        <w:bCs/>
                        <w:sz w:val="20"/>
                        <w:szCs w:val="20"/>
                      </w:rPr>
                      <w:t>F</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G</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H</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I</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J</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K</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L</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M</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N</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O</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P</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Q</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R</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S</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T</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Default="009F4D02" w:rsidP="005B2D79">
                    <w:pPr>
                      <w:ind w:right="-165"/>
                      <w:rPr>
                        <w:b/>
                        <w:bCs/>
                        <w:sz w:val="16"/>
                        <w:szCs w:val="16"/>
                      </w:rPr>
                    </w:pPr>
                    <w:r>
                      <w:rPr>
                        <w:b/>
                        <w:bCs/>
                        <w:sz w:val="20"/>
                        <w:szCs w:val="20"/>
                      </w:rPr>
                      <w:t>U</w:t>
                    </w:r>
                  </w:p>
                  <w:p w:rsidR="009F4D02" w:rsidRDefault="009F4D02" w:rsidP="005B2D79">
                    <w:pPr>
                      <w:ind w:right="-165"/>
                      <w:rPr>
                        <w:b/>
                        <w:bCs/>
                        <w:sz w:val="10"/>
                        <w:szCs w:val="10"/>
                      </w:rPr>
                    </w:pPr>
                  </w:p>
                  <w:p w:rsidR="009F4D02" w:rsidRDefault="009F4D02" w:rsidP="005B2D79">
                    <w:pPr>
                      <w:ind w:right="-165"/>
                      <w:rPr>
                        <w:b/>
                        <w:bCs/>
                        <w:sz w:val="16"/>
                        <w:szCs w:val="16"/>
                      </w:rPr>
                    </w:pPr>
                  </w:p>
                  <w:p w:rsidR="009F4D02" w:rsidRDefault="009F4D02" w:rsidP="005B2D79">
                    <w:pPr>
                      <w:ind w:right="-165"/>
                      <w:rPr>
                        <w:b/>
                        <w:bCs/>
                        <w:sz w:val="16"/>
                        <w:szCs w:val="16"/>
                      </w:rPr>
                    </w:pPr>
                  </w:p>
                  <w:p w:rsidR="009F4D02" w:rsidRPr="005B2D79" w:rsidRDefault="009F4D02"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9F4D02" w:rsidRDefault="009F4D02">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02" w:rsidRDefault="009F4D02">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rsidP="00A8299F">
                          <w:pPr>
                            <w:ind w:right="-165"/>
                            <w:rPr>
                              <w:b/>
                              <w:bCs/>
                              <w:sz w:val="20"/>
                              <w:szCs w:val="20"/>
                            </w:rPr>
                          </w:pPr>
                          <w:r>
                            <w:rPr>
                              <w:b/>
                              <w:bCs/>
                              <w:sz w:val="20"/>
                              <w:szCs w:val="20"/>
                            </w:rPr>
                            <w:t>A</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B</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C</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2"/>
                            <w:ind w:right="-165"/>
                            <w:rPr>
                              <w:sz w:val="16"/>
                              <w:szCs w:val="16"/>
                            </w:rPr>
                          </w:pPr>
                          <w:r>
                            <w:t>D</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E</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F</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G</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H</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I</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J</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K</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L</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M</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N</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O</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P</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Q</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R</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S</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T</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U</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9F4D02" w:rsidRDefault="009F4D02" w:rsidP="00A8299F">
                    <w:pPr>
                      <w:ind w:right="-165"/>
                      <w:rPr>
                        <w:b/>
                        <w:bCs/>
                        <w:sz w:val="20"/>
                        <w:szCs w:val="20"/>
                      </w:rPr>
                    </w:pPr>
                    <w:r>
                      <w:rPr>
                        <w:b/>
                        <w:bCs/>
                        <w:sz w:val="20"/>
                        <w:szCs w:val="20"/>
                      </w:rPr>
                      <w:t>A</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B</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C</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2"/>
                      <w:ind w:right="-165"/>
                      <w:rPr>
                        <w:sz w:val="16"/>
                        <w:szCs w:val="16"/>
                      </w:rPr>
                    </w:pPr>
                    <w:r>
                      <w:t>D</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E</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20"/>
                        <w:szCs w:val="20"/>
                      </w:rPr>
                    </w:pPr>
                    <w:r>
                      <w:rPr>
                        <w:b/>
                        <w:bCs/>
                        <w:sz w:val="20"/>
                        <w:szCs w:val="20"/>
                      </w:rPr>
                      <w:t>F</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G</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H</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I</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J</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K</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L</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M</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N</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O</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P</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Q</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R</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S</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T</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ind w:right="-165"/>
                      <w:rPr>
                        <w:b/>
                        <w:bCs/>
                        <w:sz w:val="16"/>
                        <w:szCs w:val="16"/>
                      </w:rPr>
                    </w:pPr>
                    <w:r>
                      <w:rPr>
                        <w:b/>
                        <w:bCs/>
                        <w:sz w:val="20"/>
                        <w:szCs w:val="20"/>
                      </w:rPr>
                      <w:t>U</w:t>
                    </w:r>
                  </w:p>
                  <w:p w:rsidR="009F4D02" w:rsidRDefault="009F4D02" w:rsidP="00A8299F">
                    <w:pPr>
                      <w:ind w:right="-165"/>
                      <w:rPr>
                        <w:b/>
                        <w:bCs/>
                        <w:sz w:val="10"/>
                        <w:szCs w:val="10"/>
                      </w:rPr>
                    </w:pPr>
                  </w:p>
                  <w:p w:rsidR="009F4D02" w:rsidRDefault="009F4D02" w:rsidP="00A8299F">
                    <w:pPr>
                      <w:ind w:right="-165"/>
                      <w:rPr>
                        <w:b/>
                        <w:bCs/>
                        <w:sz w:val="16"/>
                        <w:szCs w:val="16"/>
                      </w:rPr>
                    </w:pPr>
                  </w:p>
                  <w:p w:rsidR="009F4D02" w:rsidRDefault="009F4D02" w:rsidP="00A8299F">
                    <w:pPr>
                      <w:ind w:right="-165"/>
                      <w:rPr>
                        <w:b/>
                        <w:bCs/>
                        <w:sz w:val="16"/>
                        <w:szCs w:val="16"/>
                      </w:rPr>
                    </w:pPr>
                  </w:p>
                  <w:p w:rsidR="009F4D02" w:rsidRDefault="009F4D02"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0125D">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9F4D02" w:rsidRDefault="009F4D02">
                    <w:pPr>
                      <w:rPr>
                        <w:b/>
                        <w:bCs/>
                        <w:sz w:val="20"/>
                        <w:szCs w:val="20"/>
                      </w:rPr>
                    </w:pPr>
                    <w:r>
                      <w:rPr>
                        <w:b/>
                        <w:bCs/>
                        <w:sz w:val="20"/>
                        <w:szCs w:val="20"/>
                      </w:rPr>
                      <w:t>A</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B</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C</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2"/>
                      <w:rPr>
                        <w:sz w:val="16"/>
                        <w:szCs w:val="16"/>
                      </w:rPr>
                    </w:pPr>
                    <w:r>
                      <w:t>D</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E</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20"/>
                        <w:szCs w:val="20"/>
                      </w:rPr>
                    </w:pPr>
                    <w:r>
                      <w:rPr>
                        <w:b/>
                        <w:bCs/>
                        <w:sz w:val="20"/>
                        <w:szCs w:val="20"/>
                      </w:rPr>
                      <w:t>F</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G</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H</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I</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J</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K</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L</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M</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N</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O</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P</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Q</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R</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S</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T</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rPr>
                        <w:b/>
                        <w:bCs/>
                        <w:sz w:val="16"/>
                        <w:szCs w:val="16"/>
                      </w:rPr>
                    </w:pPr>
                    <w:r>
                      <w:rPr>
                        <w:b/>
                        <w:bCs/>
                        <w:sz w:val="20"/>
                        <w:szCs w:val="20"/>
                      </w:rPr>
                      <w:t>U</w:t>
                    </w:r>
                  </w:p>
                  <w:p w:rsidR="009F4D02" w:rsidRDefault="009F4D02">
                    <w:pPr>
                      <w:rPr>
                        <w:b/>
                        <w:bCs/>
                        <w:sz w:val="10"/>
                        <w:szCs w:val="10"/>
                      </w:rPr>
                    </w:pPr>
                  </w:p>
                  <w:p w:rsidR="009F4D02" w:rsidRDefault="009F4D02">
                    <w:pPr>
                      <w:rPr>
                        <w:b/>
                        <w:bCs/>
                        <w:sz w:val="16"/>
                        <w:szCs w:val="16"/>
                      </w:rPr>
                    </w:pPr>
                  </w:p>
                  <w:p w:rsidR="009F4D02" w:rsidRDefault="009F4D02">
                    <w:pPr>
                      <w:rPr>
                        <w:b/>
                        <w:bCs/>
                        <w:sz w:val="16"/>
                        <w:szCs w:val="16"/>
                      </w:rPr>
                    </w:pPr>
                  </w:p>
                  <w:p w:rsidR="009F4D02" w:rsidRDefault="009F4D0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D02" w:rsidRDefault="009F4D02">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9F4D02" w:rsidRDefault="009F4D02">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5362AC6"/>
    <w:multiLevelType w:val="hybridMultilevel"/>
    <w:tmpl w:val="CCBE1CFC"/>
    <w:lvl w:ilvl="0" w:tplc="8356D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71533D"/>
    <w:multiLevelType w:val="hybridMultilevel"/>
    <w:tmpl w:val="11D0A6A0"/>
    <w:lvl w:ilvl="0" w:tplc="E81620FC">
      <w:start w:val="1"/>
      <w:numFmt w:val="lowerLetter"/>
      <w:lvlText w:val="(%1)"/>
      <w:lvlJc w:val="left"/>
      <w:pPr>
        <w:ind w:left="2880" w:hanging="360"/>
      </w:pPr>
      <w:rPr>
        <w:rFonts w:hint="eastAsia"/>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0F335B0F"/>
    <w:multiLevelType w:val="hybridMultilevel"/>
    <w:tmpl w:val="37483D70"/>
    <w:lvl w:ilvl="0" w:tplc="209EB570">
      <w:start w:val="1"/>
      <w:numFmt w:val="decimal"/>
      <w:lvlText w:val="(%1)"/>
      <w:lvlJc w:val="left"/>
      <w:pPr>
        <w:ind w:left="1973" w:hanging="55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24D664EA"/>
    <w:multiLevelType w:val="hybridMultilevel"/>
    <w:tmpl w:val="BAA2506C"/>
    <w:lvl w:ilvl="0" w:tplc="2960C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D61C2"/>
    <w:multiLevelType w:val="hybridMultilevel"/>
    <w:tmpl w:val="486A8AD6"/>
    <w:lvl w:ilvl="0" w:tplc="2A9E66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7F46482"/>
    <w:multiLevelType w:val="hybridMultilevel"/>
    <w:tmpl w:val="2B327546"/>
    <w:lvl w:ilvl="0" w:tplc="E81620FC">
      <w:start w:val="1"/>
      <w:numFmt w:val="lowerLetter"/>
      <w:lvlText w:val="(%1)"/>
      <w:lvlJc w:val="left"/>
      <w:pPr>
        <w:tabs>
          <w:tab w:val="num" w:pos="1080"/>
        </w:tabs>
        <w:ind w:left="1080" w:hanging="720"/>
      </w:pPr>
      <w:rPr>
        <w:rFonts w:hint="eastAsia"/>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12D3850"/>
    <w:multiLevelType w:val="hybridMultilevel"/>
    <w:tmpl w:val="32381920"/>
    <w:lvl w:ilvl="0" w:tplc="E81620FC">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E81620FC">
      <w:start w:val="1"/>
      <w:numFmt w:val="lowerLetter"/>
      <w:lvlText w:val="(%4)"/>
      <w:lvlJc w:val="left"/>
      <w:pPr>
        <w:ind w:left="2880" w:hanging="360"/>
      </w:pPr>
      <w:rPr>
        <w:rFonts w:hint="eastAsia"/>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550F3C"/>
    <w:multiLevelType w:val="hybridMultilevel"/>
    <w:tmpl w:val="0BFC1522"/>
    <w:lvl w:ilvl="0" w:tplc="2960C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61EA4"/>
    <w:multiLevelType w:val="hybridMultilevel"/>
    <w:tmpl w:val="840A0C5A"/>
    <w:lvl w:ilvl="0" w:tplc="E81620FC">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DA58D3"/>
    <w:multiLevelType w:val="hybridMultilevel"/>
    <w:tmpl w:val="64A69C12"/>
    <w:lvl w:ilvl="0" w:tplc="2960C1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745298"/>
    <w:multiLevelType w:val="hybridMultilevel"/>
    <w:tmpl w:val="011619D4"/>
    <w:lvl w:ilvl="0" w:tplc="B8AC327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716F16"/>
    <w:multiLevelType w:val="hybridMultilevel"/>
    <w:tmpl w:val="DE3E9ABE"/>
    <w:lvl w:ilvl="0" w:tplc="E81620FC">
      <w:start w:val="1"/>
      <w:numFmt w:val="lowerLetter"/>
      <w:lvlText w:val="(%1)"/>
      <w:lvlJc w:val="left"/>
      <w:pPr>
        <w:ind w:left="2880" w:hanging="360"/>
      </w:pPr>
      <w:rPr>
        <w:rFonts w:hint="eastAsia"/>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15:restartNumberingAfterBreak="0">
    <w:nsid w:val="533C7199"/>
    <w:multiLevelType w:val="hybridMultilevel"/>
    <w:tmpl w:val="FC9A6BA8"/>
    <w:lvl w:ilvl="0" w:tplc="91B8A840">
      <w:start w:val="1"/>
      <w:numFmt w:val="decimal"/>
      <w:lvlText w:val="%1."/>
      <w:lvlJc w:val="left"/>
      <w:pPr>
        <w:tabs>
          <w:tab w:val="num" w:pos="1080"/>
        </w:tabs>
        <w:ind w:left="1080" w:hanging="72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C502793"/>
    <w:multiLevelType w:val="hybridMultilevel"/>
    <w:tmpl w:val="5736070E"/>
    <w:lvl w:ilvl="0" w:tplc="63A42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492D91"/>
    <w:multiLevelType w:val="hybridMultilevel"/>
    <w:tmpl w:val="CCBE1CFC"/>
    <w:lvl w:ilvl="0" w:tplc="8356D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C7171A"/>
    <w:multiLevelType w:val="hybridMultilevel"/>
    <w:tmpl w:val="FC6AF99A"/>
    <w:lvl w:ilvl="0" w:tplc="1D9EB036">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75DB372E"/>
    <w:multiLevelType w:val="hybridMultilevel"/>
    <w:tmpl w:val="113A62CA"/>
    <w:lvl w:ilvl="0" w:tplc="1864361A">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F343B70"/>
    <w:multiLevelType w:val="hybridMultilevel"/>
    <w:tmpl w:val="08982D96"/>
    <w:lvl w:ilvl="0" w:tplc="8E92DA02">
      <w:start w:val="4"/>
      <w:numFmt w:val="lowerLetter"/>
      <w:lvlText w:val="(%1)"/>
      <w:lvlJc w:val="left"/>
      <w:pPr>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0"/>
  </w:num>
  <w:num w:numId="3">
    <w:abstractNumId w:val="14"/>
  </w:num>
  <w:num w:numId="4">
    <w:abstractNumId w:val="11"/>
  </w:num>
  <w:num w:numId="5">
    <w:abstractNumId w:val="5"/>
  </w:num>
  <w:num w:numId="6">
    <w:abstractNumId w:val="17"/>
  </w:num>
  <w:num w:numId="7">
    <w:abstractNumId w:val="12"/>
  </w:num>
  <w:num w:numId="8">
    <w:abstractNumId w:val="4"/>
  </w:num>
  <w:num w:numId="9">
    <w:abstractNumId w:val="9"/>
  </w:num>
  <w:num w:numId="10">
    <w:abstractNumId w:val="1"/>
  </w:num>
  <w:num w:numId="11">
    <w:abstractNumId w:val="3"/>
  </w:num>
  <w:num w:numId="12">
    <w:abstractNumId w:val="15"/>
  </w:num>
  <w:num w:numId="1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9"/>
  </w:num>
  <w:num w:numId="16">
    <w:abstractNumId w:val="7"/>
  </w:num>
  <w:num w:numId="17">
    <w:abstractNumId w:val="18"/>
  </w:num>
  <w:num w:numId="18">
    <w:abstractNumId w:val="13"/>
  </w:num>
  <w:num w:numId="19">
    <w:abstractNumId w:val="2"/>
  </w:num>
  <w:num w:numId="20">
    <w:abstractNumId w:val="10"/>
  </w:num>
  <w:num w:numId="2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FCC"/>
    <w:rsid w:val="0001721E"/>
    <w:rsid w:val="00022968"/>
    <w:rsid w:val="000311A7"/>
    <w:rsid w:val="00032723"/>
    <w:rsid w:val="000356AF"/>
    <w:rsid w:val="00037239"/>
    <w:rsid w:val="000429F0"/>
    <w:rsid w:val="00042C26"/>
    <w:rsid w:val="000452D7"/>
    <w:rsid w:val="000474C1"/>
    <w:rsid w:val="00053471"/>
    <w:rsid w:val="00071C4B"/>
    <w:rsid w:val="000743F5"/>
    <w:rsid w:val="00076487"/>
    <w:rsid w:val="00076702"/>
    <w:rsid w:val="000928FB"/>
    <w:rsid w:val="00094E71"/>
    <w:rsid w:val="000A1973"/>
    <w:rsid w:val="000A6104"/>
    <w:rsid w:val="000A7C5C"/>
    <w:rsid w:val="000B0225"/>
    <w:rsid w:val="000C0A9B"/>
    <w:rsid w:val="000C3363"/>
    <w:rsid w:val="000C6FB4"/>
    <w:rsid w:val="000D2FB9"/>
    <w:rsid w:val="000D305F"/>
    <w:rsid w:val="000D49F9"/>
    <w:rsid w:val="000D6EC1"/>
    <w:rsid w:val="000E05BB"/>
    <w:rsid w:val="000E1BC6"/>
    <w:rsid w:val="000E23A3"/>
    <w:rsid w:val="000E2776"/>
    <w:rsid w:val="000E5EC8"/>
    <w:rsid w:val="000F24D2"/>
    <w:rsid w:val="000F2E3F"/>
    <w:rsid w:val="000F7174"/>
    <w:rsid w:val="000F7F40"/>
    <w:rsid w:val="001012D7"/>
    <w:rsid w:val="00104F34"/>
    <w:rsid w:val="00107996"/>
    <w:rsid w:val="001166D7"/>
    <w:rsid w:val="001269E3"/>
    <w:rsid w:val="00130CC4"/>
    <w:rsid w:val="001378F3"/>
    <w:rsid w:val="00142289"/>
    <w:rsid w:val="00146F01"/>
    <w:rsid w:val="0015077B"/>
    <w:rsid w:val="00150C06"/>
    <w:rsid w:val="00155FB0"/>
    <w:rsid w:val="00161E6D"/>
    <w:rsid w:val="0017494A"/>
    <w:rsid w:val="00177084"/>
    <w:rsid w:val="00182F95"/>
    <w:rsid w:val="001855CB"/>
    <w:rsid w:val="00186AA2"/>
    <w:rsid w:val="00192985"/>
    <w:rsid w:val="00193AFA"/>
    <w:rsid w:val="00197BFE"/>
    <w:rsid w:val="001A0F6D"/>
    <w:rsid w:val="001A6FF8"/>
    <w:rsid w:val="001B3F00"/>
    <w:rsid w:val="001B5642"/>
    <w:rsid w:val="001C2BFE"/>
    <w:rsid w:val="001C7516"/>
    <w:rsid w:val="001D0B73"/>
    <w:rsid w:val="001D4B6A"/>
    <w:rsid w:val="001D6F8D"/>
    <w:rsid w:val="001D733B"/>
    <w:rsid w:val="001E7C89"/>
    <w:rsid w:val="001F38CD"/>
    <w:rsid w:val="0020125D"/>
    <w:rsid w:val="00204EB0"/>
    <w:rsid w:val="00210CA1"/>
    <w:rsid w:val="002339C7"/>
    <w:rsid w:val="00242033"/>
    <w:rsid w:val="002476D2"/>
    <w:rsid w:val="00247ABE"/>
    <w:rsid w:val="00252A31"/>
    <w:rsid w:val="00255DAA"/>
    <w:rsid w:val="002609E0"/>
    <w:rsid w:val="002700B4"/>
    <w:rsid w:val="00274B97"/>
    <w:rsid w:val="00275913"/>
    <w:rsid w:val="00281660"/>
    <w:rsid w:val="00283822"/>
    <w:rsid w:val="00290A7F"/>
    <w:rsid w:val="00297721"/>
    <w:rsid w:val="002A7702"/>
    <w:rsid w:val="002B25E1"/>
    <w:rsid w:val="002B343D"/>
    <w:rsid w:val="002B49DB"/>
    <w:rsid w:val="002C0B1D"/>
    <w:rsid w:val="002C2792"/>
    <w:rsid w:val="002D03D9"/>
    <w:rsid w:val="002D0D6D"/>
    <w:rsid w:val="002D2E39"/>
    <w:rsid w:val="002E6748"/>
    <w:rsid w:val="002F4FF6"/>
    <w:rsid w:val="002F75ED"/>
    <w:rsid w:val="00302126"/>
    <w:rsid w:val="003025B7"/>
    <w:rsid w:val="00303523"/>
    <w:rsid w:val="003075B6"/>
    <w:rsid w:val="00310598"/>
    <w:rsid w:val="00311852"/>
    <w:rsid w:val="00311921"/>
    <w:rsid w:val="00321535"/>
    <w:rsid w:val="00325770"/>
    <w:rsid w:val="00341B60"/>
    <w:rsid w:val="003535A8"/>
    <w:rsid w:val="00353C55"/>
    <w:rsid w:val="00363B85"/>
    <w:rsid w:val="00363FDB"/>
    <w:rsid w:val="003774CB"/>
    <w:rsid w:val="00390243"/>
    <w:rsid w:val="00397988"/>
    <w:rsid w:val="003A26CB"/>
    <w:rsid w:val="003A2727"/>
    <w:rsid w:val="003B3259"/>
    <w:rsid w:val="003B3BC9"/>
    <w:rsid w:val="003C0561"/>
    <w:rsid w:val="003C19CB"/>
    <w:rsid w:val="003C1FF6"/>
    <w:rsid w:val="003E039D"/>
    <w:rsid w:val="003E0894"/>
    <w:rsid w:val="003E659F"/>
    <w:rsid w:val="00401EAE"/>
    <w:rsid w:val="00402427"/>
    <w:rsid w:val="00406A4E"/>
    <w:rsid w:val="004164CD"/>
    <w:rsid w:val="00425A69"/>
    <w:rsid w:val="00426EEE"/>
    <w:rsid w:val="00430938"/>
    <w:rsid w:val="00436394"/>
    <w:rsid w:val="00454A93"/>
    <w:rsid w:val="00471F4E"/>
    <w:rsid w:val="00472DA4"/>
    <w:rsid w:val="00483D9E"/>
    <w:rsid w:val="004850F6"/>
    <w:rsid w:val="00487625"/>
    <w:rsid w:val="00487E2B"/>
    <w:rsid w:val="00490BB9"/>
    <w:rsid w:val="0049444D"/>
    <w:rsid w:val="00495BDE"/>
    <w:rsid w:val="004A125A"/>
    <w:rsid w:val="004A4024"/>
    <w:rsid w:val="004B0A8B"/>
    <w:rsid w:val="004B0F2A"/>
    <w:rsid w:val="004B5BC0"/>
    <w:rsid w:val="004C5D84"/>
    <w:rsid w:val="004D1551"/>
    <w:rsid w:val="004D2C0C"/>
    <w:rsid w:val="004D6157"/>
    <w:rsid w:val="004E6674"/>
    <w:rsid w:val="004F4A0A"/>
    <w:rsid w:val="004F5B91"/>
    <w:rsid w:val="004F7678"/>
    <w:rsid w:val="00515382"/>
    <w:rsid w:val="00517D37"/>
    <w:rsid w:val="00523117"/>
    <w:rsid w:val="00524B90"/>
    <w:rsid w:val="00527174"/>
    <w:rsid w:val="00527C14"/>
    <w:rsid w:val="00535CCC"/>
    <w:rsid w:val="005402FA"/>
    <w:rsid w:val="005444AF"/>
    <w:rsid w:val="005451AD"/>
    <w:rsid w:val="00547C66"/>
    <w:rsid w:val="00557F5C"/>
    <w:rsid w:val="0056426F"/>
    <w:rsid w:val="00574C8E"/>
    <w:rsid w:val="005879CD"/>
    <w:rsid w:val="005907D5"/>
    <w:rsid w:val="005973FA"/>
    <w:rsid w:val="005A1048"/>
    <w:rsid w:val="005A178C"/>
    <w:rsid w:val="005A21BB"/>
    <w:rsid w:val="005A22F3"/>
    <w:rsid w:val="005A5C1B"/>
    <w:rsid w:val="005A5EB7"/>
    <w:rsid w:val="005B0149"/>
    <w:rsid w:val="005B2D79"/>
    <w:rsid w:val="005C499B"/>
    <w:rsid w:val="005D6489"/>
    <w:rsid w:val="005D7438"/>
    <w:rsid w:val="005D7FF0"/>
    <w:rsid w:val="005E1A76"/>
    <w:rsid w:val="005E4F81"/>
    <w:rsid w:val="005E5034"/>
    <w:rsid w:val="005E60E8"/>
    <w:rsid w:val="005F0408"/>
    <w:rsid w:val="005F0579"/>
    <w:rsid w:val="005F0C99"/>
    <w:rsid w:val="005F5257"/>
    <w:rsid w:val="005F6BA1"/>
    <w:rsid w:val="0060665D"/>
    <w:rsid w:val="006166B6"/>
    <w:rsid w:val="00616D2C"/>
    <w:rsid w:val="006172D9"/>
    <w:rsid w:val="00621AFA"/>
    <w:rsid w:val="00623DF8"/>
    <w:rsid w:val="0062557F"/>
    <w:rsid w:val="006347B6"/>
    <w:rsid w:val="00635775"/>
    <w:rsid w:val="00644F5E"/>
    <w:rsid w:val="00651999"/>
    <w:rsid w:val="00653864"/>
    <w:rsid w:val="00655CFF"/>
    <w:rsid w:val="006605E3"/>
    <w:rsid w:val="006657EC"/>
    <w:rsid w:val="006812F7"/>
    <w:rsid w:val="00684195"/>
    <w:rsid w:val="006843A8"/>
    <w:rsid w:val="00687961"/>
    <w:rsid w:val="00691B1C"/>
    <w:rsid w:val="00692F2B"/>
    <w:rsid w:val="00695A7F"/>
    <w:rsid w:val="006A38EC"/>
    <w:rsid w:val="006A6B46"/>
    <w:rsid w:val="006C426E"/>
    <w:rsid w:val="006C6DEC"/>
    <w:rsid w:val="006D16F7"/>
    <w:rsid w:val="006D7DC1"/>
    <w:rsid w:val="006E17A0"/>
    <w:rsid w:val="006E31C2"/>
    <w:rsid w:val="006E4401"/>
    <w:rsid w:val="006E6506"/>
    <w:rsid w:val="006E6BC4"/>
    <w:rsid w:val="007001B5"/>
    <w:rsid w:val="007066D4"/>
    <w:rsid w:val="007133DF"/>
    <w:rsid w:val="00714121"/>
    <w:rsid w:val="0071537F"/>
    <w:rsid w:val="00722880"/>
    <w:rsid w:val="0072411A"/>
    <w:rsid w:val="0073097A"/>
    <w:rsid w:val="00731BFB"/>
    <w:rsid w:val="00745850"/>
    <w:rsid w:val="00753CAF"/>
    <w:rsid w:val="00754E76"/>
    <w:rsid w:val="0075517A"/>
    <w:rsid w:val="00757883"/>
    <w:rsid w:val="00757DFF"/>
    <w:rsid w:val="00780354"/>
    <w:rsid w:val="007827F4"/>
    <w:rsid w:val="007B3F2C"/>
    <w:rsid w:val="007B5E03"/>
    <w:rsid w:val="007B79CB"/>
    <w:rsid w:val="007C1A81"/>
    <w:rsid w:val="007C210B"/>
    <w:rsid w:val="007D004A"/>
    <w:rsid w:val="007F0F94"/>
    <w:rsid w:val="007F4740"/>
    <w:rsid w:val="00800107"/>
    <w:rsid w:val="00807168"/>
    <w:rsid w:val="0081643C"/>
    <w:rsid w:val="00823AF6"/>
    <w:rsid w:val="00824EC6"/>
    <w:rsid w:val="00827FFC"/>
    <w:rsid w:val="00843F2C"/>
    <w:rsid w:val="00853FBB"/>
    <w:rsid w:val="008572B1"/>
    <w:rsid w:val="008621E3"/>
    <w:rsid w:val="00876DD3"/>
    <w:rsid w:val="00891A8E"/>
    <w:rsid w:val="00897F44"/>
    <w:rsid w:val="008B0C65"/>
    <w:rsid w:val="008C2DCC"/>
    <w:rsid w:val="008D21DF"/>
    <w:rsid w:val="008D6F97"/>
    <w:rsid w:val="008E38D1"/>
    <w:rsid w:val="008E6121"/>
    <w:rsid w:val="008E624E"/>
    <w:rsid w:val="008E6F3D"/>
    <w:rsid w:val="008F69A9"/>
    <w:rsid w:val="008F7BFE"/>
    <w:rsid w:val="00904902"/>
    <w:rsid w:val="00913BFA"/>
    <w:rsid w:val="009202B8"/>
    <w:rsid w:val="0092372E"/>
    <w:rsid w:val="00926855"/>
    <w:rsid w:val="00931674"/>
    <w:rsid w:val="00935E72"/>
    <w:rsid w:val="00956B35"/>
    <w:rsid w:val="00956BE3"/>
    <w:rsid w:val="00960D51"/>
    <w:rsid w:val="00962479"/>
    <w:rsid w:val="00970B41"/>
    <w:rsid w:val="00971064"/>
    <w:rsid w:val="00972DBC"/>
    <w:rsid w:val="009738C8"/>
    <w:rsid w:val="00985BFF"/>
    <w:rsid w:val="00986BB0"/>
    <w:rsid w:val="00990247"/>
    <w:rsid w:val="009907B5"/>
    <w:rsid w:val="00992161"/>
    <w:rsid w:val="00992FB5"/>
    <w:rsid w:val="00996B67"/>
    <w:rsid w:val="009A1B52"/>
    <w:rsid w:val="009A1B78"/>
    <w:rsid w:val="009A43BC"/>
    <w:rsid w:val="009B69E2"/>
    <w:rsid w:val="009C7185"/>
    <w:rsid w:val="009D26B3"/>
    <w:rsid w:val="009D5CA1"/>
    <w:rsid w:val="009E1F5A"/>
    <w:rsid w:val="009F4623"/>
    <w:rsid w:val="009F4D02"/>
    <w:rsid w:val="009F5C5F"/>
    <w:rsid w:val="00A00CD9"/>
    <w:rsid w:val="00A016B4"/>
    <w:rsid w:val="00A03CA5"/>
    <w:rsid w:val="00A1272B"/>
    <w:rsid w:val="00A17C0A"/>
    <w:rsid w:val="00A17D03"/>
    <w:rsid w:val="00A20216"/>
    <w:rsid w:val="00A3218C"/>
    <w:rsid w:val="00A32F3B"/>
    <w:rsid w:val="00A33798"/>
    <w:rsid w:val="00A35C1C"/>
    <w:rsid w:val="00A37B53"/>
    <w:rsid w:val="00A45274"/>
    <w:rsid w:val="00A5302E"/>
    <w:rsid w:val="00A551B5"/>
    <w:rsid w:val="00A622B8"/>
    <w:rsid w:val="00A629CD"/>
    <w:rsid w:val="00A8299F"/>
    <w:rsid w:val="00A84C7C"/>
    <w:rsid w:val="00A952E3"/>
    <w:rsid w:val="00AA3671"/>
    <w:rsid w:val="00AA733C"/>
    <w:rsid w:val="00AB0C52"/>
    <w:rsid w:val="00AB3047"/>
    <w:rsid w:val="00AB62BA"/>
    <w:rsid w:val="00AC07DD"/>
    <w:rsid w:val="00AC10C6"/>
    <w:rsid w:val="00AC19E9"/>
    <w:rsid w:val="00AC2BCC"/>
    <w:rsid w:val="00AF0D08"/>
    <w:rsid w:val="00B12CB1"/>
    <w:rsid w:val="00B13D4E"/>
    <w:rsid w:val="00B26BA2"/>
    <w:rsid w:val="00B315D9"/>
    <w:rsid w:val="00B41A5F"/>
    <w:rsid w:val="00B556A5"/>
    <w:rsid w:val="00B55F95"/>
    <w:rsid w:val="00B574C5"/>
    <w:rsid w:val="00B61885"/>
    <w:rsid w:val="00B62530"/>
    <w:rsid w:val="00B679FE"/>
    <w:rsid w:val="00B74D98"/>
    <w:rsid w:val="00B8421F"/>
    <w:rsid w:val="00B92D3B"/>
    <w:rsid w:val="00B94932"/>
    <w:rsid w:val="00BA523A"/>
    <w:rsid w:val="00BB781A"/>
    <w:rsid w:val="00BC1F94"/>
    <w:rsid w:val="00BD0FCC"/>
    <w:rsid w:val="00BD61C5"/>
    <w:rsid w:val="00BE138B"/>
    <w:rsid w:val="00BE4D4E"/>
    <w:rsid w:val="00BE5779"/>
    <w:rsid w:val="00BF394D"/>
    <w:rsid w:val="00BF7B47"/>
    <w:rsid w:val="00C00452"/>
    <w:rsid w:val="00C02BEE"/>
    <w:rsid w:val="00C1584C"/>
    <w:rsid w:val="00C20C62"/>
    <w:rsid w:val="00C40EAD"/>
    <w:rsid w:val="00C444D6"/>
    <w:rsid w:val="00C46BEE"/>
    <w:rsid w:val="00C47C4A"/>
    <w:rsid w:val="00C50662"/>
    <w:rsid w:val="00C5737E"/>
    <w:rsid w:val="00C5759E"/>
    <w:rsid w:val="00C63A6C"/>
    <w:rsid w:val="00C646B3"/>
    <w:rsid w:val="00C65258"/>
    <w:rsid w:val="00C749AC"/>
    <w:rsid w:val="00C77CD9"/>
    <w:rsid w:val="00C83C06"/>
    <w:rsid w:val="00C943EE"/>
    <w:rsid w:val="00CA1C8B"/>
    <w:rsid w:val="00CB2483"/>
    <w:rsid w:val="00CC09AE"/>
    <w:rsid w:val="00CD1AD6"/>
    <w:rsid w:val="00CD22C7"/>
    <w:rsid w:val="00CD39E2"/>
    <w:rsid w:val="00CD4664"/>
    <w:rsid w:val="00CD60D7"/>
    <w:rsid w:val="00CE3166"/>
    <w:rsid w:val="00CE32D7"/>
    <w:rsid w:val="00CF6A65"/>
    <w:rsid w:val="00D0101B"/>
    <w:rsid w:val="00D06CE6"/>
    <w:rsid w:val="00D244F9"/>
    <w:rsid w:val="00D25D2D"/>
    <w:rsid w:val="00D30860"/>
    <w:rsid w:val="00D4689A"/>
    <w:rsid w:val="00D54DE9"/>
    <w:rsid w:val="00D600FC"/>
    <w:rsid w:val="00D66193"/>
    <w:rsid w:val="00D715A5"/>
    <w:rsid w:val="00D813C0"/>
    <w:rsid w:val="00D83106"/>
    <w:rsid w:val="00D92773"/>
    <w:rsid w:val="00D95B2B"/>
    <w:rsid w:val="00DA1549"/>
    <w:rsid w:val="00DA4E44"/>
    <w:rsid w:val="00DA71FC"/>
    <w:rsid w:val="00DC320A"/>
    <w:rsid w:val="00DC4F7D"/>
    <w:rsid w:val="00DC59AC"/>
    <w:rsid w:val="00DC6A7E"/>
    <w:rsid w:val="00DD02A7"/>
    <w:rsid w:val="00DD14B2"/>
    <w:rsid w:val="00DD4F60"/>
    <w:rsid w:val="00DE386F"/>
    <w:rsid w:val="00DF1B05"/>
    <w:rsid w:val="00DF740C"/>
    <w:rsid w:val="00E05284"/>
    <w:rsid w:val="00E05E6F"/>
    <w:rsid w:val="00E20043"/>
    <w:rsid w:val="00E2122D"/>
    <w:rsid w:val="00E214AC"/>
    <w:rsid w:val="00E22DE9"/>
    <w:rsid w:val="00E35009"/>
    <w:rsid w:val="00E430B1"/>
    <w:rsid w:val="00E50A0A"/>
    <w:rsid w:val="00E5349C"/>
    <w:rsid w:val="00E70547"/>
    <w:rsid w:val="00E9289B"/>
    <w:rsid w:val="00EA42FA"/>
    <w:rsid w:val="00EA45EF"/>
    <w:rsid w:val="00EB4E6E"/>
    <w:rsid w:val="00EC3115"/>
    <w:rsid w:val="00ED4782"/>
    <w:rsid w:val="00ED5E5F"/>
    <w:rsid w:val="00EE1EDB"/>
    <w:rsid w:val="00EE29EE"/>
    <w:rsid w:val="00EE6DA6"/>
    <w:rsid w:val="00EF38C7"/>
    <w:rsid w:val="00EF62DC"/>
    <w:rsid w:val="00EF6512"/>
    <w:rsid w:val="00F002C9"/>
    <w:rsid w:val="00F06E16"/>
    <w:rsid w:val="00F10B52"/>
    <w:rsid w:val="00F110AE"/>
    <w:rsid w:val="00F23D48"/>
    <w:rsid w:val="00F24EF5"/>
    <w:rsid w:val="00F26A09"/>
    <w:rsid w:val="00F26B60"/>
    <w:rsid w:val="00F51050"/>
    <w:rsid w:val="00F51CAF"/>
    <w:rsid w:val="00F57FBC"/>
    <w:rsid w:val="00F66A97"/>
    <w:rsid w:val="00F77F43"/>
    <w:rsid w:val="00F8020F"/>
    <w:rsid w:val="00F829DC"/>
    <w:rsid w:val="00F87079"/>
    <w:rsid w:val="00F95346"/>
    <w:rsid w:val="00FA10FC"/>
    <w:rsid w:val="00FB2778"/>
    <w:rsid w:val="00FB2D7B"/>
    <w:rsid w:val="00FB400D"/>
    <w:rsid w:val="00FB5CF8"/>
    <w:rsid w:val="00FD42DC"/>
    <w:rsid w:val="00FD4AC4"/>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FAF9-E6A3-44D2-B1E7-2E9A63C5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2019-08-12T06:20:00Z</cp:lastPrinted>
  <dcterms:created xsi:type="dcterms:W3CDTF">2019-08-13T08:13:00Z</dcterms:created>
  <dcterms:modified xsi:type="dcterms:W3CDTF">2019-08-13T08:13:00Z</dcterms:modified>
</cp:coreProperties>
</file>