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AAF" w:rsidRPr="003304EA" w:rsidRDefault="00183AAF" w:rsidP="00255111">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3304EA">
        <w:rPr>
          <w:rFonts w:ascii="Times New Roman" w:eastAsia="PMingLiU" w:hAnsi="Times New Roman"/>
          <w:b w:val="0"/>
          <w:kern w:val="0"/>
          <w:szCs w:val="28"/>
          <w:lang w:eastAsia="zh-TW"/>
        </w:rPr>
        <w:t xml:space="preserve">DCPI </w:t>
      </w:r>
      <w:r w:rsidR="00D6245B">
        <w:rPr>
          <w:rFonts w:ascii="Times New Roman" w:eastAsia="PMingLiU" w:hAnsi="Times New Roman"/>
          <w:b w:val="0"/>
          <w:kern w:val="0"/>
          <w:szCs w:val="28"/>
          <w:lang w:eastAsia="zh-TW"/>
        </w:rPr>
        <w:t>2197</w:t>
      </w:r>
      <w:r w:rsidR="00EA6709" w:rsidRPr="003304EA">
        <w:rPr>
          <w:rFonts w:ascii="Times New Roman" w:eastAsia="PMingLiU" w:hAnsi="Times New Roman"/>
          <w:b w:val="0"/>
          <w:kern w:val="0"/>
          <w:szCs w:val="28"/>
          <w:lang w:eastAsia="zh-TW"/>
        </w:rPr>
        <w:t>/20</w:t>
      </w:r>
      <w:r w:rsidR="00D6245B">
        <w:rPr>
          <w:rFonts w:ascii="Times New Roman" w:eastAsia="PMingLiU" w:hAnsi="Times New Roman"/>
          <w:b w:val="0"/>
          <w:kern w:val="0"/>
          <w:szCs w:val="28"/>
          <w:lang w:eastAsia="zh-TW"/>
        </w:rPr>
        <w:t>20</w:t>
      </w:r>
    </w:p>
    <w:p w:rsidR="0038513F" w:rsidRPr="00D6245B" w:rsidRDefault="001660C8" w:rsidP="00255111">
      <w:pPr>
        <w:spacing w:line="360" w:lineRule="auto"/>
        <w:jc w:val="right"/>
        <w:rPr>
          <w:lang w:val="en-GB" w:eastAsia="zh-TW"/>
        </w:rPr>
      </w:pPr>
      <w:sdt>
        <w:sdtPr>
          <w:rPr>
            <w:rStyle w:val="PlaceholderText"/>
            <w:color w:val="auto"/>
          </w:rPr>
          <w:alias w:val="neutral citation number"/>
          <w:tag w:val="neutral citation number"/>
          <w:id w:val="210003420"/>
          <w:placeholder>
            <w:docPart w:val="6C74C9B796ED49CB977567D01536FF94"/>
          </w:placeholder>
          <w:text/>
        </w:sdtPr>
        <w:sdtEndPr>
          <w:rPr>
            <w:rStyle w:val="PlaceholderText"/>
          </w:rPr>
        </w:sdtEndPr>
        <w:sdtContent>
          <w:r w:rsidR="00D6245B" w:rsidRPr="00D6245B">
            <w:rPr>
              <w:rStyle w:val="PlaceholderText"/>
              <w:color w:val="auto"/>
            </w:rPr>
            <w:t>[2021] HKDC 718</w:t>
          </w:r>
        </w:sdtContent>
      </w:sdt>
    </w:p>
    <w:p w:rsidR="00EF528F" w:rsidRPr="003304EA" w:rsidRDefault="00EF528F" w:rsidP="00255111">
      <w:pPr>
        <w:spacing w:line="360" w:lineRule="auto"/>
        <w:rPr>
          <w:rFonts w:eastAsia="PMingLiU"/>
          <w:szCs w:val="28"/>
          <w:lang w:val="en-GB" w:eastAsia="zh-TW"/>
        </w:rPr>
      </w:pPr>
    </w:p>
    <w:p w:rsidR="00183AAF" w:rsidRPr="003304EA" w:rsidRDefault="00183AAF" w:rsidP="00255111">
      <w:pPr>
        <w:pStyle w:val="normal3"/>
        <w:tabs>
          <w:tab w:val="clear" w:pos="4320"/>
          <w:tab w:val="clear" w:pos="4500"/>
          <w:tab w:val="clear" w:pos="9000"/>
          <w:tab w:val="clear" w:pos="9072"/>
        </w:tabs>
        <w:overflowPunct/>
        <w:autoSpaceDE/>
        <w:autoSpaceDN/>
        <w:rPr>
          <w:rFonts w:eastAsia="PMingLiU"/>
          <w:szCs w:val="28"/>
          <w:lang w:val="en-US" w:eastAsia="zh-TW"/>
        </w:rPr>
        <w:sectPr w:rsidR="00183AAF" w:rsidRPr="003304E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6E39C1" w:rsidRPr="003304EA" w:rsidRDefault="006E39C1" w:rsidP="00255111">
      <w:pPr>
        <w:keepNext/>
        <w:tabs>
          <w:tab w:val="clear" w:pos="1440"/>
          <w:tab w:val="clear" w:pos="4320"/>
          <w:tab w:val="clear" w:pos="9072"/>
        </w:tabs>
        <w:spacing w:line="360" w:lineRule="auto"/>
        <w:jc w:val="center"/>
        <w:outlineLvl w:val="2"/>
        <w:rPr>
          <w:b/>
          <w:bCs/>
          <w:szCs w:val="28"/>
          <w:lang w:val="en-GB"/>
        </w:rPr>
      </w:pPr>
      <w:r w:rsidRPr="003304EA">
        <w:rPr>
          <w:b/>
          <w:bCs/>
          <w:szCs w:val="28"/>
          <w:lang w:val="en-GB"/>
        </w:rPr>
        <w:t>IN THE DISTRICT COURT OF THE</w:t>
      </w:r>
    </w:p>
    <w:p w:rsidR="006E39C1" w:rsidRPr="00764ADC" w:rsidRDefault="006E39C1" w:rsidP="00255111">
      <w:pPr>
        <w:keepNext/>
        <w:tabs>
          <w:tab w:val="clear" w:pos="1440"/>
          <w:tab w:val="clear" w:pos="4320"/>
          <w:tab w:val="clear" w:pos="9072"/>
        </w:tabs>
        <w:spacing w:line="360" w:lineRule="auto"/>
        <w:jc w:val="center"/>
        <w:outlineLvl w:val="2"/>
        <w:rPr>
          <w:b/>
          <w:bCs/>
          <w:szCs w:val="28"/>
          <w:lang w:val="en-GB" w:eastAsia="en-US"/>
        </w:rPr>
      </w:pPr>
      <w:r w:rsidRPr="003304EA">
        <w:rPr>
          <w:b/>
          <w:bCs/>
          <w:szCs w:val="28"/>
          <w:lang w:val="en-GB" w:eastAsia="en-US"/>
        </w:rPr>
        <w:t xml:space="preserve">HONG KONG SPECIAL </w:t>
      </w:r>
      <w:r w:rsidRPr="00764ADC">
        <w:rPr>
          <w:b/>
          <w:bCs/>
          <w:szCs w:val="28"/>
          <w:lang w:val="en-GB" w:eastAsia="en-US"/>
        </w:rPr>
        <w:t>ADMINISTRATIVE REGION</w:t>
      </w:r>
    </w:p>
    <w:p w:rsidR="00183AAF" w:rsidRPr="00764ADC" w:rsidRDefault="006E39C1" w:rsidP="00255111">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sidRPr="00764ADC">
        <w:rPr>
          <w:rFonts w:ascii="Times New Roman" w:hAnsi="Times New Roman"/>
          <w:b w:val="0"/>
          <w:kern w:val="0"/>
          <w:szCs w:val="28"/>
          <w:lang w:val="en-US"/>
        </w:rPr>
        <w:t xml:space="preserve">PERSONAL INJURIES ACTION NO </w:t>
      </w:r>
      <w:r w:rsidR="00D6245B">
        <w:rPr>
          <w:rFonts w:ascii="Times New Roman" w:hAnsi="Times New Roman"/>
          <w:b w:val="0"/>
          <w:kern w:val="0"/>
          <w:szCs w:val="28"/>
          <w:lang w:val="en-US"/>
        </w:rPr>
        <w:t>2197</w:t>
      </w:r>
      <w:r w:rsidRPr="00764ADC">
        <w:rPr>
          <w:rFonts w:ascii="Times New Roman" w:hAnsi="Times New Roman"/>
          <w:b w:val="0"/>
          <w:kern w:val="0"/>
          <w:szCs w:val="28"/>
          <w:lang w:val="en-US"/>
        </w:rPr>
        <w:t xml:space="preserve"> OF 20</w:t>
      </w:r>
      <w:r w:rsidR="00D6245B">
        <w:rPr>
          <w:rFonts w:ascii="Times New Roman" w:hAnsi="Times New Roman"/>
          <w:b w:val="0"/>
          <w:kern w:val="0"/>
          <w:szCs w:val="28"/>
          <w:lang w:val="en-US"/>
        </w:rPr>
        <w:t>20</w:t>
      </w:r>
    </w:p>
    <w:p w:rsidR="00FB72FF" w:rsidRPr="006E39C1" w:rsidRDefault="00FB72FF" w:rsidP="00255111">
      <w:pPr>
        <w:spacing w:line="360" w:lineRule="auto"/>
        <w:rPr>
          <w:szCs w:val="28"/>
          <w:lang w:val="en-GB" w:eastAsia="zh-TW"/>
        </w:rPr>
      </w:pPr>
    </w:p>
    <w:p w:rsidR="00FB72FF" w:rsidRPr="00A64F2D" w:rsidRDefault="00FB72FF" w:rsidP="00255111">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6E39C1" w:rsidRDefault="006E39C1" w:rsidP="00255111">
      <w:pPr>
        <w:tabs>
          <w:tab w:val="clear" w:pos="1440"/>
          <w:tab w:val="clear" w:pos="4320"/>
          <w:tab w:val="clear" w:pos="9072"/>
        </w:tabs>
        <w:spacing w:line="360" w:lineRule="auto"/>
        <w:jc w:val="both"/>
        <w:rPr>
          <w:bCs/>
          <w:szCs w:val="28"/>
          <w:lang w:val="en-GB"/>
        </w:rPr>
      </w:pPr>
      <w:r w:rsidRPr="006E39C1">
        <w:rPr>
          <w:bCs/>
          <w:szCs w:val="28"/>
          <w:lang w:val="en-GB"/>
        </w:rPr>
        <w:t>BETWEEN</w:t>
      </w:r>
    </w:p>
    <w:p w:rsidR="006E39C1" w:rsidRPr="006E39C1" w:rsidRDefault="006E39C1" w:rsidP="00D6245B">
      <w:pPr>
        <w:tabs>
          <w:tab w:val="clear" w:pos="1440"/>
          <w:tab w:val="clear" w:pos="4320"/>
          <w:tab w:val="clear" w:pos="9072"/>
          <w:tab w:val="center" w:pos="4140"/>
          <w:tab w:val="right" w:pos="8280"/>
        </w:tabs>
        <w:spacing w:line="360" w:lineRule="auto"/>
        <w:rPr>
          <w:bCs/>
          <w:szCs w:val="28"/>
          <w:lang w:val="en-GB"/>
        </w:rPr>
      </w:pPr>
      <w:r w:rsidRPr="006E39C1">
        <w:rPr>
          <w:bCs/>
          <w:szCs w:val="28"/>
          <w:lang w:val="en-GB"/>
        </w:rPr>
        <w:tab/>
      </w:r>
      <w:r w:rsidR="00D6245B" w:rsidRPr="00AC23A4">
        <w:rPr>
          <w:rFonts w:eastAsia="PMingLiU"/>
          <w:lang w:eastAsia="zh-HK"/>
        </w:rPr>
        <w:t>YIP KAM CHUN</w:t>
      </w:r>
      <w:r w:rsidR="00AF479A">
        <w:rPr>
          <w:bCs/>
          <w:szCs w:val="28"/>
          <w:lang w:val="en-GB"/>
        </w:rPr>
        <w:tab/>
      </w:r>
      <w:r w:rsidR="003C549C">
        <w:rPr>
          <w:bCs/>
          <w:szCs w:val="28"/>
          <w:lang w:val="en-GB"/>
        </w:rPr>
        <w:t>Plaintiff</w:t>
      </w:r>
    </w:p>
    <w:p w:rsidR="006E39C1" w:rsidRPr="006E39C1" w:rsidRDefault="006E39C1" w:rsidP="00D6245B">
      <w:pPr>
        <w:tabs>
          <w:tab w:val="clear" w:pos="1440"/>
          <w:tab w:val="clear" w:pos="4320"/>
          <w:tab w:val="clear" w:pos="9072"/>
          <w:tab w:val="center" w:pos="4230"/>
        </w:tabs>
        <w:spacing w:line="360" w:lineRule="auto"/>
        <w:jc w:val="center"/>
        <w:rPr>
          <w:bCs/>
          <w:szCs w:val="28"/>
          <w:lang w:val="en-GB"/>
        </w:rPr>
      </w:pPr>
      <w:r w:rsidRPr="006E39C1">
        <w:rPr>
          <w:bCs/>
          <w:szCs w:val="28"/>
          <w:lang w:val="en-GB"/>
        </w:rPr>
        <w:t>and</w:t>
      </w:r>
    </w:p>
    <w:p w:rsidR="00D6245B" w:rsidRDefault="003304EA" w:rsidP="00D6245B">
      <w:pPr>
        <w:tabs>
          <w:tab w:val="clear" w:pos="1440"/>
          <w:tab w:val="clear" w:pos="4320"/>
          <w:tab w:val="clear" w:pos="9072"/>
          <w:tab w:val="left" w:pos="2160"/>
          <w:tab w:val="right" w:pos="8280"/>
        </w:tabs>
        <w:rPr>
          <w:rFonts w:eastAsia="PMingLiU"/>
          <w:lang w:eastAsia="zh-HK"/>
        </w:rPr>
      </w:pPr>
      <w:r>
        <w:rPr>
          <w:bCs/>
          <w:szCs w:val="28"/>
        </w:rPr>
        <w:tab/>
      </w:r>
      <w:r w:rsidR="00D6245B" w:rsidRPr="00AC23A4">
        <w:rPr>
          <w:rFonts w:eastAsia="PMingLiU"/>
          <w:lang w:eastAsia="zh-HK"/>
        </w:rPr>
        <w:t>WELLGAIN INTERNATIONAL</w:t>
      </w:r>
      <w:r w:rsidR="00D40B7A">
        <w:rPr>
          <w:rFonts w:eastAsia="PMingLiU" w:hint="eastAsia"/>
          <w:lang w:eastAsia="zh-HK"/>
        </w:rPr>
        <w:tab/>
      </w:r>
      <w:r w:rsidR="00D40B7A">
        <w:rPr>
          <w:bCs/>
          <w:szCs w:val="28"/>
          <w:lang w:val="en-GB"/>
        </w:rPr>
        <w:t>Defendant</w:t>
      </w:r>
    </w:p>
    <w:p w:rsidR="00D6245B" w:rsidRPr="00D40B7A" w:rsidRDefault="00D6245B" w:rsidP="00D6245B">
      <w:pPr>
        <w:tabs>
          <w:tab w:val="clear" w:pos="1440"/>
          <w:tab w:val="clear" w:pos="4320"/>
          <w:tab w:val="clear" w:pos="9072"/>
          <w:tab w:val="left" w:pos="2160"/>
          <w:tab w:val="right" w:pos="8280"/>
        </w:tabs>
        <w:spacing w:line="360" w:lineRule="auto"/>
        <w:rPr>
          <w:rFonts w:eastAsia="PMingLiU"/>
          <w:lang w:eastAsia="zh-HK"/>
        </w:rPr>
      </w:pPr>
      <w:r>
        <w:rPr>
          <w:bCs/>
          <w:szCs w:val="28"/>
          <w:lang w:val="en-GB"/>
        </w:rPr>
        <w:tab/>
      </w:r>
      <w:r w:rsidRPr="00AC23A4">
        <w:rPr>
          <w:bCs/>
          <w:szCs w:val="28"/>
          <w:lang w:val="en-GB"/>
        </w:rPr>
        <w:t>INDUSTRIAL LIMITED</w:t>
      </w:r>
    </w:p>
    <w:p w:rsidR="00D6245B" w:rsidRPr="00A64F2D" w:rsidRDefault="00D6245B" w:rsidP="00D6245B">
      <w:pPr>
        <w:tabs>
          <w:tab w:val="clear" w:pos="1440"/>
          <w:tab w:val="clear" w:pos="4320"/>
          <w:tab w:val="clear" w:pos="9072"/>
          <w:tab w:val="left" w:pos="2100"/>
        </w:tabs>
        <w:spacing w:line="360" w:lineRule="auto"/>
        <w:jc w:val="center"/>
        <w:rPr>
          <w:rFonts w:eastAsia="PMingLiU"/>
          <w:caps/>
          <w:szCs w:val="28"/>
          <w:lang w:eastAsia="zh-TW"/>
        </w:rPr>
      </w:pPr>
      <w:r>
        <w:rPr>
          <w:rFonts w:eastAsia="PMingLiU"/>
          <w:caps/>
          <w:szCs w:val="28"/>
          <w:lang w:eastAsia="zh-TW"/>
        </w:rPr>
        <w:t>---</w:t>
      </w:r>
      <w:r w:rsidRPr="00A64F2D">
        <w:rPr>
          <w:rFonts w:eastAsia="PMingLiU"/>
          <w:caps/>
          <w:szCs w:val="28"/>
          <w:lang w:eastAsia="zh-TW"/>
        </w:rPr>
        <w:t>--</w:t>
      </w:r>
      <w:r>
        <w:rPr>
          <w:rFonts w:eastAsia="PMingLiU" w:hint="eastAsia"/>
          <w:caps/>
          <w:szCs w:val="28"/>
          <w:lang w:eastAsia="zh-TW"/>
        </w:rPr>
        <w:t>--</w:t>
      </w:r>
      <w:r>
        <w:rPr>
          <w:rFonts w:eastAsiaTheme="minorEastAsia"/>
          <w:caps/>
          <w:szCs w:val="28"/>
        </w:rPr>
        <w:t>--------</w:t>
      </w:r>
      <w:r>
        <w:rPr>
          <w:rFonts w:eastAsia="PMingLiU" w:hint="eastAsia"/>
          <w:caps/>
          <w:szCs w:val="28"/>
          <w:lang w:eastAsia="zh-TW"/>
        </w:rPr>
        <w:t>--</w:t>
      </w:r>
      <w:r w:rsidRPr="00A64F2D">
        <w:rPr>
          <w:rFonts w:eastAsia="PMingLiU"/>
          <w:caps/>
          <w:szCs w:val="28"/>
          <w:lang w:eastAsia="zh-TW"/>
        </w:rPr>
        <w:t>---------------------</w:t>
      </w:r>
    </w:p>
    <w:p w:rsidR="00D6245B" w:rsidRDefault="00D6245B" w:rsidP="00D6245B">
      <w:pPr>
        <w:tabs>
          <w:tab w:val="right" w:pos="8100"/>
        </w:tabs>
        <w:spacing w:line="360" w:lineRule="auto"/>
      </w:pPr>
    </w:p>
    <w:p w:rsidR="00D6245B" w:rsidRPr="00DD4694" w:rsidRDefault="00D6245B" w:rsidP="00D6245B">
      <w:pPr>
        <w:spacing w:line="360" w:lineRule="auto"/>
        <w:jc w:val="both"/>
        <w:rPr>
          <w:rFonts w:eastAsia="PMingLiU"/>
          <w:bCs/>
          <w:lang w:val="en-GB" w:eastAsia="en-US"/>
        </w:rPr>
      </w:pPr>
      <w:r w:rsidRPr="00DD4694">
        <w:rPr>
          <w:rFonts w:eastAsia="PMingLiU"/>
        </w:rPr>
        <w:t xml:space="preserve">Before:  Her Honour Judge Levy in Chambers </w:t>
      </w:r>
      <w:r w:rsidRPr="00DD4694">
        <w:rPr>
          <w:rFonts w:eastAsia="PMingLiU"/>
          <w:bCs/>
          <w:lang w:val="en-GB" w:eastAsia="en-US"/>
        </w:rPr>
        <w:t>(Open to Public)</w:t>
      </w:r>
    </w:p>
    <w:p w:rsidR="00D6245B" w:rsidRPr="0027729D" w:rsidRDefault="00D6245B" w:rsidP="00D6245B">
      <w:pPr>
        <w:spacing w:line="360" w:lineRule="auto"/>
        <w:jc w:val="both"/>
        <w:rPr>
          <w:rFonts w:eastAsia="PMingLiU"/>
          <w:lang w:eastAsia="zh-TW"/>
        </w:rPr>
      </w:pPr>
      <w:r w:rsidRPr="00DD4694">
        <w:rPr>
          <w:rFonts w:eastAsia="PMingLiU"/>
        </w:rPr>
        <w:t xml:space="preserve">Date of Hearing:  </w:t>
      </w:r>
      <w:r>
        <w:rPr>
          <w:rFonts w:eastAsia="PMingLiU"/>
        </w:rPr>
        <w:t>7 June 2021</w:t>
      </w:r>
    </w:p>
    <w:p w:rsidR="00D6245B" w:rsidRDefault="00D6245B" w:rsidP="00D6245B">
      <w:pPr>
        <w:spacing w:line="360" w:lineRule="auto"/>
        <w:jc w:val="both"/>
        <w:rPr>
          <w:rFonts w:eastAsia="PMingLiU"/>
          <w:lang w:eastAsia="zh-TW"/>
        </w:rPr>
      </w:pPr>
      <w:r w:rsidRPr="00DD0EA4">
        <w:rPr>
          <w:rFonts w:eastAsia="PMingLiU"/>
          <w:lang w:eastAsia="zh-TW"/>
        </w:rPr>
        <w:t xml:space="preserve">Date of Decision:  </w:t>
      </w:r>
      <w:r>
        <w:rPr>
          <w:rFonts w:eastAsia="PMingLiU"/>
        </w:rPr>
        <w:t>7 June 2021</w:t>
      </w:r>
    </w:p>
    <w:p w:rsidR="00D6245B" w:rsidRDefault="00D6245B" w:rsidP="00D6245B">
      <w:pPr>
        <w:spacing w:line="360" w:lineRule="auto"/>
        <w:jc w:val="both"/>
        <w:rPr>
          <w:rFonts w:eastAsia="PMingLiU"/>
          <w:szCs w:val="28"/>
          <w:lang w:eastAsia="zh-TW"/>
        </w:rPr>
      </w:pPr>
      <w:r w:rsidRPr="00DD0EA4">
        <w:rPr>
          <w:rFonts w:eastAsia="PMingLiU"/>
          <w:szCs w:val="28"/>
          <w:lang w:eastAsia="zh-TW"/>
        </w:rPr>
        <w:t xml:space="preserve">Date of </w:t>
      </w:r>
      <w:r>
        <w:rPr>
          <w:rFonts w:eastAsia="PMingLiU"/>
          <w:szCs w:val="28"/>
          <w:lang w:eastAsia="zh-TW"/>
        </w:rPr>
        <w:t xml:space="preserve">Reasons for </w:t>
      </w:r>
      <w:r w:rsidRPr="00DD0EA4">
        <w:rPr>
          <w:rFonts w:eastAsia="PMingLiU"/>
          <w:szCs w:val="28"/>
          <w:lang w:eastAsia="zh-TW"/>
        </w:rPr>
        <w:t xml:space="preserve">Decision:  </w:t>
      </w:r>
      <w:r>
        <w:rPr>
          <w:rFonts w:eastAsia="PMingLiU"/>
          <w:szCs w:val="28"/>
          <w:lang w:eastAsia="zh-TW"/>
        </w:rPr>
        <w:t>18 June 2021</w:t>
      </w:r>
    </w:p>
    <w:p w:rsidR="00D6245B" w:rsidRPr="00FC38F9" w:rsidRDefault="00D6245B" w:rsidP="00D6245B">
      <w:pPr>
        <w:spacing w:line="360" w:lineRule="auto"/>
        <w:jc w:val="both"/>
        <w:rPr>
          <w:rFonts w:eastAsia="PMingLiU"/>
          <w:lang w:eastAsia="zh-TW"/>
        </w:rPr>
      </w:pPr>
    </w:p>
    <w:p w:rsidR="006E39C1" w:rsidRPr="006E39C1" w:rsidRDefault="006E39C1" w:rsidP="00255111">
      <w:pPr>
        <w:tabs>
          <w:tab w:val="clear" w:pos="1440"/>
          <w:tab w:val="clear" w:pos="4320"/>
          <w:tab w:val="clear" w:pos="9072"/>
        </w:tabs>
        <w:spacing w:line="360" w:lineRule="auto"/>
        <w:jc w:val="center"/>
        <w:rPr>
          <w:bCs/>
          <w:szCs w:val="28"/>
          <w:lang w:val="en-GB"/>
        </w:rPr>
      </w:pPr>
      <w:r w:rsidRPr="006E39C1">
        <w:rPr>
          <w:bCs/>
          <w:szCs w:val="28"/>
          <w:lang w:val="en-GB"/>
        </w:rPr>
        <w:t>-----</w:t>
      </w:r>
      <w:r w:rsidR="00764ADC">
        <w:rPr>
          <w:bCs/>
          <w:szCs w:val="28"/>
          <w:lang w:val="en-GB"/>
        </w:rPr>
        <w:t>-----</w:t>
      </w:r>
      <w:r w:rsidRPr="006E39C1">
        <w:rPr>
          <w:bCs/>
          <w:szCs w:val="28"/>
          <w:lang w:val="en-GB"/>
        </w:rPr>
        <w:t>----</w:t>
      </w:r>
      <w:r w:rsidR="00764ADC">
        <w:rPr>
          <w:bCs/>
          <w:szCs w:val="28"/>
          <w:lang w:val="en-GB"/>
        </w:rPr>
        <w:t>---------</w:t>
      </w:r>
      <w:r w:rsidRPr="006E39C1">
        <w:rPr>
          <w:bCs/>
          <w:szCs w:val="28"/>
          <w:lang w:val="en-GB"/>
        </w:rPr>
        <w:t>-----------------</w:t>
      </w:r>
    </w:p>
    <w:p w:rsidR="006E39C1" w:rsidRPr="00764ADC" w:rsidRDefault="00764ADC" w:rsidP="00255111">
      <w:pPr>
        <w:tabs>
          <w:tab w:val="clear" w:pos="1440"/>
          <w:tab w:val="clear" w:pos="4320"/>
          <w:tab w:val="clear" w:pos="9072"/>
          <w:tab w:val="center" w:pos="4140"/>
        </w:tabs>
        <w:spacing w:line="360" w:lineRule="auto"/>
        <w:rPr>
          <w:bCs/>
          <w:szCs w:val="28"/>
          <w:lang w:val="en-GB"/>
        </w:rPr>
      </w:pPr>
      <w:r>
        <w:rPr>
          <w:rFonts w:ascii="PMingLiU" w:eastAsia="PMingLiU" w:hAnsi="PMingLiU"/>
          <w:bCs/>
          <w:szCs w:val="28"/>
          <w:lang w:eastAsia="zh-HK"/>
        </w:rPr>
        <w:tab/>
      </w:r>
      <w:r w:rsidRPr="00764ADC">
        <w:rPr>
          <w:rFonts w:eastAsia="PMingLiU"/>
          <w:bCs/>
          <w:szCs w:val="28"/>
          <w:lang w:eastAsia="zh-HK"/>
        </w:rPr>
        <w:t>REASONS FOR DECISION</w:t>
      </w:r>
    </w:p>
    <w:p w:rsidR="00764ADC" w:rsidRPr="006E39C1" w:rsidRDefault="00764ADC" w:rsidP="00255111">
      <w:pPr>
        <w:tabs>
          <w:tab w:val="clear" w:pos="1440"/>
          <w:tab w:val="clear" w:pos="4320"/>
          <w:tab w:val="clear" w:pos="9072"/>
        </w:tabs>
        <w:spacing w:line="360" w:lineRule="auto"/>
        <w:jc w:val="center"/>
        <w:rPr>
          <w:bCs/>
          <w:szCs w:val="28"/>
          <w:lang w:val="en-GB"/>
        </w:rPr>
      </w:pPr>
      <w:r w:rsidRPr="006E39C1">
        <w:rPr>
          <w:bCs/>
          <w:szCs w:val="28"/>
          <w:lang w:val="en-GB"/>
        </w:rPr>
        <w:t>-----</w:t>
      </w:r>
      <w:r>
        <w:rPr>
          <w:bCs/>
          <w:szCs w:val="28"/>
          <w:lang w:val="en-GB"/>
        </w:rPr>
        <w:t>-----</w:t>
      </w:r>
      <w:r w:rsidRPr="006E39C1">
        <w:rPr>
          <w:bCs/>
          <w:szCs w:val="28"/>
          <w:lang w:val="en-GB"/>
        </w:rPr>
        <w:t>----</w:t>
      </w:r>
      <w:r>
        <w:rPr>
          <w:bCs/>
          <w:szCs w:val="28"/>
          <w:lang w:val="en-GB"/>
        </w:rPr>
        <w:t>---------</w:t>
      </w:r>
      <w:r w:rsidRPr="006E39C1">
        <w:rPr>
          <w:bCs/>
          <w:szCs w:val="28"/>
          <w:lang w:val="en-GB"/>
        </w:rPr>
        <w:t>-----------------</w:t>
      </w:r>
    </w:p>
    <w:p w:rsidR="0044753D" w:rsidRPr="00B437CD" w:rsidRDefault="0044753D" w:rsidP="005E1E6A">
      <w:pPr>
        <w:tabs>
          <w:tab w:val="clear" w:pos="4320"/>
          <w:tab w:val="clear" w:pos="9072"/>
        </w:tabs>
        <w:spacing w:line="360" w:lineRule="auto"/>
        <w:jc w:val="both"/>
        <w:rPr>
          <w:snapToGrid w:val="0"/>
          <w:szCs w:val="28"/>
        </w:rPr>
      </w:pPr>
    </w:p>
    <w:p w:rsidR="0044753D" w:rsidRPr="00B437CD" w:rsidRDefault="00E009A6" w:rsidP="00E009A6">
      <w:pPr>
        <w:pStyle w:val="ListParagraph"/>
        <w:tabs>
          <w:tab w:val="clear" w:pos="4320"/>
          <w:tab w:val="clear" w:pos="9072"/>
          <w:tab w:val="left" w:pos="720"/>
        </w:tabs>
        <w:spacing w:line="360" w:lineRule="auto"/>
        <w:ind w:left="0"/>
        <w:jc w:val="both"/>
        <w:rPr>
          <w:snapToGrid w:val="0"/>
          <w:szCs w:val="28"/>
        </w:rPr>
      </w:pPr>
      <w:r>
        <w:rPr>
          <w:i/>
          <w:snapToGrid w:val="0"/>
          <w:szCs w:val="28"/>
        </w:rPr>
        <w:t>A.</w:t>
      </w:r>
      <w:r>
        <w:rPr>
          <w:i/>
          <w:snapToGrid w:val="0"/>
          <w:szCs w:val="28"/>
        </w:rPr>
        <w:tab/>
      </w:r>
      <w:r w:rsidR="0044753D" w:rsidRPr="00B437CD">
        <w:rPr>
          <w:i/>
          <w:snapToGrid w:val="0"/>
          <w:szCs w:val="28"/>
        </w:rPr>
        <w:t>T</w:t>
      </w:r>
      <w:r>
        <w:rPr>
          <w:i/>
          <w:snapToGrid w:val="0"/>
          <w:szCs w:val="28"/>
        </w:rPr>
        <w:t>HE STRI</w:t>
      </w:r>
      <w:r w:rsidR="00B437CD">
        <w:rPr>
          <w:i/>
          <w:snapToGrid w:val="0"/>
          <w:szCs w:val="28"/>
        </w:rPr>
        <w:t>KING OUT SUMMONS</w:t>
      </w:r>
    </w:p>
    <w:p w:rsidR="0044753D" w:rsidRPr="00B437CD" w:rsidRDefault="0044753D" w:rsidP="005E1E6A">
      <w:pPr>
        <w:tabs>
          <w:tab w:val="clear" w:pos="4320"/>
          <w:tab w:val="clear" w:pos="9072"/>
        </w:tabs>
        <w:spacing w:line="360" w:lineRule="auto"/>
        <w:jc w:val="both"/>
        <w:rPr>
          <w:snapToGrid w:val="0"/>
          <w:szCs w:val="28"/>
        </w:rPr>
      </w:pPr>
    </w:p>
    <w:p w:rsidR="0044753D" w:rsidRPr="00825F85" w:rsidRDefault="0044753D" w:rsidP="005E1E6A">
      <w:pPr>
        <w:pStyle w:val="ListParagraph"/>
        <w:numPr>
          <w:ilvl w:val="0"/>
          <w:numId w:val="7"/>
        </w:numPr>
        <w:tabs>
          <w:tab w:val="clear" w:pos="4320"/>
          <w:tab w:val="clear" w:pos="9072"/>
        </w:tabs>
        <w:spacing w:line="360" w:lineRule="auto"/>
        <w:ind w:left="0" w:firstLine="0"/>
        <w:jc w:val="both"/>
        <w:rPr>
          <w:snapToGrid w:val="0"/>
          <w:szCs w:val="28"/>
        </w:rPr>
      </w:pPr>
      <w:r w:rsidRPr="00B437CD">
        <w:rPr>
          <w:snapToGrid w:val="0"/>
          <w:szCs w:val="28"/>
        </w:rPr>
        <w:t xml:space="preserve">By summons dated 17 May 2021, the </w:t>
      </w:r>
      <w:r w:rsidR="007E094F">
        <w:rPr>
          <w:snapToGrid w:val="0"/>
          <w:szCs w:val="28"/>
        </w:rPr>
        <w:t>D</w:t>
      </w:r>
      <w:r w:rsidR="00BA7DE5" w:rsidRPr="00B437CD">
        <w:rPr>
          <w:snapToGrid w:val="0"/>
          <w:szCs w:val="28"/>
        </w:rPr>
        <w:t>efendant</w:t>
      </w:r>
      <w:r w:rsidRPr="00B437CD">
        <w:rPr>
          <w:snapToGrid w:val="0"/>
          <w:szCs w:val="28"/>
        </w:rPr>
        <w:t xml:space="preserve"> applied to strike out this personal injuries claim.</w:t>
      </w:r>
    </w:p>
    <w:p w:rsidR="0044753D" w:rsidRPr="00B437CD" w:rsidRDefault="0044753D" w:rsidP="005E1E6A">
      <w:pPr>
        <w:pStyle w:val="ListParagraph"/>
        <w:numPr>
          <w:ilvl w:val="0"/>
          <w:numId w:val="7"/>
        </w:numPr>
        <w:tabs>
          <w:tab w:val="clear" w:pos="4320"/>
          <w:tab w:val="clear" w:pos="9072"/>
        </w:tabs>
        <w:spacing w:line="360" w:lineRule="auto"/>
        <w:ind w:left="0" w:firstLine="0"/>
        <w:jc w:val="both"/>
        <w:rPr>
          <w:snapToGrid w:val="0"/>
          <w:szCs w:val="28"/>
        </w:rPr>
      </w:pPr>
      <w:r w:rsidRPr="00B437CD">
        <w:rPr>
          <w:snapToGrid w:val="0"/>
          <w:szCs w:val="28"/>
        </w:rPr>
        <w:lastRenderedPageBreak/>
        <w:t xml:space="preserve">Before the hearing, the court received from the unrepresented </w:t>
      </w:r>
      <w:r w:rsidR="003C549C">
        <w:rPr>
          <w:snapToGrid w:val="0"/>
          <w:szCs w:val="28"/>
        </w:rPr>
        <w:t>Plaintiff</w:t>
      </w:r>
      <w:r w:rsidRPr="00B437CD">
        <w:rPr>
          <w:snapToGrid w:val="0"/>
          <w:szCs w:val="28"/>
        </w:rPr>
        <w:t xml:space="preserve"> a letter dated 28 May 2021 together with his submissions attached to the letter.  In the letter, the </w:t>
      </w:r>
      <w:r w:rsidR="003C549C">
        <w:rPr>
          <w:snapToGrid w:val="0"/>
          <w:szCs w:val="28"/>
        </w:rPr>
        <w:t>Plaintiff</w:t>
      </w:r>
      <w:r w:rsidRPr="00B437CD">
        <w:rPr>
          <w:snapToGrid w:val="0"/>
          <w:szCs w:val="28"/>
        </w:rPr>
        <w:t xml:space="preserve"> stated that he was not in Hong Kong and asked to be allowed to be absent </w:t>
      </w:r>
      <w:r w:rsidR="00D40B7A">
        <w:rPr>
          <w:snapToGrid w:val="0"/>
          <w:szCs w:val="28"/>
        </w:rPr>
        <w:t>from the hearing.</w:t>
      </w:r>
    </w:p>
    <w:p w:rsidR="0044753D" w:rsidRPr="00B437CD" w:rsidRDefault="0044753D" w:rsidP="005E1E6A">
      <w:pPr>
        <w:tabs>
          <w:tab w:val="clear" w:pos="4320"/>
          <w:tab w:val="clear" w:pos="9072"/>
        </w:tabs>
        <w:spacing w:line="360" w:lineRule="auto"/>
        <w:jc w:val="both"/>
        <w:rPr>
          <w:snapToGrid w:val="0"/>
          <w:szCs w:val="28"/>
        </w:rPr>
      </w:pPr>
    </w:p>
    <w:p w:rsidR="0044753D" w:rsidRPr="00B437CD" w:rsidRDefault="0044753D" w:rsidP="005E1E6A">
      <w:pPr>
        <w:pStyle w:val="ListParagraph"/>
        <w:numPr>
          <w:ilvl w:val="0"/>
          <w:numId w:val="7"/>
        </w:numPr>
        <w:tabs>
          <w:tab w:val="clear" w:pos="4320"/>
          <w:tab w:val="clear" w:pos="9072"/>
        </w:tabs>
        <w:spacing w:line="360" w:lineRule="auto"/>
        <w:ind w:left="0" w:firstLine="0"/>
        <w:jc w:val="both"/>
        <w:rPr>
          <w:snapToGrid w:val="0"/>
          <w:szCs w:val="28"/>
        </w:rPr>
      </w:pPr>
      <w:r w:rsidRPr="00B437CD">
        <w:rPr>
          <w:snapToGrid w:val="0"/>
          <w:szCs w:val="28"/>
        </w:rPr>
        <w:t xml:space="preserve">The </w:t>
      </w:r>
      <w:r w:rsidR="003C549C">
        <w:rPr>
          <w:snapToGrid w:val="0"/>
          <w:szCs w:val="28"/>
        </w:rPr>
        <w:t>Plaintiff</w:t>
      </w:r>
      <w:r w:rsidRPr="00B437CD">
        <w:rPr>
          <w:snapToGrid w:val="0"/>
          <w:szCs w:val="28"/>
        </w:rPr>
        <w:t xml:space="preserve"> was absent at the hearing, which was only attended by Mr Cheng, counsel for the </w:t>
      </w:r>
      <w:r w:rsidR="007E094F">
        <w:rPr>
          <w:snapToGrid w:val="0"/>
          <w:szCs w:val="28"/>
        </w:rPr>
        <w:t>D</w:t>
      </w:r>
      <w:r w:rsidR="00BA7DE5" w:rsidRPr="00B437CD">
        <w:rPr>
          <w:snapToGrid w:val="0"/>
          <w:szCs w:val="28"/>
        </w:rPr>
        <w:t>efendant</w:t>
      </w:r>
      <w:r w:rsidRPr="00B437CD">
        <w:rPr>
          <w:snapToGrid w:val="0"/>
          <w:szCs w:val="28"/>
        </w:rPr>
        <w:t xml:space="preserve">, and Ms Yuen </w:t>
      </w:r>
      <w:r w:rsidR="00804BA3">
        <w:rPr>
          <w:snapToGrid w:val="0"/>
          <w:szCs w:val="28"/>
        </w:rPr>
        <w:t>for</w:t>
      </w:r>
      <w:r w:rsidRPr="00B437CD">
        <w:rPr>
          <w:snapToGrid w:val="0"/>
          <w:szCs w:val="28"/>
        </w:rPr>
        <w:t xml:space="preserve"> the Official Receiver. </w:t>
      </w:r>
      <w:r w:rsidR="00BA7DE5" w:rsidRPr="00B437CD">
        <w:rPr>
          <w:snapToGrid w:val="0"/>
          <w:szCs w:val="28"/>
        </w:rPr>
        <w:t xml:space="preserve"> </w:t>
      </w:r>
      <w:r w:rsidRPr="00B437CD">
        <w:rPr>
          <w:snapToGrid w:val="0"/>
          <w:szCs w:val="28"/>
        </w:rPr>
        <w:t xml:space="preserve">Ms Yuen’s attendance was due to the </w:t>
      </w:r>
      <w:r w:rsidR="007E094F">
        <w:rPr>
          <w:snapToGrid w:val="0"/>
          <w:szCs w:val="28"/>
        </w:rPr>
        <w:t>D</w:t>
      </w:r>
      <w:r w:rsidR="00BA7DE5" w:rsidRPr="00B437CD">
        <w:rPr>
          <w:snapToGrid w:val="0"/>
          <w:szCs w:val="28"/>
        </w:rPr>
        <w:t>efendant</w:t>
      </w:r>
      <w:r w:rsidRPr="00B437CD">
        <w:rPr>
          <w:snapToGrid w:val="0"/>
          <w:szCs w:val="28"/>
        </w:rPr>
        <w:t xml:space="preserve">’s recent discovery of the bankruptcy order made against the </w:t>
      </w:r>
      <w:r w:rsidR="003C549C">
        <w:rPr>
          <w:snapToGrid w:val="0"/>
          <w:szCs w:val="28"/>
        </w:rPr>
        <w:t>Plaintiff</w:t>
      </w:r>
      <w:r w:rsidR="00D40B7A">
        <w:rPr>
          <w:snapToGrid w:val="0"/>
          <w:szCs w:val="28"/>
        </w:rPr>
        <w:t xml:space="preserve"> on 19 September 2018.</w:t>
      </w:r>
    </w:p>
    <w:p w:rsidR="0044753D" w:rsidRPr="00B437CD" w:rsidRDefault="0044753D" w:rsidP="005E1E6A">
      <w:pPr>
        <w:tabs>
          <w:tab w:val="clear" w:pos="4320"/>
          <w:tab w:val="clear" w:pos="9072"/>
        </w:tabs>
        <w:spacing w:line="360" w:lineRule="auto"/>
        <w:jc w:val="both"/>
        <w:rPr>
          <w:snapToGrid w:val="0"/>
          <w:szCs w:val="28"/>
        </w:rPr>
      </w:pPr>
    </w:p>
    <w:p w:rsidR="0044753D" w:rsidRPr="00B437CD" w:rsidRDefault="0044753D" w:rsidP="005E1E6A">
      <w:pPr>
        <w:pStyle w:val="ListParagraph"/>
        <w:numPr>
          <w:ilvl w:val="0"/>
          <w:numId w:val="7"/>
        </w:numPr>
        <w:tabs>
          <w:tab w:val="clear" w:pos="4320"/>
          <w:tab w:val="clear" w:pos="9072"/>
        </w:tabs>
        <w:spacing w:line="360" w:lineRule="auto"/>
        <w:ind w:left="0" w:firstLine="0"/>
        <w:jc w:val="both"/>
        <w:rPr>
          <w:snapToGrid w:val="0"/>
          <w:szCs w:val="28"/>
        </w:rPr>
      </w:pPr>
      <w:r w:rsidRPr="00B437CD">
        <w:rPr>
          <w:snapToGrid w:val="0"/>
          <w:szCs w:val="28"/>
        </w:rPr>
        <w:t xml:space="preserve">As no application or request had been made by the </w:t>
      </w:r>
      <w:r w:rsidR="003C549C">
        <w:rPr>
          <w:snapToGrid w:val="0"/>
          <w:szCs w:val="28"/>
        </w:rPr>
        <w:t>Plaintiff</w:t>
      </w:r>
      <w:r w:rsidRPr="00B437CD">
        <w:rPr>
          <w:snapToGrid w:val="0"/>
          <w:szCs w:val="28"/>
        </w:rPr>
        <w:t xml:space="preserve"> to adjourn the hearing, I proceeded to hear the summons in the absence of the </w:t>
      </w:r>
      <w:r w:rsidR="003C549C">
        <w:rPr>
          <w:snapToGrid w:val="0"/>
          <w:szCs w:val="28"/>
        </w:rPr>
        <w:t>Plaintiff</w:t>
      </w:r>
      <w:r w:rsidRPr="00B437CD">
        <w:rPr>
          <w:snapToGrid w:val="0"/>
          <w:szCs w:val="28"/>
        </w:rPr>
        <w:t>.  At the end of the hearing, I made the following orders:</w:t>
      </w:r>
      <w:r w:rsidR="00BA7DE5" w:rsidRPr="00B437CD">
        <w:rPr>
          <w:snapToGrid w:val="0"/>
          <w:szCs w:val="28"/>
        </w:rPr>
        <w:t>-</w:t>
      </w:r>
    </w:p>
    <w:p w:rsidR="0044753D" w:rsidRPr="00B437CD" w:rsidRDefault="0044753D" w:rsidP="005E1E6A">
      <w:pPr>
        <w:tabs>
          <w:tab w:val="clear" w:pos="4320"/>
          <w:tab w:val="clear" w:pos="9072"/>
        </w:tabs>
        <w:spacing w:line="360" w:lineRule="auto"/>
        <w:jc w:val="both"/>
        <w:rPr>
          <w:snapToGrid w:val="0"/>
          <w:szCs w:val="28"/>
        </w:rPr>
      </w:pPr>
    </w:p>
    <w:p w:rsidR="00BA7DE5" w:rsidRPr="00B437CD" w:rsidRDefault="0044753D" w:rsidP="005E1E6A">
      <w:pPr>
        <w:pStyle w:val="ListParagraph"/>
        <w:numPr>
          <w:ilvl w:val="0"/>
          <w:numId w:val="9"/>
        </w:numPr>
        <w:tabs>
          <w:tab w:val="clear" w:pos="4320"/>
          <w:tab w:val="clear" w:pos="9072"/>
          <w:tab w:val="left" w:pos="2160"/>
        </w:tabs>
        <w:spacing w:line="360" w:lineRule="auto"/>
        <w:ind w:hanging="720"/>
        <w:jc w:val="both"/>
        <w:rPr>
          <w:snapToGrid w:val="0"/>
          <w:szCs w:val="28"/>
        </w:rPr>
      </w:pPr>
      <w:r w:rsidRPr="00B437CD">
        <w:rPr>
          <w:snapToGrid w:val="0"/>
          <w:szCs w:val="28"/>
        </w:rPr>
        <w:t xml:space="preserve">The </w:t>
      </w:r>
      <w:r w:rsidR="003C549C">
        <w:rPr>
          <w:snapToGrid w:val="0"/>
          <w:szCs w:val="28"/>
        </w:rPr>
        <w:t>Plaintiff</w:t>
      </w:r>
      <w:r w:rsidR="00AF02CA">
        <w:rPr>
          <w:snapToGrid w:val="0"/>
          <w:szCs w:val="28"/>
        </w:rPr>
        <w:t>’</w:t>
      </w:r>
      <w:r w:rsidRPr="00B437CD">
        <w:rPr>
          <w:snapToGrid w:val="0"/>
          <w:szCs w:val="28"/>
        </w:rPr>
        <w:t>s Statement of Claim be struck out and this action be dismissed for the reasons that:</w:t>
      </w:r>
      <w:r w:rsidR="00BA7DE5" w:rsidRPr="00B437CD">
        <w:rPr>
          <w:snapToGrid w:val="0"/>
          <w:szCs w:val="28"/>
        </w:rPr>
        <w:t>-</w:t>
      </w:r>
    </w:p>
    <w:p w:rsidR="00BA7DE5" w:rsidRPr="00B437CD" w:rsidRDefault="00BA7DE5" w:rsidP="005E1E6A">
      <w:pPr>
        <w:pStyle w:val="ListParagraph"/>
        <w:tabs>
          <w:tab w:val="clear" w:pos="4320"/>
          <w:tab w:val="clear" w:pos="9072"/>
          <w:tab w:val="left" w:pos="2160"/>
        </w:tabs>
        <w:spacing w:line="360" w:lineRule="auto"/>
        <w:ind w:left="2160"/>
        <w:jc w:val="both"/>
        <w:rPr>
          <w:snapToGrid w:val="0"/>
          <w:szCs w:val="28"/>
        </w:rPr>
      </w:pPr>
    </w:p>
    <w:p w:rsidR="00BA7DE5" w:rsidRPr="00B437CD" w:rsidRDefault="004D6605" w:rsidP="005E1E6A">
      <w:pPr>
        <w:pStyle w:val="ListParagraph"/>
        <w:numPr>
          <w:ilvl w:val="0"/>
          <w:numId w:val="10"/>
        </w:numPr>
        <w:tabs>
          <w:tab w:val="clear" w:pos="4320"/>
          <w:tab w:val="clear" w:pos="9072"/>
          <w:tab w:val="left" w:pos="2160"/>
          <w:tab w:val="left" w:pos="2880"/>
        </w:tabs>
        <w:spacing w:line="360" w:lineRule="auto"/>
        <w:ind w:left="2880" w:hanging="720"/>
        <w:jc w:val="both"/>
        <w:rPr>
          <w:snapToGrid w:val="0"/>
          <w:szCs w:val="28"/>
        </w:rPr>
      </w:pPr>
      <w:r>
        <w:rPr>
          <w:snapToGrid w:val="0"/>
          <w:szCs w:val="28"/>
        </w:rPr>
        <w:t>I</w:t>
      </w:r>
      <w:r w:rsidR="00BA7DE5" w:rsidRPr="00B437CD">
        <w:rPr>
          <w:snapToGrid w:val="0"/>
          <w:szCs w:val="28"/>
        </w:rPr>
        <w:t>t was an abu</w:t>
      </w:r>
      <w:r w:rsidR="00D40B7A">
        <w:rPr>
          <w:snapToGrid w:val="0"/>
          <w:szCs w:val="28"/>
        </w:rPr>
        <w:t>se of the process of the court;</w:t>
      </w:r>
      <w:r>
        <w:rPr>
          <w:snapToGrid w:val="0"/>
          <w:szCs w:val="28"/>
        </w:rPr>
        <w:t xml:space="preserve"> and</w:t>
      </w:r>
    </w:p>
    <w:p w:rsidR="00BA7DE5" w:rsidRPr="00B437CD" w:rsidRDefault="00BA7DE5" w:rsidP="005E1E6A">
      <w:pPr>
        <w:pStyle w:val="ListParagraph"/>
        <w:tabs>
          <w:tab w:val="clear" w:pos="4320"/>
          <w:tab w:val="clear" w:pos="9072"/>
          <w:tab w:val="left" w:pos="2160"/>
          <w:tab w:val="left" w:pos="2880"/>
        </w:tabs>
        <w:spacing w:line="360" w:lineRule="auto"/>
        <w:ind w:left="2880"/>
        <w:jc w:val="both"/>
        <w:rPr>
          <w:snapToGrid w:val="0"/>
          <w:szCs w:val="28"/>
        </w:rPr>
      </w:pPr>
    </w:p>
    <w:p w:rsidR="00BA7DE5" w:rsidRPr="00B437CD" w:rsidRDefault="00BA7DE5" w:rsidP="005E1E6A">
      <w:pPr>
        <w:pStyle w:val="ListParagraph"/>
        <w:numPr>
          <w:ilvl w:val="0"/>
          <w:numId w:val="10"/>
        </w:numPr>
        <w:tabs>
          <w:tab w:val="clear" w:pos="4320"/>
          <w:tab w:val="clear" w:pos="9072"/>
          <w:tab w:val="left" w:pos="2160"/>
          <w:tab w:val="left" w:pos="2880"/>
        </w:tabs>
        <w:spacing w:line="360" w:lineRule="auto"/>
        <w:ind w:left="2880" w:hanging="720"/>
        <w:jc w:val="both"/>
        <w:rPr>
          <w:snapToGrid w:val="0"/>
          <w:szCs w:val="28"/>
        </w:rPr>
      </w:pPr>
      <w:r w:rsidRPr="00B437CD">
        <w:rPr>
          <w:snapToGrid w:val="0"/>
          <w:szCs w:val="28"/>
        </w:rPr>
        <w:t>No consent had bee</w:t>
      </w:r>
      <w:r w:rsidR="004D6605">
        <w:rPr>
          <w:snapToGrid w:val="0"/>
          <w:szCs w:val="28"/>
        </w:rPr>
        <w:t>n obtained from his trustee-in-</w:t>
      </w:r>
      <w:r w:rsidRPr="00B437CD">
        <w:rPr>
          <w:snapToGrid w:val="0"/>
          <w:szCs w:val="28"/>
        </w:rPr>
        <w:t xml:space="preserve">bankruptcy to proceed with this action after the </w:t>
      </w:r>
      <w:r w:rsidR="003C549C">
        <w:rPr>
          <w:snapToGrid w:val="0"/>
          <w:szCs w:val="28"/>
        </w:rPr>
        <w:t>Plaintiff</w:t>
      </w:r>
      <w:r w:rsidRPr="00B437CD">
        <w:rPr>
          <w:snapToGrid w:val="0"/>
          <w:szCs w:val="28"/>
        </w:rPr>
        <w:t xml:space="preserve"> had become an undischarged bankrupt.</w:t>
      </w:r>
    </w:p>
    <w:p w:rsidR="00BA7DE5" w:rsidRPr="00B437CD" w:rsidRDefault="00BA7DE5" w:rsidP="005E1E6A">
      <w:pPr>
        <w:tabs>
          <w:tab w:val="clear" w:pos="4320"/>
          <w:tab w:val="clear" w:pos="9072"/>
          <w:tab w:val="left" w:pos="2160"/>
        </w:tabs>
        <w:spacing w:line="360" w:lineRule="auto"/>
        <w:ind w:left="2160" w:hanging="720"/>
        <w:jc w:val="both"/>
        <w:rPr>
          <w:snapToGrid w:val="0"/>
          <w:szCs w:val="28"/>
        </w:rPr>
      </w:pPr>
    </w:p>
    <w:p w:rsidR="00B437CD" w:rsidRPr="00B437CD" w:rsidRDefault="0044753D" w:rsidP="008A7BDD">
      <w:pPr>
        <w:pStyle w:val="ListParagraph"/>
        <w:keepNext/>
        <w:keepLines/>
        <w:widowControl w:val="0"/>
        <w:numPr>
          <w:ilvl w:val="0"/>
          <w:numId w:val="9"/>
        </w:numPr>
        <w:tabs>
          <w:tab w:val="clear" w:pos="4320"/>
          <w:tab w:val="clear" w:pos="9072"/>
          <w:tab w:val="left" w:pos="2160"/>
        </w:tabs>
        <w:spacing w:line="360" w:lineRule="auto"/>
        <w:ind w:hanging="720"/>
        <w:jc w:val="both"/>
        <w:rPr>
          <w:snapToGrid w:val="0"/>
          <w:szCs w:val="28"/>
        </w:rPr>
      </w:pPr>
      <w:r w:rsidRPr="00B437CD">
        <w:rPr>
          <w:snapToGrid w:val="0"/>
          <w:szCs w:val="28"/>
        </w:rPr>
        <w:lastRenderedPageBreak/>
        <w:t xml:space="preserve">The trial of this action fixed for 27, </w:t>
      </w:r>
      <w:r w:rsidR="00D40B7A">
        <w:rPr>
          <w:snapToGrid w:val="0"/>
          <w:szCs w:val="28"/>
        </w:rPr>
        <w:t>28 and 29 July 2021 be vacated;</w:t>
      </w:r>
    </w:p>
    <w:p w:rsidR="00B437CD" w:rsidRPr="00B437CD" w:rsidRDefault="00B437CD" w:rsidP="008A7BDD">
      <w:pPr>
        <w:pStyle w:val="ListParagraph"/>
        <w:keepNext/>
        <w:keepLines/>
        <w:widowControl w:val="0"/>
        <w:tabs>
          <w:tab w:val="clear" w:pos="4320"/>
          <w:tab w:val="clear" w:pos="9072"/>
          <w:tab w:val="left" w:pos="2160"/>
        </w:tabs>
        <w:spacing w:line="360" w:lineRule="auto"/>
        <w:ind w:left="2160"/>
        <w:jc w:val="both"/>
        <w:rPr>
          <w:snapToGrid w:val="0"/>
          <w:szCs w:val="28"/>
        </w:rPr>
      </w:pPr>
    </w:p>
    <w:p w:rsidR="00B437CD" w:rsidRPr="00B437CD" w:rsidRDefault="0044753D" w:rsidP="008A7BDD">
      <w:pPr>
        <w:pStyle w:val="ListParagraph"/>
        <w:keepNext/>
        <w:keepLines/>
        <w:widowControl w:val="0"/>
        <w:numPr>
          <w:ilvl w:val="0"/>
          <w:numId w:val="9"/>
        </w:numPr>
        <w:tabs>
          <w:tab w:val="clear" w:pos="4320"/>
          <w:tab w:val="clear" w:pos="9072"/>
          <w:tab w:val="left" w:pos="2160"/>
        </w:tabs>
        <w:spacing w:line="360" w:lineRule="auto"/>
        <w:ind w:hanging="720"/>
        <w:jc w:val="both"/>
        <w:rPr>
          <w:snapToGrid w:val="0"/>
          <w:szCs w:val="28"/>
        </w:rPr>
      </w:pPr>
      <w:r w:rsidRPr="00B437CD">
        <w:rPr>
          <w:snapToGrid w:val="0"/>
          <w:szCs w:val="28"/>
        </w:rPr>
        <w:t xml:space="preserve">The </w:t>
      </w:r>
      <w:r w:rsidR="003C549C">
        <w:rPr>
          <w:snapToGrid w:val="0"/>
          <w:szCs w:val="28"/>
        </w:rPr>
        <w:t>Plaintiff</w:t>
      </w:r>
      <w:r w:rsidRPr="00B437CD">
        <w:rPr>
          <w:snapToGrid w:val="0"/>
          <w:szCs w:val="28"/>
        </w:rPr>
        <w:t xml:space="preserve"> do pay the </w:t>
      </w:r>
      <w:r w:rsidR="007E094F">
        <w:rPr>
          <w:snapToGrid w:val="0"/>
          <w:szCs w:val="28"/>
        </w:rPr>
        <w:t>D</w:t>
      </w:r>
      <w:r w:rsidR="00BA7DE5" w:rsidRPr="00B437CD">
        <w:rPr>
          <w:snapToGrid w:val="0"/>
          <w:szCs w:val="28"/>
        </w:rPr>
        <w:t>efendant</w:t>
      </w:r>
      <w:r w:rsidR="00B437CD" w:rsidRPr="00B437CD">
        <w:rPr>
          <w:snapToGrid w:val="0"/>
          <w:szCs w:val="28"/>
        </w:rPr>
        <w:t>’</w:t>
      </w:r>
      <w:r w:rsidRPr="00B437CD">
        <w:rPr>
          <w:snapToGrid w:val="0"/>
          <w:szCs w:val="28"/>
        </w:rPr>
        <w:t xml:space="preserve">s costs of this action, including the costs of </w:t>
      </w:r>
      <w:r w:rsidR="00825F85">
        <w:rPr>
          <w:snapToGrid w:val="0"/>
          <w:szCs w:val="28"/>
        </w:rPr>
        <w:t>the</w:t>
      </w:r>
      <w:r w:rsidRPr="00B437CD">
        <w:rPr>
          <w:snapToGrid w:val="0"/>
          <w:szCs w:val="28"/>
        </w:rPr>
        <w:t xml:space="preserve"> summons with certificate for counsel, on a party and party basis. </w:t>
      </w:r>
      <w:r w:rsidR="00B437CD">
        <w:rPr>
          <w:snapToGrid w:val="0"/>
          <w:szCs w:val="28"/>
        </w:rPr>
        <w:t xml:space="preserve"> </w:t>
      </w:r>
      <w:r w:rsidRPr="00B437CD">
        <w:rPr>
          <w:snapToGrid w:val="0"/>
          <w:szCs w:val="28"/>
        </w:rPr>
        <w:t>The costs before 16 July 2020 be paid on the High Court scale, and thereaf</w:t>
      </w:r>
      <w:r w:rsidR="00825F85">
        <w:rPr>
          <w:snapToGrid w:val="0"/>
          <w:szCs w:val="28"/>
        </w:rPr>
        <w:t>ter on the District Court scale;</w:t>
      </w:r>
    </w:p>
    <w:p w:rsidR="00B437CD" w:rsidRPr="00B437CD" w:rsidRDefault="00B437CD" w:rsidP="005E1E6A">
      <w:pPr>
        <w:pStyle w:val="ListParagraph"/>
        <w:spacing w:line="360" w:lineRule="auto"/>
        <w:rPr>
          <w:snapToGrid w:val="0"/>
          <w:szCs w:val="28"/>
        </w:rPr>
      </w:pPr>
    </w:p>
    <w:p w:rsidR="00B437CD" w:rsidRPr="00B437CD" w:rsidRDefault="0044753D" w:rsidP="005E1E6A">
      <w:pPr>
        <w:pStyle w:val="ListParagraph"/>
        <w:numPr>
          <w:ilvl w:val="0"/>
          <w:numId w:val="9"/>
        </w:numPr>
        <w:tabs>
          <w:tab w:val="clear" w:pos="4320"/>
          <w:tab w:val="clear" w:pos="9072"/>
          <w:tab w:val="left" w:pos="2160"/>
        </w:tabs>
        <w:spacing w:line="360" w:lineRule="auto"/>
        <w:ind w:hanging="720"/>
        <w:jc w:val="both"/>
        <w:rPr>
          <w:snapToGrid w:val="0"/>
          <w:szCs w:val="28"/>
        </w:rPr>
      </w:pPr>
      <w:r w:rsidRPr="00B437CD">
        <w:rPr>
          <w:snapToGrid w:val="0"/>
          <w:szCs w:val="28"/>
        </w:rPr>
        <w:t xml:space="preserve">The costs payable by the </w:t>
      </w:r>
      <w:r w:rsidR="003C549C">
        <w:rPr>
          <w:snapToGrid w:val="0"/>
          <w:szCs w:val="28"/>
        </w:rPr>
        <w:t>Plaintiff</w:t>
      </w:r>
      <w:r w:rsidRPr="00B437CD">
        <w:rPr>
          <w:snapToGrid w:val="0"/>
          <w:szCs w:val="28"/>
        </w:rPr>
        <w:t xml:space="preserve"> be summarily assessed in lieu </w:t>
      </w:r>
      <w:r w:rsidR="00825F85">
        <w:rPr>
          <w:snapToGrid w:val="0"/>
          <w:szCs w:val="28"/>
        </w:rPr>
        <w:t>of taxation on 6 September 2021 at 2:30 pm; and</w:t>
      </w:r>
    </w:p>
    <w:p w:rsidR="00B437CD" w:rsidRPr="00B437CD" w:rsidRDefault="00B437CD" w:rsidP="005E1E6A">
      <w:pPr>
        <w:pStyle w:val="ListParagraph"/>
        <w:spacing w:line="360" w:lineRule="auto"/>
        <w:rPr>
          <w:snapToGrid w:val="0"/>
          <w:szCs w:val="28"/>
        </w:rPr>
      </w:pPr>
    </w:p>
    <w:p w:rsidR="0044753D" w:rsidRPr="00B437CD" w:rsidRDefault="0044753D" w:rsidP="005E1E6A">
      <w:pPr>
        <w:pStyle w:val="ListParagraph"/>
        <w:numPr>
          <w:ilvl w:val="0"/>
          <w:numId w:val="9"/>
        </w:numPr>
        <w:tabs>
          <w:tab w:val="clear" w:pos="4320"/>
          <w:tab w:val="clear" w:pos="9072"/>
          <w:tab w:val="left" w:pos="2160"/>
        </w:tabs>
        <w:spacing w:line="360" w:lineRule="auto"/>
        <w:ind w:hanging="720"/>
        <w:jc w:val="both"/>
        <w:rPr>
          <w:snapToGrid w:val="0"/>
          <w:szCs w:val="28"/>
        </w:rPr>
      </w:pPr>
      <w:r w:rsidRPr="00B437CD">
        <w:rPr>
          <w:snapToGrid w:val="0"/>
          <w:szCs w:val="28"/>
        </w:rPr>
        <w:t xml:space="preserve">The </w:t>
      </w:r>
      <w:r w:rsidR="007E094F">
        <w:rPr>
          <w:snapToGrid w:val="0"/>
          <w:szCs w:val="28"/>
        </w:rPr>
        <w:t>D</w:t>
      </w:r>
      <w:r w:rsidR="00BA7DE5" w:rsidRPr="00B437CD">
        <w:rPr>
          <w:snapToGrid w:val="0"/>
          <w:szCs w:val="28"/>
        </w:rPr>
        <w:t>efendant</w:t>
      </w:r>
      <w:r w:rsidRPr="00B437CD">
        <w:rPr>
          <w:snapToGrid w:val="0"/>
          <w:szCs w:val="28"/>
        </w:rPr>
        <w:t xml:space="preserve"> do lodge and serve its Statement of Costs within 14 days.</w:t>
      </w:r>
      <w:r w:rsidR="00B437CD">
        <w:rPr>
          <w:snapToGrid w:val="0"/>
          <w:szCs w:val="28"/>
        </w:rPr>
        <w:t xml:space="preserve"> </w:t>
      </w:r>
      <w:r w:rsidRPr="00B437CD">
        <w:rPr>
          <w:snapToGrid w:val="0"/>
          <w:szCs w:val="28"/>
        </w:rPr>
        <w:t xml:space="preserve"> Within 28 days of being served with the Statement of Costs, the </w:t>
      </w:r>
      <w:r w:rsidR="003C549C">
        <w:rPr>
          <w:snapToGrid w:val="0"/>
          <w:szCs w:val="28"/>
        </w:rPr>
        <w:t>Plaintiff</w:t>
      </w:r>
      <w:r w:rsidRPr="00B437CD">
        <w:rPr>
          <w:snapToGrid w:val="0"/>
          <w:szCs w:val="28"/>
        </w:rPr>
        <w:t xml:space="preserve"> shall lodge and serve his objections to the Statement of Costs.</w:t>
      </w:r>
    </w:p>
    <w:p w:rsidR="0044753D" w:rsidRPr="00B437CD" w:rsidRDefault="0044753D" w:rsidP="005E1E6A">
      <w:pPr>
        <w:tabs>
          <w:tab w:val="clear" w:pos="4320"/>
          <w:tab w:val="clear" w:pos="9072"/>
        </w:tabs>
        <w:spacing w:line="360" w:lineRule="auto"/>
        <w:jc w:val="both"/>
        <w:rPr>
          <w:snapToGrid w:val="0"/>
          <w:szCs w:val="28"/>
        </w:rPr>
      </w:pPr>
    </w:p>
    <w:p w:rsidR="0044753D" w:rsidRPr="00B437CD" w:rsidRDefault="00B437CD" w:rsidP="005E1E6A">
      <w:pPr>
        <w:pStyle w:val="ListParagraph"/>
        <w:tabs>
          <w:tab w:val="clear" w:pos="4320"/>
          <w:tab w:val="clear" w:pos="9072"/>
        </w:tabs>
        <w:spacing w:line="360" w:lineRule="auto"/>
        <w:ind w:left="0"/>
        <w:jc w:val="both"/>
        <w:rPr>
          <w:snapToGrid w:val="0"/>
          <w:szCs w:val="28"/>
        </w:rPr>
      </w:pPr>
      <w:r>
        <w:rPr>
          <w:snapToGrid w:val="0"/>
          <w:szCs w:val="28"/>
        </w:rPr>
        <w:tab/>
      </w:r>
      <w:r w:rsidR="0044753D" w:rsidRPr="00B437CD">
        <w:rPr>
          <w:snapToGrid w:val="0"/>
          <w:szCs w:val="28"/>
        </w:rPr>
        <w:t>These are the reasons for my decision.</w:t>
      </w:r>
    </w:p>
    <w:p w:rsidR="0044753D" w:rsidRPr="00B437CD" w:rsidRDefault="0044753D" w:rsidP="005E1E6A">
      <w:pPr>
        <w:tabs>
          <w:tab w:val="clear" w:pos="4320"/>
          <w:tab w:val="clear" w:pos="9072"/>
        </w:tabs>
        <w:spacing w:line="360" w:lineRule="auto"/>
        <w:jc w:val="both"/>
        <w:rPr>
          <w:snapToGrid w:val="0"/>
          <w:szCs w:val="28"/>
        </w:rPr>
      </w:pPr>
    </w:p>
    <w:p w:rsidR="0044753D" w:rsidRDefault="00E009A6" w:rsidP="00E009A6">
      <w:pPr>
        <w:pStyle w:val="ListParagraph"/>
        <w:tabs>
          <w:tab w:val="clear" w:pos="4320"/>
          <w:tab w:val="clear" w:pos="9072"/>
          <w:tab w:val="left" w:pos="720"/>
        </w:tabs>
        <w:spacing w:line="360" w:lineRule="auto"/>
        <w:ind w:left="0"/>
        <w:jc w:val="both"/>
        <w:rPr>
          <w:i/>
          <w:snapToGrid w:val="0"/>
          <w:szCs w:val="28"/>
        </w:rPr>
      </w:pPr>
      <w:r>
        <w:rPr>
          <w:i/>
          <w:snapToGrid w:val="0"/>
          <w:szCs w:val="28"/>
        </w:rPr>
        <w:t>B.</w:t>
      </w:r>
      <w:r>
        <w:rPr>
          <w:i/>
          <w:snapToGrid w:val="0"/>
          <w:szCs w:val="28"/>
        </w:rPr>
        <w:tab/>
      </w:r>
      <w:r w:rsidR="0044753D" w:rsidRPr="00B437CD">
        <w:rPr>
          <w:i/>
          <w:snapToGrid w:val="0"/>
          <w:szCs w:val="28"/>
        </w:rPr>
        <w:t>T</w:t>
      </w:r>
      <w:r w:rsidR="00B437CD">
        <w:rPr>
          <w:i/>
          <w:snapToGrid w:val="0"/>
          <w:szCs w:val="28"/>
        </w:rPr>
        <w:t>HE GROUNDS FOR STRIKING OUT</w:t>
      </w:r>
    </w:p>
    <w:p w:rsidR="00B437CD" w:rsidRPr="00B437CD" w:rsidRDefault="00B437CD" w:rsidP="00E009A6">
      <w:pPr>
        <w:pStyle w:val="ListParagraph"/>
        <w:tabs>
          <w:tab w:val="clear" w:pos="4320"/>
          <w:tab w:val="clear" w:pos="9072"/>
          <w:tab w:val="left" w:pos="720"/>
        </w:tabs>
        <w:spacing w:line="360" w:lineRule="auto"/>
        <w:ind w:left="0"/>
        <w:jc w:val="both"/>
        <w:rPr>
          <w:snapToGrid w:val="0"/>
          <w:szCs w:val="28"/>
        </w:rPr>
      </w:pPr>
    </w:p>
    <w:p w:rsidR="0044753D" w:rsidRPr="00B437CD" w:rsidRDefault="00E009A6" w:rsidP="00E009A6">
      <w:pPr>
        <w:pStyle w:val="ListParagraph"/>
        <w:tabs>
          <w:tab w:val="clear" w:pos="4320"/>
          <w:tab w:val="clear" w:pos="9072"/>
          <w:tab w:val="left" w:pos="720"/>
        </w:tabs>
        <w:spacing w:line="360" w:lineRule="auto"/>
        <w:ind w:left="0"/>
        <w:jc w:val="both"/>
        <w:rPr>
          <w:i/>
          <w:snapToGrid w:val="0"/>
          <w:szCs w:val="28"/>
        </w:rPr>
      </w:pPr>
      <w:r>
        <w:rPr>
          <w:i/>
          <w:snapToGrid w:val="0"/>
          <w:szCs w:val="28"/>
        </w:rPr>
        <w:t>B.1</w:t>
      </w:r>
      <w:r>
        <w:rPr>
          <w:i/>
          <w:snapToGrid w:val="0"/>
          <w:szCs w:val="28"/>
        </w:rPr>
        <w:tab/>
      </w:r>
      <w:r w:rsidR="0044753D" w:rsidRPr="00B437CD">
        <w:rPr>
          <w:i/>
          <w:snapToGrid w:val="0"/>
          <w:szCs w:val="28"/>
        </w:rPr>
        <w:t>Abuse of process</w:t>
      </w:r>
    </w:p>
    <w:p w:rsidR="0044753D" w:rsidRPr="00B437CD" w:rsidRDefault="0044753D" w:rsidP="0025736D">
      <w:pPr>
        <w:tabs>
          <w:tab w:val="clear" w:pos="4320"/>
          <w:tab w:val="clear" w:pos="9072"/>
        </w:tabs>
        <w:spacing w:line="360" w:lineRule="auto"/>
        <w:jc w:val="both"/>
        <w:rPr>
          <w:snapToGrid w:val="0"/>
          <w:szCs w:val="28"/>
        </w:rPr>
      </w:pPr>
    </w:p>
    <w:p w:rsidR="0044753D" w:rsidRPr="00B437CD" w:rsidRDefault="0044753D" w:rsidP="0025736D">
      <w:pPr>
        <w:pStyle w:val="ListParagraph"/>
        <w:numPr>
          <w:ilvl w:val="0"/>
          <w:numId w:val="7"/>
        </w:numPr>
        <w:tabs>
          <w:tab w:val="clear" w:pos="4320"/>
          <w:tab w:val="clear" w:pos="9072"/>
        </w:tabs>
        <w:spacing w:line="360" w:lineRule="auto"/>
        <w:ind w:left="0" w:firstLine="0"/>
        <w:jc w:val="both"/>
        <w:rPr>
          <w:snapToGrid w:val="0"/>
          <w:szCs w:val="28"/>
        </w:rPr>
      </w:pPr>
      <w:r w:rsidRPr="00B437CD">
        <w:rPr>
          <w:snapToGrid w:val="0"/>
          <w:szCs w:val="28"/>
        </w:rPr>
        <w:t>The application to strike out arose from the judgment</w:t>
      </w:r>
      <w:r w:rsidRPr="00B437CD">
        <w:rPr>
          <w:rStyle w:val="FootnoteReference"/>
          <w:snapToGrid w:val="0"/>
          <w:szCs w:val="28"/>
        </w:rPr>
        <w:footnoteReference w:id="1"/>
      </w:r>
      <w:r w:rsidRPr="00B437CD">
        <w:rPr>
          <w:snapToGrid w:val="0"/>
          <w:szCs w:val="28"/>
        </w:rPr>
        <w:t xml:space="preserve"> (“</w:t>
      </w:r>
      <w:r w:rsidRPr="00B437CD">
        <w:rPr>
          <w:b/>
          <w:snapToGrid w:val="0"/>
          <w:szCs w:val="28"/>
        </w:rPr>
        <w:t>Judgment</w:t>
      </w:r>
      <w:r w:rsidRPr="00A5287A">
        <w:rPr>
          <w:snapToGrid w:val="0"/>
          <w:szCs w:val="28"/>
        </w:rPr>
        <w:t>”</w:t>
      </w:r>
      <w:r w:rsidRPr="00B437CD">
        <w:rPr>
          <w:snapToGrid w:val="0"/>
          <w:szCs w:val="28"/>
        </w:rPr>
        <w:t xml:space="preserve">) that this court handed down on 5 May 2021 in the related </w:t>
      </w:r>
      <w:r w:rsidRPr="00B437CD">
        <w:rPr>
          <w:snapToGrid w:val="0"/>
          <w:szCs w:val="28"/>
        </w:rPr>
        <w:lastRenderedPageBreak/>
        <w:t xml:space="preserve">employees’ compensation claim involving identical parties, DCEC </w:t>
      </w:r>
      <w:r w:rsidR="00B437CD">
        <w:rPr>
          <w:snapToGrid w:val="0"/>
          <w:szCs w:val="28"/>
        </w:rPr>
        <w:t> </w:t>
      </w:r>
      <w:r w:rsidRPr="00B437CD">
        <w:rPr>
          <w:snapToGrid w:val="0"/>
          <w:szCs w:val="28"/>
        </w:rPr>
        <w:t>1069/2017 (“</w:t>
      </w:r>
      <w:r w:rsidRPr="00B437CD">
        <w:rPr>
          <w:b/>
          <w:snapToGrid w:val="0"/>
          <w:szCs w:val="28"/>
        </w:rPr>
        <w:t>EC Action</w:t>
      </w:r>
      <w:r w:rsidRPr="00B437CD">
        <w:rPr>
          <w:snapToGrid w:val="0"/>
          <w:szCs w:val="28"/>
        </w:rPr>
        <w:t>”).</w:t>
      </w:r>
    </w:p>
    <w:p w:rsidR="0044753D" w:rsidRPr="00B437CD" w:rsidRDefault="0044753D" w:rsidP="005E1E6A">
      <w:pPr>
        <w:tabs>
          <w:tab w:val="clear" w:pos="4320"/>
          <w:tab w:val="clear" w:pos="9072"/>
        </w:tabs>
        <w:spacing w:line="360" w:lineRule="auto"/>
        <w:jc w:val="both"/>
        <w:rPr>
          <w:snapToGrid w:val="0"/>
          <w:szCs w:val="28"/>
        </w:rPr>
      </w:pPr>
    </w:p>
    <w:p w:rsidR="0044753D" w:rsidRPr="00B437CD" w:rsidRDefault="0044753D" w:rsidP="005E1E6A">
      <w:pPr>
        <w:pStyle w:val="ListParagraph"/>
        <w:numPr>
          <w:ilvl w:val="0"/>
          <w:numId w:val="7"/>
        </w:numPr>
        <w:tabs>
          <w:tab w:val="clear" w:pos="4320"/>
          <w:tab w:val="clear" w:pos="9072"/>
        </w:tabs>
        <w:spacing w:line="360" w:lineRule="auto"/>
        <w:ind w:left="0" w:firstLine="0"/>
        <w:jc w:val="both"/>
        <w:rPr>
          <w:snapToGrid w:val="0"/>
          <w:szCs w:val="28"/>
        </w:rPr>
      </w:pPr>
      <w:r w:rsidRPr="00B437CD">
        <w:rPr>
          <w:snapToGrid w:val="0"/>
          <w:szCs w:val="28"/>
        </w:rPr>
        <w:t xml:space="preserve">In the Judgment, I found (at §52) that the </w:t>
      </w:r>
      <w:r w:rsidR="00CF4486">
        <w:rPr>
          <w:snapToGrid w:val="0"/>
          <w:szCs w:val="28"/>
        </w:rPr>
        <w:t>a</w:t>
      </w:r>
      <w:r w:rsidRPr="00B437CD">
        <w:rPr>
          <w:snapToGrid w:val="0"/>
          <w:szCs w:val="28"/>
        </w:rPr>
        <w:t xml:space="preserve">pplicant met an accident at work when he fell from an office swivel chair on which he was sitting, and suffered personal injuries. </w:t>
      </w:r>
      <w:r w:rsidR="00CF4486">
        <w:rPr>
          <w:snapToGrid w:val="0"/>
          <w:szCs w:val="28"/>
        </w:rPr>
        <w:t xml:space="preserve"> </w:t>
      </w:r>
      <w:r w:rsidRPr="00B437CD">
        <w:rPr>
          <w:snapToGrid w:val="0"/>
          <w:szCs w:val="28"/>
        </w:rPr>
        <w:t xml:space="preserve">I determined that the carpet upon which the chair was placed was in good condition and the chair had no malfunction. </w:t>
      </w:r>
      <w:r w:rsidR="00CF4486">
        <w:rPr>
          <w:snapToGrid w:val="0"/>
          <w:szCs w:val="28"/>
        </w:rPr>
        <w:t xml:space="preserve"> </w:t>
      </w:r>
      <w:r w:rsidRPr="00B437CD">
        <w:rPr>
          <w:snapToGrid w:val="0"/>
          <w:szCs w:val="28"/>
        </w:rPr>
        <w:t xml:space="preserve">Hence, I concluded that the </w:t>
      </w:r>
      <w:r w:rsidR="007E094F">
        <w:rPr>
          <w:snapToGrid w:val="0"/>
          <w:szCs w:val="28"/>
        </w:rPr>
        <w:t>D</w:t>
      </w:r>
      <w:r w:rsidR="00BA7DE5" w:rsidRPr="00B437CD">
        <w:rPr>
          <w:snapToGrid w:val="0"/>
          <w:szCs w:val="28"/>
        </w:rPr>
        <w:t>efendant</w:t>
      </w:r>
      <w:r w:rsidRPr="00B437CD">
        <w:rPr>
          <w:snapToGrid w:val="0"/>
          <w:szCs w:val="28"/>
        </w:rPr>
        <w:t xml:space="preserve"> had unlikely contributed to or caused the accident, but found that the accident had likely been caused by the </w:t>
      </w:r>
      <w:r w:rsidR="003C549C">
        <w:rPr>
          <w:snapToGrid w:val="0"/>
          <w:szCs w:val="28"/>
        </w:rPr>
        <w:t>Plaintiff</w:t>
      </w:r>
      <w:r w:rsidRPr="00B437CD">
        <w:rPr>
          <w:snapToGrid w:val="0"/>
          <w:szCs w:val="28"/>
        </w:rPr>
        <w:t>’s own carelessness</w:t>
      </w:r>
      <w:r w:rsidRPr="00B437CD">
        <w:rPr>
          <w:rStyle w:val="FootnoteReference"/>
          <w:snapToGrid w:val="0"/>
          <w:szCs w:val="28"/>
        </w:rPr>
        <w:footnoteReference w:id="2"/>
      </w:r>
      <w:r w:rsidR="00D40B7A">
        <w:rPr>
          <w:snapToGrid w:val="0"/>
          <w:szCs w:val="28"/>
        </w:rPr>
        <w:t>.</w:t>
      </w:r>
    </w:p>
    <w:p w:rsidR="0044753D" w:rsidRPr="00B437CD" w:rsidRDefault="0044753D" w:rsidP="005E1E6A">
      <w:pPr>
        <w:tabs>
          <w:tab w:val="clear" w:pos="4320"/>
          <w:tab w:val="clear" w:pos="9072"/>
        </w:tabs>
        <w:spacing w:line="360" w:lineRule="auto"/>
        <w:jc w:val="both"/>
        <w:rPr>
          <w:snapToGrid w:val="0"/>
          <w:szCs w:val="28"/>
        </w:rPr>
      </w:pPr>
    </w:p>
    <w:p w:rsidR="0044753D" w:rsidRPr="00B437CD" w:rsidRDefault="0044753D" w:rsidP="005E1E6A">
      <w:pPr>
        <w:pStyle w:val="ListParagraph"/>
        <w:numPr>
          <w:ilvl w:val="0"/>
          <w:numId w:val="7"/>
        </w:numPr>
        <w:tabs>
          <w:tab w:val="clear" w:pos="4320"/>
          <w:tab w:val="clear" w:pos="9072"/>
        </w:tabs>
        <w:spacing w:line="360" w:lineRule="auto"/>
        <w:ind w:left="0" w:firstLine="0"/>
        <w:jc w:val="both"/>
        <w:rPr>
          <w:snapToGrid w:val="0"/>
          <w:szCs w:val="28"/>
        </w:rPr>
      </w:pPr>
      <w:r w:rsidRPr="00B437CD">
        <w:rPr>
          <w:snapToGrid w:val="0"/>
          <w:szCs w:val="28"/>
        </w:rPr>
        <w:t xml:space="preserve">In this personal injuries action, the cause of action was, in the main, negligence. </w:t>
      </w:r>
      <w:r w:rsidR="00CF4486">
        <w:rPr>
          <w:snapToGrid w:val="0"/>
          <w:szCs w:val="28"/>
        </w:rPr>
        <w:t xml:space="preserve"> </w:t>
      </w:r>
      <w:r w:rsidRPr="00B437CD">
        <w:rPr>
          <w:snapToGrid w:val="0"/>
          <w:szCs w:val="28"/>
        </w:rPr>
        <w:t xml:space="preserve">The </w:t>
      </w:r>
      <w:r w:rsidR="003C549C">
        <w:rPr>
          <w:snapToGrid w:val="0"/>
          <w:szCs w:val="28"/>
        </w:rPr>
        <w:t>Plaintiff</w:t>
      </w:r>
      <w:r w:rsidRPr="00B437CD">
        <w:rPr>
          <w:snapToGrid w:val="0"/>
          <w:szCs w:val="28"/>
        </w:rPr>
        <w:t>’s pleaded case, according to the Statement of Claim, was based on his allegations that the floor mat was not in good repair, and that the chair was not in good working condition.</w:t>
      </w:r>
    </w:p>
    <w:p w:rsidR="0044753D" w:rsidRPr="00B437CD" w:rsidRDefault="0044753D" w:rsidP="005E1E6A">
      <w:pPr>
        <w:tabs>
          <w:tab w:val="clear" w:pos="4320"/>
          <w:tab w:val="clear" w:pos="9072"/>
        </w:tabs>
        <w:spacing w:line="360" w:lineRule="auto"/>
        <w:jc w:val="both"/>
        <w:rPr>
          <w:snapToGrid w:val="0"/>
          <w:szCs w:val="28"/>
        </w:rPr>
      </w:pPr>
    </w:p>
    <w:p w:rsidR="0044753D" w:rsidRPr="00B437CD" w:rsidRDefault="0044753D" w:rsidP="005E1E6A">
      <w:pPr>
        <w:pStyle w:val="ListParagraph"/>
        <w:numPr>
          <w:ilvl w:val="0"/>
          <w:numId w:val="7"/>
        </w:numPr>
        <w:tabs>
          <w:tab w:val="clear" w:pos="4320"/>
          <w:tab w:val="clear" w:pos="9072"/>
        </w:tabs>
        <w:spacing w:line="360" w:lineRule="auto"/>
        <w:ind w:left="0" w:firstLine="0"/>
        <w:jc w:val="both"/>
        <w:rPr>
          <w:snapToGrid w:val="0"/>
          <w:szCs w:val="28"/>
        </w:rPr>
      </w:pPr>
      <w:r w:rsidRPr="00B437CD">
        <w:rPr>
          <w:snapToGrid w:val="0"/>
          <w:szCs w:val="28"/>
        </w:rPr>
        <w:t xml:space="preserve">Since the parties in this action and the EC </w:t>
      </w:r>
      <w:r w:rsidR="00825F85">
        <w:rPr>
          <w:snapToGrid w:val="0"/>
          <w:szCs w:val="28"/>
        </w:rPr>
        <w:t>A</w:t>
      </w:r>
      <w:r w:rsidRPr="00B437CD">
        <w:rPr>
          <w:snapToGrid w:val="0"/>
          <w:szCs w:val="28"/>
        </w:rPr>
        <w:t xml:space="preserve">ction were identical, Mr Cheng submitted that the doctrine of issue estoppel should apply. </w:t>
      </w:r>
      <w:r w:rsidR="00CF4486">
        <w:rPr>
          <w:snapToGrid w:val="0"/>
          <w:szCs w:val="28"/>
        </w:rPr>
        <w:t xml:space="preserve"> </w:t>
      </w:r>
      <w:r w:rsidRPr="00B437CD">
        <w:rPr>
          <w:snapToGrid w:val="0"/>
          <w:szCs w:val="28"/>
        </w:rPr>
        <w:t xml:space="preserve">As the issue of negligence relied on in this action had already been resolved by the Judgment, the </w:t>
      </w:r>
      <w:r w:rsidR="003C549C">
        <w:rPr>
          <w:snapToGrid w:val="0"/>
          <w:szCs w:val="28"/>
        </w:rPr>
        <w:t>Plaintiff</w:t>
      </w:r>
      <w:r w:rsidRPr="00B437CD">
        <w:rPr>
          <w:snapToGrid w:val="0"/>
          <w:szCs w:val="28"/>
        </w:rPr>
        <w:t xml:space="preserve"> would be estopped from re-litigating the same issue by way of the trial of this action: see </w:t>
      </w:r>
      <w:r w:rsidRPr="005E1E6A">
        <w:rPr>
          <w:i/>
          <w:snapToGrid w:val="0"/>
          <w:szCs w:val="28"/>
        </w:rPr>
        <w:t>Wong</w:t>
      </w:r>
      <w:r w:rsidR="00825F85">
        <w:rPr>
          <w:i/>
          <w:snapToGrid w:val="0"/>
          <w:szCs w:val="28"/>
        </w:rPr>
        <w:t xml:space="preserve"> Wa</w:t>
      </w:r>
      <w:r w:rsidRPr="00B437CD">
        <w:rPr>
          <w:i/>
          <w:snapToGrid w:val="0"/>
          <w:szCs w:val="28"/>
        </w:rPr>
        <w:t>ng Sum v Lee Kam Engineering Co (a firm)</w:t>
      </w:r>
      <w:r w:rsidR="00825F85">
        <w:rPr>
          <w:i/>
          <w:snapToGrid w:val="0"/>
          <w:szCs w:val="28"/>
        </w:rPr>
        <w:t xml:space="preserve"> &amp; Anor</w:t>
      </w:r>
      <w:r w:rsidRPr="00B437CD">
        <w:rPr>
          <w:snapToGrid w:val="0"/>
          <w:szCs w:val="28"/>
        </w:rPr>
        <w:t xml:space="preserve"> [1996] 3 HKC 627.</w:t>
      </w:r>
    </w:p>
    <w:p w:rsidR="0044753D" w:rsidRPr="00B437CD" w:rsidRDefault="0044753D" w:rsidP="005E1E6A">
      <w:pPr>
        <w:tabs>
          <w:tab w:val="clear" w:pos="4320"/>
          <w:tab w:val="clear" w:pos="9072"/>
        </w:tabs>
        <w:spacing w:line="360" w:lineRule="auto"/>
        <w:jc w:val="both"/>
        <w:rPr>
          <w:snapToGrid w:val="0"/>
          <w:szCs w:val="28"/>
        </w:rPr>
      </w:pPr>
    </w:p>
    <w:p w:rsidR="0044753D" w:rsidRPr="00825F85" w:rsidRDefault="0044753D" w:rsidP="005E1E6A">
      <w:pPr>
        <w:pStyle w:val="ListParagraph"/>
        <w:numPr>
          <w:ilvl w:val="0"/>
          <w:numId w:val="7"/>
        </w:numPr>
        <w:tabs>
          <w:tab w:val="clear" w:pos="4320"/>
          <w:tab w:val="clear" w:pos="9072"/>
        </w:tabs>
        <w:spacing w:line="360" w:lineRule="auto"/>
        <w:ind w:left="0" w:firstLine="0"/>
        <w:jc w:val="both"/>
        <w:rPr>
          <w:snapToGrid w:val="0"/>
          <w:szCs w:val="28"/>
        </w:rPr>
      </w:pPr>
      <w:r w:rsidRPr="00B437CD">
        <w:rPr>
          <w:snapToGrid w:val="0"/>
          <w:szCs w:val="28"/>
        </w:rPr>
        <w:t xml:space="preserve">By the court’s finding in the Judgment that the </w:t>
      </w:r>
      <w:r w:rsidR="007E094F">
        <w:rPr>
          <w:snapToGrid w:val="0"/>
          <w:szCs w:val="28"/>
        </w:rPr>
        <w:t>D</w:t>
      </w:r>
      <w:r w:rsidR="00BA7DE5" w:rsidRPr="00B437CD">
        <w:rPr>
          <w:snapToGrid w:val="0"/>
          <w:szCs w:val="28"/>
        </w:rPr>
        <w:t>efendant</w:t>
      </w:r>
      <w:r w:rsidRPr="00B437CD">
        <w:rPr>
          <w:snapToGrid w:val="0"/>
          <w:szCs w:val="28"/>
        </w:rPr>
        <w:t xml:space="preserve"> was not negligent, it would, Mr Cheng submitted, rule out any prospect of a finding of negligence in this action.  The </w:t>
      </w:r>
      <w:r w:rsidR="003C549C">
        <w:rPr>
          <w:snapToGrid w:val="0"/>
          <w:szCs w:val="28"/>
        </w:rPr>
        <w:t>Plaintiff</w:t>
      </w:r>
      <w:r w:rsidRPr="00B437CD">
        <w:rPr>
          <w:snapToGrid w:val="0"/>
          <w:szCs w:val="28"/>
        </w:rPr>
        <w:t xml:space="preserve">’s claim </w:t>
      </w:r>
      <w:r w:rsidR="00D40B7A">
        <w:rPr>
          <w:snapToGrid w:val="0"/>
          <w:szCs w:val="28"/>
        </w:rPr>
        <w:t>is therefore doomed to fail.</w:t>
      </w:r>
    </w:p>
    <w:p w:rsidR="0044753D" w:rsidRPr="00B437CD" w:rsidRDefault="0044753D" w:rsidP="00E009A6">
      <w:pPr>
        <w:pStyle w:val="ListParagraph"/>
        <w:keepNext/>
        <w:keepLines/>
        <w:widowControl w:val="0"/>
        <w:tabs>
          <w:tab w:val="clear" w:pos="4320"/>
          <w:tab w:val="clear" w:pos="9072"/>
          <w:tab w:val="left" w:pos="720"/>
        </w:tabs>
        <w:spacing w:line="360" w:lineRule="auto"/>
        <w:ind w:left="0"/>
        <w:jc w:val="both"/>
        <w:rPr>
          <w:i/>
          <w:snapToGrid w:val="0"/>
          <w:szCs w:val="28"/>
        </w:rPr>
      </w:pPr>
      <w:r w:rsidRPr="00B437CD">
        <w:rPr>
          <w:i/>
          <w:snapToGrid w:val="0"/>
          <w:szCs w:val="28"/>
        </w:rPr>
        <w:lastRenderedPageBreak/>
        <w:t>B.2</w:t>
      </w:r>
      <w:r w:rsidR="00E009A6">
        <w:rPr>
          <w:i/>
          <w:snapToGrid w:val="0"/>
          <w:szCs w:val="28"/>
        </w:rPr>
        <w:tab/>
      </w:r>
      <w:r w:rsidRPr="00B437CD">
        <w:rPr>
          <w:i/>
          <w:snapToGrid w:val="0"/>
          <w:szCs w:val="28"/>
        </w:rPr>
        <w:t>No consent was obtained from the Official Receiver</w:t>
      </w:r>
    </w:p>
    <w:p w:rsidR="0044753D" w:rsidRPr="00B437CD" w:rsidRDefault="0044753D" w:rsidP="005E1E6A">
      <w:pPr>
        <w:keepNext/>
        <w:keepLines/>
        <w:widowControl w:val="0"/>
        <w:tabs>
          <w:tab w:val="clear" w:pos="4320"/>
          <w:tab w:val="clear" w:pos="9072"/>
        </w:tabs>
        <w:spacing w:line="360" w:lineRule="auto"/>
        <w:jc w:val="both"/>
        <w:rPr>
          <w:snapToGrid w:val="0"/>
          <w:szCs w:val="28"/>
        </w:rPr>
      </w:pPr>
    </w:p>
    <w:p w:rsidR="0044753D" w:rsidRPr="00B437CD" w:rsidRDefault="0044753D" w:rsidP="005E1E6A">
      <w:pPr>
        <w:pStyle w:val="ListParagraph"/>
        <w:keepNext/>
        <w:keepLines/>
        <w:widowControl w:val="0"/>
        <w:numPr>
          <w:ilvl w:val="0"/>
          <w:numId w:val="7"/>
        </w:numPr>
        <w:tabs>
          <w:tab w:val="clear" w:pos="4320"/>
          <w:tab w:val="clear" w:pos="9072"/>
        </w:tabs>
        <w:spacing w:line="360" w:lineRule="auto"/>
        <w:ind w:left="0" w:firstLine="0"/>
        <w:jc w:val="both"/>
        <w:rPr>
          <w:snapToGrid w:val="0"/>
          <w:szCs w:val="28"/>
        </w:rPr>
      </w:pPr>
      <w:r w:rsidRPr="00B437CD">
        <w:rPr>
          <w:snapToGrid w:val="0"/>
          <w:szCs w:val="28"/>
        </w:rPr>
        <w:t xml:space="preserve">After the trial of the EC Action was concluded, the </w:t>
      </w:r>
      <w:r w:rsidR="007E094F">
        <w:rPr>
          <w:snapToGrid w:val="0"/>
          <w:szCs w:val="28"/>
        </w:rPr>
        <w:t>D</w:t>
      </w:r>
      <w:r w:rsidR="00BA7DE5" w:rsidRPr="00B437CD">
        <w:rPr>
          <w:snapToGrid w:val="0"/>
          <w:szCs w:val="28"/>
        </w:rPr>
        <w:t>efendant</w:t>
      </w:r>
      <w:r w:rsidRPr="00B437CD">
        <w:rPr>
          <w:snapToGrid w:val="0"/>
          <w:szCs w:val="28"/>
        </w:rPr>
        <w:t xml:space="preserve"> conducted a bankruptcy search, and discovered that the </w:t>
      </w:r>
      <w:r w:rsidR="003C549C">
        <w:rPr>
          <w:snapToGrid w:val="0"/>
          <w:szCs w:val="28"/>
        </w:rPr>
        <w:t>Plaintiff</w:t>
      </w:r>
      <w:r w:rsidR="00825F85">
        <w:rPr>
          <w:snapToGrid w:val="0"/>
          <w:szCs w:val="28"/>
        </w:rPr>
        <w:t xml:space="preserve"> was adjudged bankrupt on 19</w:t>
      </w:r>
      <w:r w:rsidRPr="00B437CD">
        <w:rPr>
          <w:snapToGrid w:val="0"/>
          <w:szCs w:val="28"/>
        </w:rPr>
        <w:t xml:space="preserve"> September 2018.  The writ of this action was issued in the High Court on 31 October 2018 after the </w:t>
      </w:r>
      <w:r w:rsidR="003C549C">
        <w:rPr>
          <w:snapToGrid w:val="0"/>
          <w:szCs w:val="28"/>
        </w:rPr>
        <w:t>Plaintiff</w:t>
      </w:r>
      <w:r w:rsidRPr="00B437CD">
        <w:rPr>
          <w:snapToGrid w:val="0"/>
          <w:szCs w:val="28"/>
        </w:rPr>
        <w:t xml:space="preserve"> was adjudged bankrupt.  The </w:t>
      </w:r>
      <w:r w:rsidR="003C549C">
        <w:rPr>
          <w:snapToGrid w:val="0"/>
          <w:szCs w:val="28"/>
        </w:rPr>
        <w:t>Plaintiff</w:t>
      </w:r>
      <w:r w:rsidRPr="00B437CD">
        <w:rPr>
          <w:snapToGrid w:val="0"/>
          <w:szCs w:val="28"/>
        </w:rPr>
        <w:t xml:space="preserve">’s former solicitors informed the </w:t>
      </w:r>
      <w:r w:rsidR="007E094F">
        <w:rPr>
          <w:snapToGrid w:val="0"/>
          <w:szCs w:val="28"/>
        </w:rPr>
        <w:t>D</w:t>
      </w:r>
      <w:r w:rsidR="00BA7DE5" w:rsidRPr="00B437CD">
        <w:rPr>
          <w:snapToGrid w:val="0"/>
          <w:szCs w:val="28"/>
        </w:rPr>
        <w:t>efendant</w:t>
      </w:r>
      <w:r w:rsidRPr="00B437CD">
        <w:rPr>
          <w:snapToGrid w:val="0"/>
          <w:szCs w:val="28"/>
        </w:rPr>
        <w:t xml:space="preserve">’s solicitors that they had no knowledge that the </w:t>
      </w:r>
      <w:r w:rsidR="003C549C">
        <w:rPr>
          <w:snapToGrid w:val="0"/>
          <w:szCs w:val="28"/>
        </w:rPr>
        <w:t>Plaintiff</w:t>
      </w:r>
      <w:r w:rsidRPr="00B437CD">
        <w:rPr>
          <w:snapToGrid w:val="0"/>
          <w:szCs w:val="28"/>
        </w:rPr>
        <w:t xml:space="preserve"> was an undischarged bankrupt when they instituted this claim, and they further confirmed that this action was issued without the prior consent of the Official Receiver.</w:t>
      </w:r>
    </w:p>
    <w:p w:rsidR="0044753D" w:rsidRPr="00B437CD" w:rsidRDefault="0044753D" w:rsidP="005E1E6A">
      <w:pPr>
        <w:tabs>
          <w:tab w:val="clear" w:pos="4320"/>
          <w:tab w:val="clear" w:pos="9072"/>
        </w:tabs>
        <w:spacing w:line="360" w:lineRule="auto"/>
        <w:jc w:val="both"/>
        <w:rPr>
          <w:snapToGrid w:val="0"/>
          <w:szCs w:val="28"/>
        </w:rPr>
      </w:pPr>
    </w:p>
    <w:p w:rsidR="0044753D" w:rsidRPr="00B437CD" w:rsidRDefault="0044753D" w:rsidP="005E1E6A">
      <w:pPr>
        <w:pStyle w:val="ListParagraph"/>
        <w:numPr>
          <w:ilvl w:val="0"/>
          <w:numId w:val="7"/>
        </w:numPr>
        <w:tabs>
          <w:tab w:val="clear" w:pos="4320"/>
          <w:tab w:val="clear" w:pos="9072"/>
        </w:tabs>
        <w:spacing w:line="360" w:lineRule="auto"/>
        <w:ind w:left="0" w:firstLine="0"/>
        <w:jc w:val="both"/>
        <w:rPr>
          <w:snapToGrid w:val="0"/>
          <w:szCs w:val="28"/>
        </w:rPr>
      </w:pPr>
      <w:r w:rsidRPr="00B437CD">
        <w:rPr>
          <w:snapToGrid w:val="0"/>
          <w:szCs w:val="28"/>
        </w:rPr>
        <w:t xml:space="preserve">After the Official Receiver was informed by the </w:t>
      </w:r>
      <w:r w:rsidR="007E094F">
        <w:rPr>
          <w:snapToGrid w:val="0"/>
          <w:szCs w:val="28"/>
        </w:rPr>
        <w:t>D</w:t>
      </w:r>
      <w:r w:rsidR="00BA7DE5" w:rsidRPr="00B437CD">
        <w:rPr>
          <w:snapToGrid w:val="0"/>
          <w:szCs w:val="28"/>
        </w:rPr>
        <w:t>efendant</w:t>
      </w:r>
      <w:r w:rsidRPr="00B437CD">
        <w:rPr>
          <w:snapToGrid w:val="0"/>
          <w:szCs w:val="28"/>
        </w:rPr>
        <w:t>’s solicitors of this action as well as the Judgment, the Official Receiver wrote to this court on 31 May 2021, confirming that the Official Rec</w:t>
      </w:r>
      <w:r w:rsidR="00825F85">
        <w:rPr>
          <w:snapToGrid w:val="0"/>
          <w:szCs w:val="28"/>
        </w:rPr>
        <w:t>eiver was still the trustee-in-</w:t>
      </w:r>
      <w:r w:rsidRPr="00B437CD">
        <w:rPr>
          <w:snapToGrid w:val="0"/>
          <w:szCs w:val="28"/>
        </w:rPr>
        <w:t xml:space="preserve">bankruptcy of the </w:t>
      </w:r>
      <w:r w:rsidR="003C549C">
        <w:rPr>
          <w:snapToGrid w:val="0"/>
          <w:szCs w:val="28"/>
        </w:rPr>
        <w:t>Plaintiff</w:t>
      </w:r>
      <w:r w:rsidRPr="00B437CD">
        <w:rPr>
          <w:snapToGrid w:val="0"/>
          <w:szCs w:val="28"/>
        </w:rPr>
        <w:t xml:space="preserve">’s estate.  As the </w:t>
      </w:r>
      <w:r w:rsidR="003C549C">
        <w:rPr>
          <w:snapToGrid w:val="0"/>
          <w:szCs w:val="28"/>
        </w:rPr>
        <w:t>Plaintiff</w:t>
      </w:r>
      <w:r w:rsidR="00CA2A0E">
        <w:rPr>
          <w:snapToGrid w:val="0"/>
          <w:szCs w:val="28"/>
        </w:rPr>
        <w:t xml:space="preserve">’s </w:t>
      </w:r>
      <w:r w:rsidRPr="00B437CD">
        <w:rPr>
          <w:snapToGrid w:val="0"/>
          <w:szCs w:val="28"/>
        </w:rPr>
        <w:t xml:space="preserve">claim includes a property claim for loss of earnings, and not just a personal claim for general damages for pain, suffering and loss of amenities, it constitutes a hybrid claim rendering the whole cause of action of this action </w:t>
      </w:r>
      <w:r w:rsidR="00825F85">
        <w:rPr>
          <w:snapToGrid w:val="0"/>
          <w:szCs w:val="28"/>
        </w:rPr>
        <w:t>having</w:t>
      </w:r>
      <w:r w:rsidRPr="00B437CD">
        <w:rPr>
          <w:snapToGrid w:val="0"/>
          <w:szCs w:val="28"/>
        </w:rPr>
        <w:t xml:space="preserve"> been vested in the Official Receiver as trustee-in-bankruptcy: </w:t>
      </w:r>
      <w:r w:rsidRPr="00B437CD">
        <w:rPr>
          <w:i/>
          <w:snapToGrid w:val="0"/>
          <w:szCs w:val="28"/>
        </w:rPr>
        <w:t>Ord v Upton</w:t>
      </w:r>
      <w:r w:rsidRPr="00B437CD">
        <w:rPr>
          <w:snapToGrid w:val="0"/>
          <w:szCs w:val="28"/>
        </w:rPr>
        <w:t xml:space="preserve"> [2000] Ch 352.  That being the case, it is trite that the </w:t>
      </w:r>
      <w:r w:rsidR="003C549C">
        <w:rPr>
          <w:snapToGrid w:val="0"/>
          <w:szCs w:val="28"/>
        </w:rPr>
        <w:t>Plaintiff</w:t>
      </w:r>
      <w:r w:rsidRPr="00B437CD">
        <w:rPr>
          <w:snapToGrid w:val="0"/>
          <w:szCs w:val="28"/>
        </w:rPr>
        <w:t xml:space="preserve"> had no locus to proceed with this action unless the Official Receiver’s consent or her agreement to assign the right of action to the </w:t>
      </w:r>
      <w:r w:rsidR="003C549C">
        <w:rPr>
          <w:snapToGrid w:val="0"/>
          <w:szCs w:val="28"/>
        </w:rPr>
        <w:t>Plaintiff</w:t>
      </w:r>
      <w:r w:rsidRPr="00B437CD">
        <w:rPr>
          <w:snapToGrid w:val="0"/>
          <w:szCs w:val="28"/>
        </w:rPr>
        <w:t xml:space="preserve"> had been obtained.</w:t>
      </w:r>
    </w:p>
    <w:p w:rsidR="0044753D" w:rsidRPr="00B437CD" w:rsidRDefault="0044753D" w:rsidP="005E1E6A">
      <w:pPr>
        <w:tabs>
          <w:tab w:val="clear" w:pos="4320"/>
          <w:tab w:val="clear" w:pos="9072"/>
        </w:tabs>
        <w:spacing w:line="360" w:lineRule="auto"/>
        <w:jc w:val="both"/>
        <w:rPr>
          <w:snapToGrid w:val="0"/>
          <w:szCs w:val="28"/>
        </w:rPr>
      </w:pPr>
    </w:p>
    <w:p w:rsidR="0044753D" w:rsidRPr="00B437CD" w:rsidRDefault="0044753D" w:rsidP="0025736D">
      <w:pPr>
        <w:pStyle w:val="ListParagraph"/>
        <w:keepNext/>
        <w:keepLines/>
        <w:widowControl w:val="0"/>
        <w:numPr>
          <w:ilvl w:val="0"/>
          <w:numId w:val="7"/>
        </w:numPr>
        <w:tabs>
          <w:tab w:val="clear" w:pos="4320"/>
          <w:tab w:val="clear" w:pos="9072"/>
        </w:tabs>
        <w:spacing w:line="360" w:lineRule="auto"/>
        <w:ind w:left="0" w:firstLine="0"/>
        <w:jc w:val="both"/>
        <w:rPr>
          <w:snapToGrid w:val="0"/>
          <w:szCs w:val="28"/>
        </w:rPr>
      </w:pPr>
      <w:r w:rsidRPr="00B437CD">
        <w:rPr>
          <w:snapToGrid w:val="0"/>
          <w:szCs w:val="28"/>
        </w:rPr>
        <w:lastRenderedPageBreak/>
        <w:t xml:space="preserve">It was the Official Receiver’s stance that this claim had no merits. </w:t>
      </w:r>
      <w:r w:rsidR="00CF4486">
        <w:rPr>
          <w:snapToGrid w:val="0"/>
          <w:szCs w:val="28"/>
        </w:rPr>
        <w:t xml:space="preserve"> </w:t>
      </w:r>
      <w:r w:rsidRPr="00B437CD">
        <w:rPr>
          <w:snapToGrid w:val="0"/>
          <w:szCs w:val="28"/>
        </w:rPr>
        <w:t xml:space="preserve">Owing to the lack of funds in the </w:t>
      </w:r>
      <w:r w:rsidR="003C549C">
        <w:rPr>
          <w:snapToGrid w:val="0"/>
          <w:szCs w:val="28"/>
        </w:rPr>
        <w:t>Plaintiff</w:t>
      </w:r>
      <w:r w:rsidRPr="00B437CD">
        <w:rPr>
          <w:snapToGrid w:val="0"/>
          <w:szCs w:val="28"/>
        </w:rPr>
        <w:t xml:space="preserve">’s bankruptcy estate to cover costs in the event that this action failed, the Official Receiver informed this court that she had decided not to adopt this action or give her consent or assign the right of action in this action to the </w:t>
      </w:r>
      <w:r w:rsidR="003C549C">
        <w:rPr>
          <w:snapToGrid w:val="0"/>
          <w:szCs w:val="28"/>
        </w:rPr>
        <w:t>Plaintiff</w:t>
      </w:r>
      <w:r w:rsidRPr="00B437CD">
        <w:rPr>
          <w:snapToGrid w:val="0"/>
          <w:szCs w:val="28"/>
        </w:rPr>
        <w:t>.</w:t>
      </w:r>
    </w:p>
    <w:p w:rsidR="0044753D" w:rsidRPr="00B437CD" w:rsidRDefault="0044753D" w:rsidP="005E1E6A">
      <w:pPr>
        <w:tabs>
          <w:tab w:val="clear" w:pos="4320"/>
          <w:tab w:val="clear" w:pos="9072"/>
        </w:tabs>
        <w:spacing w:line="360" w:lineRule="auto"/>
        <w:jc w:val="both"/>
        <w:rPr>
          <w:snapToGrid w:val="0"/>
          <w:szCs w:val="28"/>
        </w:rPr>
      </w:pPr>
    </w:p>
    <w:p w:rsidR="0044753D" w:rsidRPr="00B437CD" w:rsidRDefault="0044753D" w:rsidP="005E1E6A">
      <w:pPr>
        <w:pStyle w:val="ListParagraph"/>
        <w:numPr>
          <w:ilvl w:val="0"/>
          <w:numId w:val="7"/>
        </w:numPr>
        <w:tabs>
          <w:tab w:val="clear" w:pos="4320"/>
          <w:tab w:val="clear" w:pos="9072"/>
        </w:tabs>
        <w:spacing w:line="360" w:lineRule="auto"/>
        <w:ind w:left="0" w:firstLine="0"/>
        <w:jc w:val="both"/>
        <w:rPr>
          <w:snapToGrid w:val="0"/>
          <w:szCs w:val="28"/>
        </w:rPr>
      </w:pPr>
      <w:r w:rsidRPr="00B437CD">
        <w:rPr>
          <w:snapToGrid w:val="0"/>
          <w:szCs w:val="28"/>
        </w:rPr>
        <w:t xml:space="preserve">At the hearing, Ms Yuen reiterated the Official Receiver’s above position, and supported the </w:t>
      </w:r>
      <w:r w:rsidR="007E094F">
        <w:rPr>
          <w:snapToGrid w:val="0"/>
          <w:szCs w:val="28"/>
        </w:rPr>
        <w:t>D</w:t>
      </w:r>
      <w:r w:rsidR="00BA7DE5" w:rsidRPr="00B437CD">
        <w:rPr>
          <w:snapToGrid w:val="0"/>
          <w:szCs w:val="28"/>
        </w:rPr>
        <w:t>efendant</w:t>
      </w:r>
      <w:r w:rsidRPr="00B437CD">
        <w:rPr>
          <w:snapToGrid w:val="0"/>
          <w:szCs w:val="28"/>
        </w:rPr>
        <w:t>’s summons to strike out.</w:t>
      </w:r>
    </w:p>
    <w:p w:rsidR="0044753D" w:rsidRPr="00B437CD" w:rsidRDefault="0044753D" w:rsidP="005E1E6A">
      <w:pPr>
        <w:tabs>
          <w:tab w:val="clear" w:pos="4320"/>
          <w:tab w:val="clear" w:pos="9072"/>
        </w:tabs>
        <w:spacing w:line="360" w:lineRule="auto"/>
        <w:jc w:val="both"/>
        <w:rPr>
          <w:snapToGrid w:val="0"/>
          <w:szCs w:val="28"/>
        </w:rPr>
      </w:pPr>
    </w:p>
    <w:p w:rsidR="0044753D" w:rsidRDefault="00CF4486" w:rsidP="00E009A6">
      <w:pPr>
        <w:pStyle w:val="ListParagraph"/>
        <w:tabs>
          <w:tab w:val="clear" w:pos="4320"/>
          <w:tab w:val="clear" w:pos="9072"/>
          <w:tab w:val="left" w:pos="720"/>
        </w:tabs>
        <w:spacing w:line="360" w:lineRule="auto"/>
        <w:ind w:left="0"/>
        <w:jc w:val="both"/>
        <w:rPr>
          <w:i/>
          <w:snapToGrid w:val="0"/>
          <w:szCs w:val="28"/>
        </w:rPr>
      </w:pPr>
      <w:r>
        <w:rPr>
          <w:i/>
          <w:snapToGrid w:val="0"/>
          <w:szCs w:val="28"/>
        </w:rPr>
        <w:t>C.</w:t>
      </w:r>
      <w:r w:rsidR="00E009A6">
        <w:rPr>
          <w:i/>
          <w:snapToGrid w:val="0"/>
          <w:szCs w:val="28"/>
        </w:rPr>
        <w:tab/>
      </w:r>
      <w:r>
        <w:rPr>
          <w:i/>
          <w:snapToGrid w:val="0"/>
          <w:szCs w:val="28"/>
        </w:rPr>
        <w:t>DISCUSSION</w:t>
      </w:r>
    </w:p>
    <w:p w:rsidR="00CF4486" w:rsidRPr="00B437CD" w:rsidRDefault="00CF4486" w:rsidP="00E009A6">
      <w:pPr>
        <w:pStyle w:val="ListParagraph"/>
        <w:tabs>
          <w:tab w:val="clear" w:pos="4320"/>
          <w:tab w:val="clear" w:pos="9072"/>
          <w:tab w:val="left" w:pos="720"/>
        </w:tabs>
        <w:spacing w:line="360" w:lineRule="auto"/>
        <w:ind w:left="0"/>
        <w:jc w:val="both"/>
        <w:rPr>
          <w:snapToGrid w:val="0"/>
          <w:szCs w:val="28"/>
        </w:rPr>
      </w:pPr>
    </w:p>
    <w:p w:rsidR="0044753D" w:rsidRPr="00B437CD" w:rsidRDefault="00E009A6" w:rsidP="00E009A6">
      <w:pPr>
        <w:pStyle w:val="ListParagraph"/>
        <w:tabs>
          <w:tab w:val="clear" w:pos="4320"/>
          <w:tab w:val="clear" w:pos="9072"/>
          <w:tab w:val="left" w:pos="720"/>
        </w:tabs>
        <w:spacing w:line="360" w:lineRule="auto"/>
        <w:ind w:left="0"/>
        <w:jc w:val="both"/>
        <w:rPr>
          <w:i/>
          <w:snapToGrid w:val="0"/>
          <w:szCs w:val="28"/>
        </w:rPr>
      </w:pPr>
      <w:r>
        <w:rPr>
          <w:i/>
          <w:snapToGrid w:val="0"/>
          <w:szCs w:val="28"/>
        </w:rPr>
        <w:t>C.1</w:t>
      </w:r>
      <w:r>
        <w:rPr>
          <w:i/>
          <w:snapToGrid w:val="0"/>
          <w:szCs w:val="28"/>
        </w:rPr>
        <w:tab/>
      </w:r>
      <w:r w:rsidR="0044753D" w:rsidRPr="00B437CD">
        <w:rPr>
          <w:i/>
          <w:snapToGrid w:val="0"/>
          <w:szCs w:val="28"/>
        </w:rPr>
        <w:t>The Official Receiver’s stance</w:t>
      </w:r>
    </w:p>
    <w:p w:rsidR="0044753D" w:rsidRPr="00B437CD" w:rsidRDefault="0044753D" w:rsidP="005E1E6A">
      <w:pPr>
        <w:tabs>
          <w:tab w:val="clear" w:pos="4320"/>
          <w:tab w:val="clear" w:pos="9072"/>
        </w:tabs>
        <w:spacing w:line="360" w:lineRule="auto"/>
        <w:jc w:val="both"/>
        <w:rPr>
          <w:i/>
          <w:snapToGrid w:val="0"/>
          <w:szCs w:val="28"/>
        </w:rPr>
      </w:pPr>
    </w:p>
    <w:p w:rsidR="0044753D" w:rsidRPr="00B437CD" w:rsidRDefault="0044753D" w:rsidP="005E1E6A">
      <w:pPr>
        <w:pStyle w:val="ListParagraph"/>
        <w:numPr>
          <w:ilvl w:val="0"/>
          <w:numId w:val="7"/>
        </w:numPr>
        <w:tabs>
          <w:tab w:val="clear" w:pos="4320"/>
          <w:tab w:val="clear" w:pos="9072"/>
        </w:tabs>
        <w:spacing w:line="360" w:lineRule="auto"/>
        <w:ind w:left="0" w:firstLine="0"/>
        <w:jc w:val="both"/>
        <w:rPr>
          <w:snapToGrid w:val="0"/>
          <w:szCs w:val="28"/>
        </w:rPr>
      </w:pPr>
      <w:r w:rsidRPr="00B437CD">
        <w:rPr>
          <w:snapToGrid w:val="0"/>
          <w:szCs w:val="28"/>
        </w:rPr>
        <w:t xml:space="preserve">In view of the unequivocal stance of the Official Receiver stated above, I did not think that this action could be maintained: see the Court of Appeal decision in </w:t>
      </w:r>
      <w:r w:rsidRPr="00B437CD">
        <w:rPr>
          <w:i/>
          <w:snapToGrid w:val="0"/>
          <w:szCs w:val="28"/>
        </w:rPr>
        <w:t>陳鈺麟</w:t>
      </w:r>
      <w:r w:rsidR="003221E3">
        <w:rPr>
          <w:rFonts w:hint="eastAsia"/>
          <w:i/>
          <w:snapToGrid w:val="0"/>
          <w:szCs w:val="28"/>
        </w:rPr>
        <w:t xml:space="preserve"> </w:t>
      </w:r>
      <w:r w:rsidRPr="00B437CD">
        <w:rPr>
          <w:i/>
          <w:snapToGrid w:val="0"/>
          <w:szCs w:val="28"/>
        </w:rPr>
        <w:t>v</w:t>
      </w:r>
      <w:r w:rsidR="003221E3">
        <w:rPr>
          <w:i/>
          <w:snapToGrid w:val="0"/>
          <w:szCs w:val="28"/>
        </w:rPr>
        <w:t xml:space="preserve"> </w:t>
      </w:r>
      <w:r w:rsidRPr="00B437CD">
        <w:rPr>
          <w:i/>
          <w:snapToGrid w:val="0"/>
          <w:szCs w:val="28"/>
        </w:rPr>
        <w:t>謝婉明</w:t>
      </w:r>
      <w:r w:rsidRPr="00B437CD">
        <w:rPr>
          <w:rStyle w:val="FootnoteReference"/>
          <w:i/>
          <w:snapToGrid w:val="0"/>
          <w:szCs w:val="28"/>
        </w:rPr>
        <w:footnoteReference w:id="3"/>
      </w:r>
      <w:r w:rsidRPr="00B437CD">
        <w:rPr>
          <w:snapToGrid w:val="0"/>
          <w:szCs w:val="28"/>
        </w:rPr>
        <w:t>.</w:t>
      </w:r>
      <w:r w:rsidR="00CF4486">
        <w:rPr>
          <w:snapToGrid w:val="0"/>
          <w:szCs w:val="28"/>
        </w:rPr>
        <w:t xml:space="preserve"> </w:t>
      </w:r>
      <w:r w:rsidRPr="00B437CD">
        <w:rPr>
          <w:snapToGrid w:val="0"/>
          <w:szCs w:val="28"/>
        </w:rPr>
        <w:t xml:space="preserve"> In his written submissions, the </w:t>
      </w:r>
      <w:r w:rsidR="003C549C">
        <w:rPr>
          <w:snapToGrid w:val="0"/>
          <w:szCs w:val="28"/>
        </w:rPr>
        <w:t>Plaintiff</w:t>
      </w:r>
      <w:r w:rsidRPr="00B437CD">
        <w:rPr>
          <w:snapToGrid w:val="0"/>
          <w:szCs w:val="28"/>
        </w:rPr>
        <w:t xml:space="preserve"> seemed to be totally oblivious to the Official Receiver’s stance, and made no submissions in relation to the unfavourable stance the Officer Receiver had taken.  In the circumstances, without the consent of or the adoption of the action by the Official Receiver, this action would have to be dismissed.</w:t>
      </w:r>
    </w:p>
    <w:p w:rsidR="0044753D" w:rsidRPr="00B437CD" w:rsidRDefault="0044753D" w:rsidP="005E1E6A">
      <w:pPr>
        <w:tabs>
          <w:tab w:val="clear" w:pos="4320"/>
          <w:tab w:val="clear" w:pos="9072"/>
        </w:tabs>
        <w:spacing w:line="360" w:lineRule="auto"/>
        <w:jc w:val="both"/>
        <w:rPr>
          <w:i/>
          <w:snapToGrid w:val="0"/>
          <w:szCs w:val="28"/>
        </w:rPr>
      </w:pPr>
    </w:p>
    <w:p w:rsidR="0044753D" w:rsidRPr="00B437CD" w:rsidRDefault="0044753D" w:rsidP="00E009A6">
      <w:pPr>
        <w:pStyle w:val="ListParagraph"/>
        <w:keepNext/>
        <w:keepLines/>
        <w:widowControl w:val="0"/>
        <w:tabs>
          <w:tab w:val="clear" w:pos="4320"/>
          <w:tab w:val="clear" w:pos="9072"/>
          <w:tab w:val="left" w:pos="720"/>
        </w:tabs>
        <w:spacing w:line="360" w:lineRule="auto"/>
        <w:ind w:left="0"/>
        <w:jc w:val="both"/>
        <w:rPr>
          <w:i/>
          <w:snapToGrid w:val="0"/>
          <w:szCs w:val="28"/>
        </w:rPr>
      </w:pPr>
      <w:r w:rsidRPr="00B437CD">
        <w:rPr>
          <w:i/>
          <w:snapToGrid w:val="0"/>
          <w:szCs w:val="28"/>
        </w:rPr>
        <w:lastRenderedPageBreak/>
        <w:t>C.2</w:t>
      </w:r>
      <w:r w:rsidR="00E009A6">
        <w:rPr>
          <w:i/>
          <w:snapToGrid w:val="0"/>
          <w:szCs w:val="28"/>
        </w:rPr>
        <w:tab/>
      </w:r>
      <w:r w:rsidRPr="00B437CD">
        <w:rPr>
          <w:i/>
          <w:snapToGrid w:val="0"/>
          <w:szCs w:val="28"/>
        </w:rPr>
        <w:t>Issue Estoppel</w:t>
      </w:r>
    </w:p>
    <w:p w:rsidR="0044753D" w:rsidRPr="00B437CD" w:rsidRDefault="0044753D" w:rsidP="008A7BDD">
      <w:pPr>
        <w:keepNext/>
        <w:keepLines/>
        <w:widowControl w:val="0"/>
        <w:tabs>
          <w:tab w:val="clear" w:pos="4320"/>
          <w:tab w:val="clear" w:pos="9072"/>
        </w:tabs>
        <w:spacing w:line="360" w:lineRule="auto"/>
        <w:jc w:val="both"/>
        <w:rPr>
          <w:snapToGrid w:val="0"/>
          <w:szCs w:val="28"/>
        </w:rPr>
      </w:pPr>
    </w:p>
    <w:p w:rsidR="0044753D" w:rsidRPr="00B437CD" w:rsidRDefault="0044753D" w:rsidP="008A7BDD">
      <w:pPr>
        <w:pStyle w:val="ListParagraph"/>
        <w:keepNext/>
        <w:keepLines/>
        <w:widowControl w:val="0"/>
        <w:numPr>
          <w:ilvl w:val="0"/>
          <w:numId w:val="7"/>
        </w:numPr>
        <w:tabs>
          <w:tab w:val="clear" w:pos="4320"/>
          <w:tab w:val="clear" w:pos="9072"/>
        </w:tabs>
        <w:spacing w:line="360" w:lineRule="auto"/>
        <w:ind w:left="0" w:firstLine="0"/>
        <w:jc w:val="both"/>
        <w:rPr>
          <w:bCs/>
          <w:snapToGrid w:val="0"/>
          <w:szCs w:val="28"/>
        </w:rPr>
      </w:pPr>
      <w:r w:rsidRPr="00B437CD">
        <w:rPr>
          <w:snapToGrid w:val="0"/>
          <w:szCs w:val="28"/>
        </w:rPr>
        <w:t xml:space="preserve">Issue estoppel “may arise where a particular issue forming a necessary ingredient in a cause of action has been litigated and decided and in subsequent proceedings between the same parties involving a different cause of action to which the same issue is relevant, one of the parties seeks to reopen that issue”: see </w:t>
      </w:r>
      <w:r w:rsidRPr="00B437CD">
        <w:rPr>
          <w:i/>
          <w:snapToGrid w:val="0"/>
          <w:szCs w:val="28"/>
        </w:rPr>
        <w:t>Wong Wang Sum v Lee Kam Engineering Co (a firm) &amp; Anor</w:t>
      </w:r>
      <w:r w:rsidRPr="00B437CD">
        <w:rPr>
          <w:snapToGrid w:val="0"/>
          <w:szCs w:val="28"/>
        </w:rPr>
        <w:t xml:space="preserve"> </w:t>
      </w:r>
      <w:r w:rsidRPr="00B437CD">
        <w:rPr>
          <w:bCs/>
          <w:snapToGrid w:val="0"/>
          <w:szCs w:val="28"/>
        </w:rPr>
        <w:t>[1996] 3 HKC 627 at 631 quoting the speech of Lord Keith of Kinkel</w:t>
      </w:r>
      <w:r w:rsidRPr="00B437CD">
        <w:rPr>
          <w:snapToGrid w:val="0"/>
          <w:szCs w:val="28"/>
        </w:rPr>
        <w:t xml:space="preserve"> in </w:t>
      </w:r>
      <w:r w:rsidRPr="00B437CD">
        <w:rPr>
          <w:bCs/>
          <w:i/>
          <w:iCs/>
          <w:snapToGrid w:val="0"/>
          <w:szCs w:val="28"/>
        </w:rPr>
        <w:t xml:space="preserve">Arnold v Nat West Bank plc </w:t>
      </w:r>
      <w:r w:rsidR="00D40B7A">
        <w:rPr>
          <w:bCs/>
          <w:snapToGrid w:val="0"/>
          <w:szCs w:val="28"/>
        </w:rPr>
        <w:t>[1991] 2 AC 93 at 104.</w:t>
      </w:r>
    </w:p>
    <w:p w:rsidR="0044753D" w:rsidRPr="00B437CD" w:rsidRDefault="0044753D" w:rsidP="005E1E6A">
      <w:pPr>
        <w:tabs>
          <w:tab w:val="clear" w:pos="4320"/>
          <w:tab w:val="clear" w:pos="9072"/>
        </w:tabs>
        <w:spacing w:line="360" w:lineRule="auto"/>
        <w:jc w:val="both"/>
        <w:rPr>
          <w:bCs/>
          <w:snapToGrid w:val="0"/>
          <w:szCs w:val="28"/>
        </w:rPr>
      </w:pPr>
    </w:p>
    <w:p w:rsidR="0044753D" w:rsidRPr="00B437CD" w:rsidRDefault="0044753D" w:rsidP="005E1E6A">
      <w:pPr>
        <w:pStyle w:val="ListParagraph"/>
        <w:numPr>
          <w:ilvl w:val="0"/>
          <w:numId w:val="7"/>
        </w:numPr>
        <w:tabs>
          <w:tab w:val="clear" w:pos="4320"/>
          <w:tab w:val="clear" w:pos="9072"/>
        </w:tabs>
        <w:spacing w:line="360" w:lineRule="auto"/>
        <w:ind w:left="0" w:firstLine="0"/>
        <w:jc w:val="both"/>
        <w:rPr>
          <w:snapToGrid w:val="0"/>
          <w:szCs w:val="28"/>
        </w:rPr>
      </w:pPr>
      <w:r w:rsidRPr="00B437CD">
        <w:rPr>
          <w:snapToGrid w:val="0"/>
          <w:szCs w:val="28"/>
        </w:rPr>
        <w:t xml:space="preserve">In the Judgment, I have already determined the issues of causation, some of which are identical to the issues pleaded by the </w:t>
      </w:r>
      <w:r w:rsidR="003C549C">
        <w:rPr>
          <w:snapToGrid w:val="0"/>
          <w:szCs w:val="28"/>
        </w:rPr>
        <w:t>Plaintiff</w:t>
      </w:r>
      <w:r w:rsidRPr="00B437CD">
        <w:rPr>
          <w:snapToGrid w:val="0"/>
          <w:szCs w:val="28"/>
        </w:rPr>
        <w:t xml:space="preserve"> in this action: the issues of whether the </w:t>
      </w:r>
      <w:r w:rsidR="007E094F">
        <w:rPr>
          <w:snapToGrid w:val="0"/>
          <w:szCs w:val="28"/>
        </w:rPr>
        <w:t>D</w:t>
      </w:r>
      <w:r w:rsidR="00BA7DE5" w:rsidRPr="00B437CD">
        <w:rPr>
          <w:snapToGrid w:val="0"/>
          <w:szCs w:val="28"/>
        </w:rPr>
        <w:t>efendant</w:t>
      </w:r>
      <w:r w:rsidRPr="00B437CD">
        <w:rPr>
          <w:snapToGrid w:val="0"/>
          <w:szCs w:val="28"/>
        </w:rPr>
        <w:t xml:space="preserve"> was negligent, and whether the condition of the floor mat and the chair </w:t>
      </w:r>
      <w:r w:rsidR="00825F85">
        <w:rPr>
          <w:snapToGrid w:val="0"/>
          <w:szCs w:val="28"/>
        </w:rPr>
        <w:t>was</w:t>
      </w:r>
      <w:r w:rsidRPr="00B437CD">
        <w:rPr>
          <w:snapToGrid w:val="0"/>
          <w:szCs w:val="28"/>
        </w:rPr>
        <w:t xml:space="preserve"> defective and in need of repair. </w:t>
      </w:r>
      <w:r w:rsidR="005E1E6A">
        <w:rPr>
          <w:snapToGrid w:val="0"/>
          <w:szCs w:val="28"/>
        </w:rPr>
        <w:t xml:space="preserve"> </w:t>
      </w:r>
      <w:r w:rsidRPr="00B437CD">
        <w:rPr>
          <w:snapToGrid w:val="0"/>
          <w:szCs w:val="28"/>
        </w:rPr>
        <w:t xml:space="preserve">By the operation of the doctrine of issue estoppel, the </w:t>
      </w:r>
      <w:r w:rsidR="003C549C">
        <w:rPr>
          <w:snapToGrid w:val="0"/>
          <w:szCs w:val="28"/>
        </w:rPr>
        <w:t>Plaintiff</w:t>
      </w:r>
      <w:r w:rsidRPr="00B437CD">
        <w:rPr>
          <w:snapToGrid w:val="0"/>
          <w:szCs w:val="28"/>
        </w:rPr>
        <w:t xml:space="preserve"> in this action is therefore estopped from reopening the same decided issues again.  The </w:t>
      </w:r>
      <w:r w:rsidR="003C549C">
        <w:rPr>
          <w:snapToGrid w:val="0"/>
          <w:szCs w:val="28"/>
        </w:rPr>
        <w:t>Plaintiff</w:t>
      </w:r>
      <w:r w:rsidRPr="00B437CD">
        <w:rPr>
          <w:snapToGrid w:val="0"/>
          <w:szCs w:val="28"/>
        </w:rPr>
        <w:t>’s contention that it would be unfair to dismiss the action based on the Judgment without a full trial clearly do</w:t>
      </w:r>
      <w:r w:rsidR="00825F85">
        <w:rPr>
          <w:snapToGrid w:val="0"/>
          <w:szCs w:val="28"/>
        </w:rPr>
        <w:t>es</w:t>
      </w:r>
      <w:r w:rsidRPr="00B437CD">
        <w:rPr>
          <w:snapToGrid w:val="0"/>
          <w:szCs w:val="28"/>
        </w:rPr>
        <w:t xml:space="preserve"> not constitute special circumstances precluding the operation of this estoppel doctrine.</w:t>
      </w:r>
    </w:p>
    <w:p w:rsidR="0044753D" w:rsidRPr="00B437CD" w:rsidRDefault="0044753D" w:rsidP="005E1E6A">
      <w:pPr>
        <w:tabs>
          <w:tab w:val="clear" w:pos="4320"/>
          <w:tab w:val="clear" w:pos="9072"/>
        </w:tabs>
        <w:spacing w:line="360" w:lineRule="auto"/>
        <w:jc w:val="both"/>
        <w:rPr>
          <w:snapToGrid w:val="0"/>
          <w:szCs w:val="28"/>
        </w:rPr>
      </w:pPr>
    </w:p>
    <w:p w:rsidR="0044753D" w:rsidRPr="00B437CD" w:rsidRDefault="0044753D" w:rsidP="005E1E6A">
      <w:pPr>
        <w:pStyle w:val="ListParagraph"/>
        <w:numPr>
          <w:ilvl w:val="0"/>
          <w:numId w:val="7"/>
        </w:numPr>
        <w:tabs>
          <w:tab w:val="clear" w:pos="4320"/>
          <w:tab w:val="clear" w:pos="9072"/>
        </w:tabs>
        <w:spacing w:line="360" w:lineRule="auto"/>
        <w:ind w:left="0" w:firstLine="0"/>
        <w:jc w:val="both"/>
        <w:rPr>
          <w:snapToGrid w:val="0"/>
          <w:szCs w:val="28"/>
        </w:rPr>
      </w:pPr>
      <w:r w:rsidRPr="00B437CD">
        <w:rPr>
          <w:snapToGrid w:val="0"/>
          <w:szCs w:val="28"/>
        </w:rPr>
        <w:t>I therefore conclude</w:t>
      </w:r>
      <w:r w:rsidR="00825F85">
        <w:rPr>
          <w:snapToGrid w:val="0"/>
          <w:szCs w:val="28"/>
        </w:rPr>
        <w:t>d</w:t>
      </w:r>
      <w:r w:rsidRPr="00B437CD">
        <w:rPr>
          <w:snapToGrid w:val="0"/>
          <w:szCs w:val="28"/>
        </w:rPr>
        <w:t xml:space="preserve"> that it would constitute an abuse of process if this action were allowed to proceed to a trial</w:t>
      </w:r>
      <w:r w:rsidR="00D40B7A">
        <w:rPr>
          <w:snapToGrid w:val="0"/>
          <w:szCs w:val="28"/>
        </w:rPr>
        <w:t xml:space="preserve"> of the already decided issues.</w:t>
      </w:r>
    </w:p>
    <w:p w:rsidR="0044753D" w:rsidRPr="00B437CD" w:rsidRDefault="0044753D" w:rsidP="005E1E6A">
      <w:pPr>
        <w:tabs>
          <w:tab w:val="clear" w:pos="4320"/>
          <w:tab w:val="clear" w:pos="9072"/>
        </w:tabs>
        <w:spacing w:line="360" w:lineRule="auto"/>
        <w:jc w:val="both"/>
        <w:rPr>
          <w:snapToGrid w:val="0"/>
          <w:szCs w:val="28"/>
        </w:rPr>
      </w:pPr>
    </w:p>
    <w:p w:rsidR="0044753D" w:rsidRPr="00B437CD" w:rsidRDefault="0044753D" w:rsidP="00E009A6">
      <w:pPr>
        <w:pStyle w:val="ListParagraph"/>
        <w:keepNext/>
        <w:keepLines/>
        <w:widowControl w:val="0"/>
        <w:tabs>
          <w:tab w:val="clear" w:pos="4320"/>
          <w:tab w:val="clear" w:pos="9072"/>
          <w:tab w:val="left" w:pos="720"/>
        </w:tabs>
        <w:spacing w:line="360" w:lineRule="auto"/>
        <w:ind w:left="0"/>
        <w:jc w:val="both"/>
        <w:rPr>
          <w:snapToGrid w:val="0"/>
          <w:szCs w:val="28"/>
        </w:rPr>
      </w:pPr>
      <w:r w:rsidRPr="00B437CD">
        <w:rPr>
          <w:i/>
          <w:snapToGrid w:val="0"/>
          <w:szCs w:val="28"/>
        </w:rPr>
        <w:lastRenderedPageBreak/>
        <w:t>C.3</w:t>
      </w:r>
      <w:r w:rsidR="00E009A6">
        <w:rPr>
          <w:i/>
          <w:snapToGrid w:val="0"/>
          <w:szCs w:val="28"/>
        </w:rPr>
        <w:tab/>
      </w:r>
      <w:r w:rsidRPr="00B437CD">
        <w:rPr>
          <w:i/>
          <w:snapToGrid w:val="0"/>
          <w:szCs w:val="28"/>
        </w:rPr>
        <w:t>Costs</w:t>
      </w:r>
    </w:p>
    <w:p w:rsidR="0044753D" w:rsidRPr="00B437CD" w:rsidRDefault="0044753D" w:rsidP="008A7BDD">
      <w:pPr>
        <w:keepNext/>
        <w:keepLines/>
        <w:widowControl w:val="0"/>
        <w:tabs>
          <w:tab w:val="clear" w:pos="4320"/>
          <w:tab w:val="clear" w:pos="9072"/>
        </w:tabs>
        <w:spacing w:line="360" w:lineRule="auto"/>
        <w:jc w:val="both"/>
        <w:rPr>
          <w:snapToGrid w:val="0"/>
          <w:szCs w:val="28"/>
        </w:rPr>
      </w:pPr>
    </w:p>
    <w:p w:rsidR="009E03A0" w:rsidRDefault="0044753D" w:rsidP="008A7BDD">
      <w:pPr>
        <w:pStyle w:val="ListParagraph"/>
        <w:keepNext/>
        <w:keepLines/>
        <w:widowControl w:val="0"/>
        <w:numPr>
          <w:ilvl w:val="0"/>
          <w:numId w:val="7"/>
        </w:numPr>
        <w:tabs>
          <w:tab w:val="clear" w:pos="4320"/>
          <w:tab w:val="clear" w:pos="9072"/>
        </w:tabs>
        <w:spacing w:line="360" w:lineRule="auto"/>
        <w:ind w:left="0" w:firstLine="0"/>
        <w:jc w:val="both"/>
        <w:rPr>
          <w:snapToGrid w:val="0"/>
          <w:szCs w:val="28"/>
        </w:rPr>
      </w:pPr>
      <w:r w:rsidRPr="00B437CD">
        <w:rPr>
          <w:snapToGrid w:val="0"/>
          <w:szCs w:val="28"/>
        </w:rPr>
        <w:t>In his submission</w:t>
      </w:r>
      <w:r w:rsidR="00825F85">
        <w:rPr>
          <w:snapToGrid w:val="0"/>
          <w:szCs w:val="28"/>
        </w:rPr>
        <w:t>s</w:t>
      </w:r>
      <w:r w:rsidRPr="00B437CD">
        <w:rPr>
          <w:snapToGrid w:val="0"/>
          <w:szCs w:val="28"/>
        </w:rPr>
        <w:t xml:space="preserve">, the </w:t>
      </w:r>
      <w:r w:rsidR="003C549C">
        <w:rPr>
          <w:snapToGrid w:val="0"/>
          <w:szCs w:val="28"/>
        </w:rPr>
        <w:t>Plaintiff</w:t>
      </w:r>
      <w:r w:rsidRPr="00B437CD">
        <w:rPr>
          <w:snapToGrid w:val="0"/>
          <w:szCs w:val="28"/>
        </w:rPr>
        <w:t xml:space="preserve"> asked this court to penalize the </w:t>
      </w:r>
      <w:r w:rsidR="007E094F">
        <w:rPr>
          <w:snapToGrid w:val="0"/>
          <w:szCs w:val="28"/>
        </w:rPr>
        <w:t>D</w:t>
      </w:r>
      <w:r w:rsidR="00BA7DE5" w:rsidRPr="00B437CD">
        <w:rPr>
          <w:snapToGrid w:val="0"/>
          <w:szCs w:val="28"/>
        </w:rPr>
        <w:t>efendant</w:t>
      </w:r>
      <w:r w:rsidRPr="00B437CD">
        <w:rPr>
          <w:snapToGrid w:val="0"/>
          <w:szCs w:val="28"/>
        </w:rPr>
        <w:t xml:space="preserve"> for the delay it had allegedly caused in this case by ordering it to pay his costs upon dismissal of this action.</w:t>
      </w:r>
      <w:r w:rsidR="009E03A0">
        <w:rPr>
          <w:snapToGrid w:val="0"/>
          <w:szCs w:val="28"/>
        </w:rPr>
        <w:t xml:space="preserve"> </w:t>
      </w:r>
      <w:r w:rsidRPr="00B437CD">
        <w:rPr>
          <w:snapToGrid w:val="0"/>
          <w:szCs w:val="28"/>
        </w:rPr>
        <w:t xml:space="preserve"> In his supplemental submission</w:t>
      </w:r>
      <w:r w:rsidR="00825F85">
        <w:rPr>
          <w:snapToGrid w:val="0"/>
          <w:szCs w:val="28"/>
        </w:rPr>
        <w:t>s</w:t>
      </w:r>
      <w:r w:rsidRPr="00B437CD">
        <w:rPr>
          <w:snapToGrid w:val="0"/>
          <w:szCs w:val="28"/>
        </w:rPr>
        <w:t xml:space="preserve">, the </w:t>
      </w:r>
      <w:r w:rsidR="003C549C">
        <w:rPr>
          <w:snapToGrid w:val="0"/>
          <w:szCs w:val="28"/>
        </w:rPr>
        <w:t>Plaintiff</w:t>
      </w:r>
      <w:r w:rsidRPr="00B437CD">
        <w:rPr>
          <w:snapToGrid w:val="0"/>
          <w:szCs w:val="28"/>
        </w:rPr>
        <w:t xml:space="preserve"> s</w:t>
      </w:r>
      <w:r w:rsidR="00825F85">
        <w:rPr>
          <w:snapToGrid w:val="0"/>
          <w:szCs w:val="28"/>
        </w:rPr>
        <w:t xml:space="preserve">eemed to </w:t>
      </w:r>
      <w:r w:rsidR="001660C8">
        <w:rPr>
          <w:snapToGrid w:val="0"/>
          <w:szCs w:val="28"/>
        </w:rPr>
        <w:t xml:space="preserve">have </w:t>
      </w:r>
      <w:r w:rsidR="00825F85">
        <w:rPr>
          <w:snapToGrid w:val="0"/>
          <w:szCs w:val="28"/>
        </w:rPr>
        <w:t>alternatively suggest</w:t>
      </w:r>
      <w:r w:rsidR="001660C8">
        <w:rPr>
          <w:snapToGrid w:val="0"/>
          <w:szCs w:val="28"/>
        </w:rPr>
        <w:t>ed</w:t>
      </w:r>
      <w:bookmarkStart w:id="0" w:name="_GoBack"/>
      <w:bookmarkEnd w:id="0"/>
      <w:r w:rsidRPr="00B437CD">
        <w:rPr>
          <w:snapToGrid w:val="0"/>
          <w:szCs w:val="28"/>
        </w:rPr>
        <w:t xml:space="preserve"> that there be no order as to costs.</w:t>
      </w:r>
    </w:p>
    <w:p w:rsidR="009E03A0" w:rsidRDefault="009E03A0" w:rsidP="005E1E6A">
      <w:pPr>
        <w:pStyle w:val="ListParagraph"/>
        <w:tabs>
          <w:tab w:val="clear" w:pos="4320"/>
          <w:tab w:val="clear" w:pos="9072"/>
        </w:tabs>
        <w:spacing w:line="360" w:lineRule="auto"/>
        <w:ind w:left="0"/>
        <w:jc w:val="both"/>
        <w:rPr>
          <w:snapToGrid w:val="0"/>
          <w:szCs w:val="28"/>
        </w:rPr>
      </w:pPr>
    </w:p>
    <w:p w:rsidR="0044753D" w:rsidRPr="009E03A0" w:rsidRDefault="0044753D" w:rsidP="005E1E6A">
      <w:pPr>
        <w:pStyle w:val="ListParagraph"/>
        <w:numPr>
          <w:ilvl w:val="0"/>
          <w:numId w:val="7"/>
        </w:numPr>
        <w:tabs>
          <w:tab w:val="clear" w:pos="4320"/>
          <w:tab w:val="clear" w:pos="9072"/>
        </w:tabs>
        <w:spacing w:line="360" w:lineRule="auto"/>
        <w:ind w:left="0" w:firstLine="0"/>
        <w:jc w:val="both"/>
        <w:rPr>
          <w:snapToGrid w:val="0"/>
          <w:szCs w:val="28"/>
        </w:rPr>
      </w:pPr>
      <w:r w:rsidRPr="009E03A0">
        <w:rPr>
          <w:snapToGrid w:val="0"/>
          <w:szCs w:val="28"/>
        </w:rPr>
        <w:t xml:space="preserve">When a court strikes out an action, a </w:t>
      </w:r>
      <w:r w:rsidR="00825F85">
        <w:rPr>
          <w:snapToGrid w:val="0"/>
          <w:szCs w:val="28"/>
        </w:rPr>
        <w:t>d</w:t>
      </w:r>
      <w:r w:rsidR="00BA7DE5" w:rsidRPr="009E03A0">
        <w:rPr>
          <w:snapToGrid w:val="0"/>
          <w:szCs w:val="28"/>
        </w:rPr>
        <w:t>efendant</w:t>
      </w:r>
      <w:r w:rsidRPr="009E03A0">
        <w:rPr>
          <w:snapToGrid w:val="0"/>
          <w:szCs w:val="28"/>
        </w:rPr>
        <w:t xml:space="preserve"> should normally have </w:t>
      </w:r>
      <w:r w:rsidR="00825F85">
        <w:rPr>
          <w:snapToGrid w:val="0"/>
          <w:szCs w:val="28"/>
        </w:rPr>
        <w:t>the</w:t>
      </w:r>
      <w:r w:rsidRPr="009E03A0">
        <w:rPr>
          <w:snapToGrid w:val="0"/>
          <w:szCs w:val="28"/>
        </w:rPr>
        <w:t xml:space="preserve"> costs of the action and the application. </w:t>
      </w:r>
      <w:r w:rsidR="009E03A0">
        <w:rPr>
          <w:snapToGrid w:val="0"/>
          <w:szCs w:val="28"/>
        </w:rPr>
        <w:t xml:space="preserve"> </w:t>
      </w:r>
      <w:r w:rsidRPr="009E03A0">
        <w:rPr>
          <w:snapToGrid w:val="0"/>
          <w:szCs w:val="28"/>
        </w:rPr>
        <w:t>I see no reason for this court to depa</w:t>
      </w:r>
      <w:r w:rsidR="00D40B7A">
        <w:rPr>
          <w:snapToGrid w:val="0"/>
          <w:szCs w:val="28"/>
        </w:rPr>
        <w:t>rt from this usual costs order.</w:t>
      </w:r>
    </w:p>
    <w:p w:rsidR="0044753D" w:rsidRPr="00B437CD" w:rsidRDefault="0044753D" w:rsidP="005E1E6A">
      <w:pPr>
        <w:tabs>
          <w:tab w:val="clear" w:pos="4320"/>
          <w:tab w:val="clear" w:pos="9072"/>
        </w:tabs>
        <w:spacing w:line="360" w:lineRule="auto"/>
        <w:jc w:val="both"/>
        <w:rPr>
          <w:snapToGrid w:val="0"/>
          <w:szCs w:val="28"/>
        </w:rPr>
      </w:pPr>
    </w:p>
    <w:p w:rsidR="0044753D" w:rsidRPr="00B437CD" w:rsidRDefault="0044753D" w:rsidP="005E1E6A">
      <w:pPr>
        <w:pStyle w:val="ListParagraph"/>
        <w:numPr>
          <w:ilvl w:val="0"/>
          <w:numId w:val="7"/>
        </w:numPr>
        <w:tabs>
          <w:tab w:val="clear" w:pos="4320"/>
          <w:tab w:val="clear" w:pos="9072"/>
        </w:tabs>
        <w:spacing w:line="360" w:lineRule="auto"/>
        <w:ind w:left="0" w:firstLine="0"/>
        <w:jc w:val="both"/>
        <w:rPr>
          <w:snapToGrid w:val="0"/>
          <w:szCs w:val="28"/>
        </w:rPr>
      </w:pPr>
      <w:r w:rsidRPr="00B437CD">
        <w:rPr>
          <w:snapToGrid w:val="0"/>
          <w:szCs w:val="28"/>
        </w:rPr>
        <w:t xml:space="preserve">I reject the </w:t>
      </w:r>
      <w:r w:rsidR="003C549C">
        <w:rPr>
          <w:snapToGrid w:val="0"/>
          <w:szCs w:val="28"/>
        </w:rPr>
        <w:t>Plaintiff</w:t>
      </w:r>
      <w:r w:rsidRPr="00B437CD">
        <w:rPr>
          <w:snapToGrid w:val="0"/>
          <w:szCs w:val="28"/>
        </w:rPr>
        <w:t xml:space="preserve">’s submissions, and do not accept that the </w:t>
      </w:r>
      <w:r w:rsidR="007E094F">
        <w:rPr>
          <w:snapToGrid w:val="0"/>
          <w:szCs w:val="28"/>
        </w:rPr>
        <w:t>D</w:t>
      </w:r>
      <w:r w:rsidR="00BA7DE5" w:rsidRPr="00B437CD">
        <w:rPr>
          <w:snapToGrid w:val="0"/>
          <w:szCs w:val="28"/>
        </w:rPr>
        <w:t>efendant</w:t>
      </w:r>
      <w:r w:rsidRPr="00B437CD">
        <w:rPr>
          <w:snapToGrid w:val="0"/>
          <w:szCs w:val="28"/>
        </w:rPr>
        <w:t xml:space="preserve"> had caused delay.</w:t>
      </w:r>
      <w:r w:rsidR="009E03A0">
        <w:rPr>
          <w:snapToGrid w:val="0"/>
          <w:szCs w:val="28"/>
        </w:rPr>
        <w:t xml:space="preserve"> </w:t>
      </w:r>
      <w:r w:rsidRPr="00B437CD">
        <w:rPr>
          <w:snapToGrid w:val="0"/>
          <w:szCs w:val="28"/>
        </w:rPr>
        <w:t xml:space="preserve"> On the other hand, I find that the </w:t>
      </w:r>
      <w:r w:rsidR="003C549C">
        <w:rPr>
          <w:snapToGrid w:val="0"/>
          <w:szCs w:val="28"/>
        </w:rPr>
        <w:t>Plaintiff</w:t>
      </w:r>
      <w:r w:rsidRPr="00B437CD">
        <w:rPr>
          <w:snapToGrid w:val="0"/>
          <w:szCs w:val="28"/>
        </w:rPr>
        <w:t xml:space="preserve"> seemed to have been the main culprit for the delay. </w:t>
      </w:r>
      <w:r w:rsidR="009E03A0">
        <w:rPr>
          <w:snapToGrid w:val="0"/>
          <w:szCs w:val="28"/>
        </w:rPr>
        <w:t xml:space="preserve"> </w:t>
      </w:r>
      <w:r w:rsidRPr="00B437CD">
        <w:rPr>
          <w:snapToGrid w:val="0"/>
          <w:szCs w:val="28"/>
        </w:rPr>
        <w:t xml:space="preserve">The </w:t>
      </w:r>
      <w:r w:rsidR="003C549C">
        <w:rPr>
          <w:snapToGrid w:val="0"/>
          <w:szCs w:val="28"/>
        </w:rPr>
        <w:t>Plaintiff</w:t>
      </w:r>
      <w:r w:rsidRPr="00B437CD">
        <w:rPr>
          <w:snapToGrid w:val="0"/>
          <w:szCs w:val="28"/>
        </w:rPr>
        <w:t xml:space="preserve"> was all along privately represented from the time when the writ was issued in October 2018 until 30 October 2020 when the </w:t>
      </w:r>
      <w:r w:rsidR="003C549C">
        <w:rPr>
          <w:snapToGrid w:val="0"/>
          <w:szCs w:val="28"/>
        </w:rPr>
        <w:t>Plaintiff</w:t>
      </w:r>
      <w:r w:rsidRPr="00B437CD">
        <w:rPr>
          <w:snapToGrid w:val="0"/>
          <w:szCs w:val="28"/>
        </w:rPr>
        <w:t xml:space="preserve"> became unrepresented.</w:t>
      </w:r>
      <w:r w:rsidR="009E03A0">
        <w:rPr>
          <w:snapToGrid w:val="0"/>
          <w:szCs w:val="28"/>
        </w:rPr>
        <w:t xml:space="preserve"> </w:t>
      </w:r>
      <w:r w:rsidR="00825F85">
        <w:rPr>
          <w:snapToGrid w:val="0"/>
          <w:szCs w:val="28"/>
        </w:rPr>
        <w:t xml:space="preserve"> During thi</w:t>
      </w:r>
      <w:r w:rsidRPr="00B437CD">
        <w:rPr>
          <w:snapToGrid w:val="0"/>
          <w:szCs w:val="28"/>
        </w:rPr>
        <w:t xml:space="preserve">s 4-year period of litigation, I noted from the case file of this action that the </w:t>
      </w:r>
      <w:r w:rsidR="003C549C">
        <w:rPr>
          <w:snapToGrid w:val="0"/>
          <w:szCs w:val="28"/>
        </w:rPr>
        <w:t>Plaintiff</w:t>
      </w:r>
      <w:r w:rsidRPr="00B437CD">
        <w:rPr>
          <w:snapToGrid w:val="0"/>
          <w:szCs w:val="28"/>
        </w:rPr>
        <w:t xml:space="preserve"> had on more than one occasions failed to comply with the timetables imposed by the court. </w:t>
      </w:r>
      <w:r w:rsidR="009E03A0">
        <w:rPr>
          <w:snapToGrid w:val="0"/>
          <w:szCs w:val="28"/>
        </w:rPr>
        <w:t xml:space="preserve"> </w:t>
      </w:r>
      <w:r w:rsidRPr="00B437CD">
        <w:rPr>
          <w:snapToGrid w:val="0"/>
          <w:szCs w:val="28"/>
        </w:rPr>
        <w:t xml:space="preserve">As a result, the </w:t>
      </w:r>
      <w:r w:rsidR="003C549C">
        <w:rPr>
          <w:snapToGrid w:val="0"/>
          <w:szCs w:val="28"/>
        </w:rPr>
        <w:t>Plaintiff</w:t>
      </w:r>
      <w:r w:rsidRPr="00B437CD">
        <w:rPr>
          <w:snapToGrid w:val="0"/>
          <w:szCs w:val="28"/>
        </w:rPr>
        <w:t xml:space="preserve"> had to obtain retrospective leave from the court for his late filing of documents (such as his Revised Statement of Damages) and, on another occasion, was ordered (on </w:t>
      </w:r>
      <w:r w:rsidR="00825F85">
        <w:rPr>
          <w:snapToGrid w:val="0"/>
          <w:szCs w:val="28"/>
        </w:rPr>
        <w:t>2</w:t>
      </w:r>
      <w:r w:rsidRPr="00B437CD">
        <w:rPr>
          <w:snapToGrid w:val="0"/>
          <w:szCs w:val="28"/>
        </w:rPr>
        <w:t>9 June 2020) to make disco</w:t>
      </w:r>
      <w:r w:rsidR="00D40B7A">
        <w:rPr>
          <w:snapToGrid w:val="0"/>
          <w:szCs w:val="28"/>
        </w:rPr>
        <w:t>very by way of an unless order.</w:t>
      </w:r>
    </w:p>
    <w:p w:rsidR="0044753D" w:rsidRPr="00B437CD" w:rsidRDefault="0044753D" w:rsidP="005E1E6A">
      <w:pPr>
        <w:tabs>
          <w:tab w:val="clear" w:pos="4320"/>
          <w:tab w:val="clear" w:pos="9072"/>
        </w:tabs>
        <w:spacing w:line="360" w:lineRule="auto"/>
        <w:jc w:val="both"/>
        <w:rPr>
          <w:snapToGrid w:val="0"/>
          <w:szCs w:val="28"/>
        </w:rPr>
      </w:pPr>
    </w:p>
    <w:p w:rsidR="0044753D" w:rsidRPr="00B437CD" w:rsidRDefault="0044753D" w:rsidP="005E1E6A">
      <w:pPr>
        <w:pStyle w:val="ListParagraph"/>
        <w:numPr>
          <w:ilvl w:val="0"/>
          <w:numId w:val="7"/>
        </w:numPr>
        <w:tabs>
          <w:tab w:val="clear" w:pos="4320"/>
          <w:tab w:val="clear" w:pos="9072"/>
        </w:tabs>
        <w:spacing w:line="360" w:lineRule="auto"/>
        <w:ind w:left="0" w:firstLine="0"/>
        <w:jc w:val="both"/>
        <w:rPr>
          <w:snapToGrid w:val="0"/>
          <w:szCs w:val="28"/>
        </w:rPr>
      </w:pPr>
      <w:r w:rsidRPr="00B437CD">
        <w:rPr>
          <w:snapToGrid w:val="0"/>
          <w:szCs w:val="28"/>
        </w:rPr>
        <w:t xml:space="preserve">I therefore rejected the </w:t>
      </w:r>
      <w:r w:rsidR="003C549C">
        <w:rPr>
          <w:snapToGrid w:val="0"/>
          <w:szCs w:val="28"/>
        </w:rPr>
        <w:t>Plaintiff</w:t>
      </w:r>
      <w:r w:rsidRPr="00B437CD">
        <w:rPr>
          <w:snapToGrid w:val="0"/>
          <w:szCs w:val="28"/>
        </w:rPr>
        <w:t xml:space="preserve">’s contentions, and considered that it was appropriate to order him to pay the </w:t>
      </w:r>
      <w:r w:rsidR="007E094F">
        <w:rPr>
          <w:snapToGrid w:val="0"/>
          <w:szCs w:val="28"/>
        </w:rPr>
        <w:t>D</w:t>
      </w:r>
      <w:r w:rsidR="00BA7DE5" w:rsidRPr="00B437CD">
        <w:rPr>
          <w:snapToGrid w:val="0"/>
          <w:szCs w:val="28"/>
        </w:rPr>
        <w:t>efendant</w:t>
      </w:r>
      <w:r w:rsidRPr="00B437CD">
        <w:rPr>
          <w:snapToGrid w:val="0"/>
          <w:szCs w:val="28"/>
        </w:rPr>
        <w:t xml:space="preserve">’s costs of this action and the summons.  Since this action was first commenced in the </w:t>
      </w:r>
      <w:r w:rsidRPr="00B437CD">
        <w:rPr>
          <w:snapToGrid w:val="0"/>
          <w:szCs w:val="28"/>
        </w:rPr>
        <w:lastRenderedPageBreak/>
        <w:t xml:space="preserve">High Court, the </w:t>
      </w:r>
      <w:r w:rsidR="003C549C">
        <w:rPr>
          <w:snapToGrid w:val="0"/>
          <w:szCs w:val="28"/>
        </w:rPr>
        <w:t>D</w:t>
      </w:r>
      <w:r w:rsidR="00BA7DE5" w:rsidRPr="00B437CD">
        <w:rPr>
          <w:snapToGrid w:val="0"/>
          <w:szCs w:val="28"/>
        </w:rPr>
        <w:t>efendant</w:t>
      </w:r>
      <w:r w:rsidRPr="00B437CD">
        <w:rPr>
          <w:snapToGrid w:val="0"/>
          <w:szCs w:val="28"/>
        </w:rPr>
        <w:t xml:space="preserve"> should be entitled to the costs on the High Court scale before its transfer to the District Court.</w:t>
      </w:r>
    </w:p>
    <w:p w:rsidR="0044753D" w:rsidRPr="00B437CD" w:rsidRDefault="0044753D" w:rsidP="005E1E6A">
      <w:pPr>
        <w:tabs>
          <w:tab w:val="clear" w:pos="4320"/>
          <w:tab w:val="clear" w:pos="9072"/>
        </w:tabs>
        <w:spacing w:line="360" w:lineRule="auto"/>
        <w:jc w:val="both"/>
        <w:rPr>
          <w:snapToGrid w:val="0"/>
          <w:szCs w:val="28"/>
        </w:rPr>
      </w:pPr>
    </w:p>
    <w:p w:rsidR="0044753D" w:rsidRPr="00B437CD" w:rsidRDefault="0044753D" w:rsidP="005E1E6A">
      <w:pPr>
        <w:pStyle w:val="ListParagraph"/>
        <w:numPr>
          <w:ilvl w:val="0"/>
          <w:numId w:val="7"/>
        </w:numPr>
        <w:tabs>
          <w:tab w:val="clear" w:pos="4320"/>
          <w:tab w:val="clear" w:pos="9072"/>
        </w:tabs>
        <w:spacing w:line="360" w:lineRule="auto"/>
        <w:ind w:left="0" w:firstLine="0"/>
        <w:jc w:val="both"/>
        <w:rPr>
          <w:snapToGrid w:val="0"/>
          <w:szCs w:val="28"/>
        </w:rPr>
      </w:pPr>
      <w:r w:rsidRPr="00B437CD">
        <w:rPr>
          <w:snapToGrid w:val="0"/>
          <w:szCs w:val="28"/>
        </w:rPr>
        <w:t xml:space="preserve">For the purpose of saving costs and the expense of taxation, I further exercised my discretion by ordering summary assessment of the </w:t>
      </w:r>
      <w:r w:rsidR="003C549C">
        <w:rPr>
          <w:snapToGrid w:val="0"/>
          <w:szCs w:val="28"/>
        </w:rPr>
        <w:t>D</w:t>
      </w:r>
      <w:r w:rsidR="00BA7DE5" w:rsidRPr="00B437CD">
        <w:rPr>
          <w:snapToGrid w:val="0"/>
          <w:szCs w:val="28"/>
        </w:rPr>
        <w:t>efendant</w:t>
      </w:r>
      <w:r w:rsidRPr="00B437CD">
        <w:rPr>
          <w:snapToGrid w:val="0"/>
          <w:szCs w:val="28"/>
        </w:rPr>
        <w:t>’s costs in lieu of taxation.</w:t>
      </w:r>
    </w:p>
    <w:p w:rsidR="0044753D" w:rsidRPr="0044753D" w:rsidRDefault="0044753D" w:rsidP="005E1E6A">
      <w:pPr>
        <w:tabs>
          <w:tab w:val="clear" w:pos="4320"/>
          <w:tab w:val="clear" w:pos="9072"/>
        </w:tabs>
        <w:spacing w:line="360" w:lineRule="auto"/>
        <w:jc w:val="both"/>
        <w:rPr>
          <w:rFonts w:eastAsia="PMingLiU"/>
          <w:bCs/>
          <w:szCs w:val="28"/>
        </w:rPr>
      </w:pPr>
    </w:p>
    <w:p w:rsidR="00255111" w:rsidRDefault="00255111" w:rsidP="00255111">
      <w:pPr>
        <w:pStyle w:val="ListParagraph"/>
        <w:tabs>
          <w:tab w:val="clear" w:pos="4320"/>
          <w:tab w:val="clear" w:pos="9072"/>
        </w:tabs>
        <w:spacing w:line="360" w:lineRule="auto"/>
        <w:ind w:left="0"/>
        <w:jc w:val="both"/>
        <w:rPr>
          <w:rFonts w:eastAsia="PMingLiU"/>
          <w:szCs w:val="28"/>
          <w:lang w:eastAsia="zh-HK"/>
        </w:rPr>
      </w:pPr>
    </w:p>
    <w:p w:rsidR="00D40B7A" w:rsidRPr="00D40B7A" w:rsidRDefault="00D40B7A" w:rsidP="00255111">
      <w:pPr>
        <w:pStyle w:val="ListParagraph"/>
        <w:tabs>
          <w:tab w:val="clear" w:pos="4320"/>
          <w:tab w:val="clear" w:pos="9072"/>
        </w:tabs>
        <w:spacing w:line="360" w:lineRule="auto"/>
        <w:ind w:left="0"/>
        <w:jc w:val="both"/>
        <w:rPr>
          <w:rFonts w:eastAsia="PMingLiU"/>
          <w:szCs w:val="28"/>
          <w:lang w:eastAsia="zh-HK"/>
        </w:rPr>
      </w:pPr>
    </w:p>
    <w:p w:rsidR="008A7BDD" w:rsidRDefault="008A7BDD" w:rsidP="00255111">
      <w:pPr>
        <w:pStyle w:val="ListParagraph"/>
        <w:tabs>
          <w:tab w:val="clear" w:pos="4320"/>
          <w:tab w:val="clear" w:pos="9072"/>
        </w:tabs>
        <w:spacing w:line="360" w:lineRule="auto"/>
        <w:ind w:left="0"/>
        <w:jc w:val="both"/>
        <w:rPr>
          <w:szCs w:val="28"/>
        </w:rPr>
      </w:pPr>
    </w:p>
    <w:p w:rsidR="00255111" w:rsidRPr="006E39C1" w:rsidRDefault="00255111" w:rsidP="00255111">
      <w:pPr>
        <w:tabs>
          <w:tab w:val="clear" w:pos="1440"/>
          <w:tab w:val="clear" w:pos="4320"/>
          <w:tab w:val="clear" w:pos="9072"/>
          <w:tab w:val="center" w:pos="6480"/>
        </w:tabs>
        <w:snapToGrid/>
        <w:jc w:val="both"/>
        <w:outlineLvl w:val="0"/>
        <w:rPr>
          <w:bCs/>
          <w:szCs w:val="28"/>
          <w:lang w:val="en-GB"/>
        </w:rPr>
      </w:pPr>
      <w:r w:rsidRPr="006E39C1">
        <w:rPr>
          <w:bCs/>
          <w:szCs w:val="28"/>
          <w:lang w:val="en-GB"/>
        </w:rPr>
        <w:tab/>
        <w:t xml:space="preserve">( </w:t>
      </w:r>
      <w:r>
        <w:rPr>
          <w:bCs/>
          <w:szCs w:val="28"/>
          <w:lang w:val="en-GB"/>
        </w:rPr>
        <w:t xml:space="preserve">Katina Levy </w:t>
      </w:r>
      <w:r w:rsidRPr="006E39C1">
        <w:rPr>
          <w:bCs/>
          <w:szCs w:val="28"/>
          <w:lang w:val="en-GB"/>
        </w:rPr>
        <w:t>)</w:t>
      </w:r>
    </w:p>
    <w:p w:rsidR="00255111" w:rsidRPr="006E39C1" w:rsidRDefault="00255111" w:rsidP="00255111">
      <w:pPr>
        <w:tabs>
          <w:tab w:val="clear" w:pos="1440"/>
          <w:tab w:val="clear" w:pos="4320"/>
          <w:tab w:val="clear" w:pos="9072"/>
          <w:tab w:val="center" w:pos="6480"/>
        </w:tabs>
        <w:snapToGrid/>
        <w:jc w:val="both"/>
        <w:outlineLvl w:val="0"/>
        <w:rPr>
          <w:bCs/>
          <w:szCs w:val="28"/>
          <w:lang w:val="en-GB"/>
        </w:rPr>
      </w:pPr>
      <w:r w:rsidRPr="006E39C1">
        <w:rPr>
          <w:bCs/>
          <w:szCs w:val="28"/>
          <w:lang w:val="en-GB"/>
        </w:rPr>
        <w:tab/>
        <w:t>District Judge</w:t>
      </w:r>
    </w:p>
    <w:p w:rsidR="00255111" w:rsidRDefault="00255111" w:rsidP="00255111">
      <w:pPr>
        <w:tabs>
          <w:tab w:val="clear" w:pos="4320"/>
          <w:tab w:val="clear" w:pos="9072"/>
          <w:tab w:val="center" w:pos="6480"/>
        </w:tabs>
        <w:snapToGrid/>
        <w:jc w:val="both"/>
        <w:rPr>
          <w:bCs/>
          <w:szCs w:val="28"/>
          <w:lang w:val="en-GB"/>
        </w:rPr>
      </w:pPr>
    </w:p>
    <w:p w:rsidR="005E1E6A" w:rsidRDefault="005E1E6A" w:rsidP="00255111">
      <w:pPr>
        <w:tabs>
          <w:tab w:val="clear" w:pos="4320"/>
          <w:tab w:val="clear" w:pos="9072"/>
          <w:tab w:val="center" w:pos="6480"/>
        </w:tabs>
        <w:snapToGrid/>
        <w:jc w:val="both"/>
        <w:rPr>
          <w:bCs/>
          <w:szCs w:val="28"/>
          <w:lang w:val="en-GB"/>
        </w:rPr>
      </w:pPr>
    </w:p>
    <w:p w:rsidR="0044753D" w:rsidRDefault="0044753D" w:rsidP="0044753D">
      <w:pPr>
        <w:contextualSpacing/>
        <w:jc w:val="both"/>
        <w:rPr>
          <w:rFonts w:eastAsia="PMingLiU"/>
        </w:rPr>
      </w:pPr>
      <w:r>
        <w:rPr>
          <w:rFonts w:eastAsia="PMingLiU"/>
        </w:rPr>
        <w:t>T</w:t>
      </w:r>
      <w:r w:rsidRPr="001706E8">
        <w:rPr>
          <w:rFonts w:eastAsia="PMingLiU"/>
        </w:rPr>
        <w:t xml:space="preserve">he </w:t>
      </w:r>
      <w:r w:rsidR="003C549C">
        <w:rPr>
          <w:rFonts w:eastAsia="PMingLiU"/>
        </w:rPr>
        <w:t>plaintiff</w:t>
      </w:r>
      <w:r>
        <w:rPr>
          <w:rFonts w:eastAsia="PMingLiU"/>
        </w:rPr>
        <w:t xml:space="preserve"> </w:t>
      </w:r>
      <w:r>
        <w:rPr>
          <w:szCs w:val="28"/>
        </w:rPr>
        <w:t>was not represented and did not appear</w:t>
      </w:r>
    </w:p>
    <w:p w:rsidR="0044753D" w:rsidRDefault="0044753D" w:rsidP="0044753D">
      <w:pPr>
        <w:contextualSpacing/>
        <w:jc w:val="both"/>
        <w:rPr>
          <w:rFonts w:eastAsia="PMingLiU"/>
        </w:rPr>
      </w:pPr>
    </w:p>
    <w:p w:rsidR="0044753D" w:rsidRDefault="0044753D" w:rsidP="0044753D">
      <w:pPr>
        <w:contextualSpacing/>
        <w:jc w:val="both"/>
        <w:rPr>
          <w:rFonts w:eastAsia="PMingLiU"/>
          <w:szCs w:val="28"/>
        </w:rPr>
      </w:pPr>
      <w:r>
        <w:rPr>
          <w:rFonts w:eastAsia="PMingLiU"/>
          <w:szCs w:val="28"/>
        </w:rPr>
        <w:t>Mr Alfred Cheng</w:t>
      </w:r>
      <w:r w:rsidRPr="001706E8">
        <w:rPr>
          <w:rFonts w:eastAsia="PMingLiU"/>
          <w:szCs w:val="28"/>
        </w:rPr>
        <w:t xml:space="preserve">, instructed by </w:t>
      </w:r>
      <w:r w:rsidRPr="00634CAF">
        <w:rPr>
          <w:rFonts w:eastAsia="PMingLiU"/>
          <w:szCs w:val="28"/>
        </w:rPr>
        <w:t>Hastings &amp; Co</w:t>
      </w:r>
      <w:r w:rsidRPr="001706E8">
        <w:rPr>
          <w:rFonts w:eastAsia="PMingLiU"/>
          <w:szCs w:val="28"/>
        </w:rPr>
        <w:t xml:space="preserve">, for the </w:t>
      </w:r>
      <w:r w:rsidR="00BA7DE5">
        <w:rPr>
          <w:rFonts w:eastAsia="PMingLiU"/>
          <w:szCs w:val="28"/>
        </w:rPr>
        <w:t>defendant</w:t>
      </w:r>
    </w:p>
    <w:p w:rsidR="009E03A0" w:rsidRDefault="009E03A0" w:rsidP="0044753D">
      <w:pPr>
        <w:contextualSpacing/>
        <w:jc w:val="both"/>
        <w:rPr>
          <w:rFonts w:eastAsia="PMingLiU"/>
          <w:szCs w:val="28"/>
        </w:rPr>
      </w:pPr>
    </w:p>
    <w:p w:rsidR="0044753D" w:rsidRPr="00D40B7A" w:rsidRDefault="0044753D" w:rsidP="00D40B7A">
      <w:pPr>
        <w:contextualSpacing/>
        <w:jc w:val="both"/>
        <w:rPr>
          <w:rFonts w:eastAsia="MingLiU"/>
          <w:bCs/>
          <w:lang w:eastAsia="zh-HK"/>
        </w:rPr>
      </w:pPr>
      <w:r>
        <w:rPr>
          <w:rFonts w:eastAsia="MingLiU"/>
          <w:bCs/>
        </w:rPr>
        <w:t>Ms</w:t>
      </w:r>
      <w:r w:rsidRPr="00634CAF">
        <w:rPr>
          <w:rFonts w:eastAsia="MingLiU"/>
          <w:bCs/>
        </w:rPr>
        <w:t xml:space="preserve"> Mabel Yuen, of</w:t>
      </w:r>
      <w:r>
        <w:rPr>
          <w:rFonts w:eastAsia="MingLiU"/>
          <w:bCs/>
        </w:rPr>
        <w:t xml:space="preserve"> the Official Receiver’</w:t>
      </w:r>
      <w:r w:rsidRPr="00634CAF">
        <w:rPr>
          <w:rFonts w:eastAsia="MingLiU"/>
          <w:bCs/>
        </w:rPr>
        <w:t>s Office</w:t>
      </w:r>
      <w:r>
        <w:rPr>
          <w:rFonts w:eastAsia="MingLiU"/>
          <w:bCs/>
        </w:rPr>
        <w:t xml:space="preserve">, for the </w:t>
      </w:r>
      <w:r w:rsidRPr="00634CAF">
        <w:rPr>
          <w:rFonts w:eastAsia="MingLiU"/>
          <w:bCs/>
        </w:rPr>
        <w:t>Official Receiver</w:t>
      </w:r>
    </w:p>
    <w:sectPr w:rsidR="0044753D" w:rsidRPr="00D40B7A" w:rsidSect="00FE6644">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355" w:rsidRDefault="00935355">
      <w:r>
        <w:separator/>
      </w:r>
    </w:p>
  </w:endnote>
  <w:endnote w:type="continuationSeparator" w:id="0">
    <w:p w:rsidR="00935355" w:rsidRDefault="00935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notTrueType/>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46B" w:rsidRDefault="006514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5146B" w:rsidRDefault="006514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46B" w:rsidRDefault="0065146B">
    <w:pPr>
      <w:pStyle w:val="Footer"/>
      <w:framePr w:wrap="around" w:vAnchor="text" w:hAnchor="margin" w:xAlign="right" w:y="1"/>
      <w:rPr>
        <w:rStyle w:val="PageNumber"/>
      </w:rPr>
    </w:pPr>
  </w:p>
  <w:p w:rsidR="0065146B" w:rsidRDefault="006514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355" w:rsidRDefault="00935355">
      <w:r>
        <w:separator/>
      </w:r>
    </w:p>
  </w:footnote>
  <w:footnote w:type="continuationSeparator" w:id="0">
    <w:p w:rsidR="00935355" w:rsidRDefault="00935355">
      <w:r>
        <w:continuationSeparator/>
      </w:r>
    </w:p>
  </w:footnote>
  <w:footnote w:id="1">
    <w:p w:rsidR="0044753D" w:rsidRDefault="0044753D" w:rsidP="00B437CD">
      <w:pPr>
        <w:pStyle w:val="FootnoteText"/>
        <w:tabs>
          <w:tab w:val="left" w:pos="270"/>
        </w:tabs>
      </w:pPr>
      <w:r>
        <w:rPr>
          <w:rStyle w:val="FootnoteReference"/>
        </w:rPr>
        <w:footnoteRef/>
      </w:r>
      <w:r w:rsidR="00B437CD">
        <w:tab/>
      </w:r>
      <w:r>
        <w:t>[2021] HKDC 503.</w:t>
      </w:r>
    </w:p>
  </w:footnote>
  <w:footnote w:id="2">
    <w:p w:rsidR="0044753D" w:rsidRDefault="0044753D" w:rsidP="00CF4486">
      <w:pPr>
        <w:pStyle w:val="FootnoteText"/>
        <w:tabs>
          <w:tab w:val="left" w:pos="270"/>
        </w:tabs>
      </w:pPr>
      <w:r>
        <w:rPr>
          <w:rStyle w:val="FootnoteReference"/>
        </w:rPr>
        <w:footnoteRef/>
      </w:r>
      <w:r w:rsidR="00CF4486">
        <w:tab/>
      </w:r>
      <w:r w:rsidR="005E1E6A" w:rsidRPr="005E1E6A">
        <w:rPr>
          <w:i/>
        </w:rPr>
        <w:t>S</w:t>
      </w:r>
      <w:r w:rsidRPr="00CF4486">
        <w:rPr>
          <w:i/>
        </w:rPr>
        <w:t>upra</w:t>
      </w:r>
      <w:r>
        <w:t>, at §§63,</w:t>
      </w:r>
      <w:r w:rsidR="00825F85">
        <w:t xml:space="preserve"> </w:t>
      </w:r>
      <w:r>
        <w:t>73,</w:t>
      </w:r>
      <w:r w:rsidR="00825F85">
        <w:t xml:space="preserve"> </w:t>
      </w:r>
      <w:r>
        <w:t>76,</w:t>
      </w:r>
      <w:r w:rsidR="00825F85">
        <w:t xml:space="preserve"> </w:t>
      </w:r>
      <w:r>
        <w:t>77 and 85.</w:t>
      </w:r>
    </w:p>
  </w:footnote>
  <w:footnote w:id="3">
    <w:p w:rsidR="0044753D" w:rsidRDefault="0044753D" w:rsidP="00CF4486">
      <w:pPr>
        <w:pStyle w:val="FootnoteText"/>
        <w:tabs>
          <w:tab w:val="left" w:pos="270"/>
        </w:tabs>
      </w:pPr>
      <w:r>
        <w:rPr>
          <w:rStyle w:val="FootnoteReference"/>
        </w:rPr>
        <w:footnoteRef/>
      </w:r>
      <w:r w:rsidR="00CF4486">
        <w:tab/>
      </w:r>
      <w:r w:rsidRPr="002E6C34">
        <w:rPr>
          <w:rFonts w:hint="eastAsia"/>
        </w:rPr>
        <w:t>[</w:t>
      </w:r>
      <w:r>
        <w:t>2018] HKCA 182.</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46B" w:rsidRDefault="0065146B">
    <w:pPr>
      <w:pStyle w:val="Header"/>
    </w:pPr>
    <w:r>
      <w:rPr>
        <w:noProof/>
        <w:sz w:val="20"/>
      </w:rPr>
      <mc:AlternateContent>
        <mc:Choice Requires="wps">
          <w:drawing>
            <wp:anchor distT="0" distB="0" distL="114300" distR="114300" simplePos="0" relativeHeight="251656192"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146B" w:rsidRDefault="0065146B">
                          <w:pPr>
                            <w:rPr>
                              <w:b/>
                              <w:sz w:val="20"/>
                            </w:rPr>
                          </w:pPr>
                          <w:r>
                            <w:rPr>
                              <w:rFonts w:hint="eastAsia"/>
                              <w:b/>
                              <w:sz w:val="20"/>
                            </w:rPr>
                            <w:t>A</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20"/>
                            </w:rPr>
                          </w:pPr>
                          <w:r>
                            <w:rPr>
                              <w:rFonts w:hint="eastAsia"/>
                              <w:b/>
                              <w:sz w:val="20"/>
                            </w:rPr>
                            <w:t>B</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C</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pStyle w:val="Heading2"/>
                            <w:rPr>
                              <w:sz w:val="16"/>
                            </w:rPr>
                          </w:pPr>
                          <w:r>
                            <w:rPr>
                              <w:rFonts w:hint="eastAsia"/>
                            </w:rPr>
                            <w:t>D</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E</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20"/>
                            </w:rPr>
                          </w:pPr>
                          <w:r>
                            <w:rPr>
                              <w:rFonts w:hint="eastAsia"/>
                              <w:b/>
                              <w:sz w:val="20"/>
                            </w:rPr>
                            <w:t>F</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G</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H</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I</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J</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K</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L</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M</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N</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O</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P</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Q</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R</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S</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T</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U</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65146B" w:rsidRDefault="0065146B">
                    <w:pPr>
                      <w:rPr>
                        <w:b/>
                        <w:sz w:val="20"/>
                      </w:rPr>
                    </w:pPr>
                    <w:r>
                      <w:rPr>
                        <w:rFonts w:hint="eastAsia"/>
                        <w:b/>
                        <w:sz w:val="20"/>
                      </w:rPr>
                      <w:t>A</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20"/>
                      </w:rPr>
                    </w:pPr>
                    <w:r>
                      <w:rPr>
                        <w:rFonts w:hint="eastAsia"/>
                        <w:b/>
                        <w:sz w:val="20"/>
                      </w:rPr>
                      <w:t>B</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C</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pStyle w:val="Heading2"/>
                      <w:rPr>
                        <w:sz w:val="16"/>
                      </w:rPr>
                    </w:pPr>
                    <w:r>
                      <w:rPr>
                        <w:rFonts w:hint="eastAsia"/>
                      </w:rPr>
                      <w:t>D</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E</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20"/>
                      </w:rPr>
                    </w:pPr>
                    <w:r>
                      <w:rPr>
                        <w:rFonts w:hint="eastAsia"/>
                        <w:b/>
                        <w:sz w:val="20"/>
                      </w:rPr>
                      <w:t>F</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G</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H</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I</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J</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K</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L</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M</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N</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O</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P</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Q</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R</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S</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T</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U</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146B" w:rsidRDefault="0065146B">
                          <w:pPr>
                            <w:rPr>
                              <w:b/>
                              <w:sz w:val="20"/>
                            </w:rPr>
                          </w:pPr>
                          <w:r>
                            <w:rPr>
                              <w:rFonts w:hint="eastAsia"/>
                              <w:b/>
                              <w:sz w:val="20"/>
                            </w:rPr>
                            <w:t>A</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20"/>
                            </w:rPr>
                          </w:pPr>
                          <w:r>
                            <w:rPr>
                              <w:rFonts w:hint="eastAsia"/>
                              <w:b/>
                              <w:sz w:val="20"/>
                            </w:rPr>
                            <w:t>B</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C</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pStyle w:val="Heading2"/>
                            <w:rPr>
                              <w:sz w:val="16"/>
                            </w:rPr>
                          </w:pPr>
                          <w:r>
                            <w:rPr>
                              <w:rFonts w:hint="eastAsia"/>
                            </w:rPr>
                            <w:t>D</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E</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20"/>
                            </w:rPr>
                          </w:pPr>
                          <w:r>
                            <w:rPr>
                              <w:rFonts w:hint="eastAsia"/>
                              <w:b/>
                              <w:sz w:val="20"/>
                            </w:rPr>
                            <w:t>F</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G</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H</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I</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J</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K</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L</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M</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N</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O</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P</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Q</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R</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S</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T</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U</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65146B" w:rsidRDefault="0065146B">
                    <w:pPr>
                      <w:rPr>
                        <w:b/>
                        <w:sz w:val="20"/>
                      </w:rPr>
                    </w:pPr>
                    <w:r>
                      <w:rPr>
                        <w:rFonts w:hint="eastAsia"/>
                        <w:b/>
                        <w:sz w:val="20"/>
                      </w:rPr>
                      <w:t>A</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20"/>
                      </w:rPr>
                    </w:pPr>
                    <w:r>
                      <w:rPr>
                        <w:rFonts w:hint="eastAsia"/>
                        <w:b/>
                        <w:sz w:val="20"/>
                      </w:rPr>
                      <w:t>B</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C</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pStyle w:val="Heading2"/>
                      <w:rPr>
                        <w:sz w:val="16"/>
                      </w:rPr>
                    </w:pPr>
                    <w:r>
                      <w:rPr>
                        <w:rFonts w:hint="eastAsia"/>
                      </w:rPr>
                      <w:t>D</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E</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20"/>
                      </w:rPr>
                    </w:pPr>
                    <w:r>
                      <w:rPr>
                        <w:rFonts w:hint="eastAsia"/>
                        <w:b/>
                        <w:sz w:val="20"/>
                      </w:rPr>
                      <w:t>F</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G</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H</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I</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J</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K</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L</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M</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N</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O</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P</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Q</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R</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S</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T</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U</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146B" w:rsidRPr="00782869" w:rsidRDefault="0065146B"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65146B" w:rsidRPr="00782869" w:rsidRDefault="0065146B"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46B" w:rsidRDefault="0065146B">
    <w:pPr>
      <w:pStyle w:val="Header"/>
      <w:rPr>
        <w:sz w:val="28"/>
      </w:rPr>
    </w:pPr>
    <w:r>
      <w:rPr>
        <w:noProof/>
        <w:sz w:val="28"/>
      </w:rPr>
      <mc:AlternateContent>
        <mc:Choice Requires="wps">
          <w:drawing>
            <wp:anchor distT="0" distB="0" distL="114300" distR="114300" simplePos="0" relativeHeight="251659264"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146B" w:rsidRDefault="0065146B">
                          <w:pPr>
                            <w:rPr>
                              <w:b/>
                              <w:sz w:val="20"/>
                            </w:rPr>
                          </w:pPr>
                          <w:r>
                            <w:rPr>
                              <w:rFonts w:hint="eastAsia"/>
                              <w:b/>
                              <w:sz w:val="20"/>
                            </w:rPr>
                            <w:t>A</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20"/>
                            </w:rPr>
                          </w:pPr>
                          <w:r>
                            <w:rPr>
                              <w:rFonts w:hint="eastAsia"/>
                              <w:b/>
                              <w:sz w:val="20"/>
                            </w:rPr>
                            <w:t>B</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C</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pStyle w:val="Heading2"/>
                            <w:rPr>
                              <w:sz w:val="16"/>
                            </w:rPr>
                          </w:pPr>
                          <w:r>
                            <w:rPr>
                              <w:rFonts w:hint="eastAsia"/>
                            </w:rPr>
                            <w:t>D</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E</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20"/>
                            </w:rPr>
                          </w:pPr>
                          <w:r>
                            <w:rPr>
                              <w:rFonts w:hint="eastAsia"/>
                              <w:b/>
                              <w:sz w:val="20"/>
                            </w:rPr>
                            <w:t>F</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G</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H</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I</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J</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K</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L</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M</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N</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O</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P</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Q</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R</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S</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T</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U</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9bmOD4UCAAAXBQAADgAAAAAAAAAAAAAAAAAuAgAAZHJzL2Uyb0RvYy54bWxQSwECLQAUAAYACAAA&#10;ACEASaCoDd8AAAALAQAADwAAAAAAAAAAAAAAAADfBAAAZHJzL2Rvd25yZXYueG1sUEsFBgAAAAAE&#10;AAQA8wAAAOsFAAAAAA==&#10;" o:allowincell="f" stroked="f">
              <v:textbox>
                <w:txbxContent>
                  <w:p w:rsidR="0065146B" w:rsidRDefault="0065146B">
                    <w:pPr>
                      <w:rPr>
                        <w:b/>
                        <w:sz w:val="20"/>
                      </w:rPr>
                    </w:pPr>
                    <w:r>
                      <w:rPr>
                        <w:rFonts w:hint="eastAsia"/>
                        <w:b/>
                        <w:sz w:val="20"/>
                      </w:rPr>
                      <w:t>A</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20"/>
                      </w:rPr>
                    </w:pPr>
                    <w:r>
                      <w:rPr>
                        <w:rFonts w:hint="eastAsia"/>
                        <w:b/>
                        <w:sz w:val="20"/>
                      </w:rPr>
                      <w:t>B</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C</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pStyle w:val="Heading2"/>
                      <w:rPr>
                        <w:sz w:val="16"/>
                      </w:rPr>
                    </w:pPr>
                    <w:r>
                      <w:rPr>
                        <w:rFonts w:hint="eastAsia"/>
                      </w:rPr>
                      <w:t>D</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E</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20"/>
                      </w:rPr>
                    </w:pPr>
                    <w:r>
                      <w:rPr>
                        <w:rFonts w:hint="eastAsia"/>
                        <w:b/>
                        <w:sz w:val="20"/>
                      </w:rPr>
                      <w:t>F</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G</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H</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I</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J</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K</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L</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M</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N</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O</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P</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Q</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R</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S</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T</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U</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1660C8">
      <w:rPr>
        <w:rStyle w:val="PageNumber"/>
        <w:noProof/>
        <w:sz w:val="28"/>
      </w:rPr>
      <w:t>8</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146B" w:rsidRDefault="0065146B">
                          <w:pPr>
                            <w:rPr>
                              <w:b/>
                              <w:sz w:val="20"/>
                            </w:rPr>
                          </w:pPr>
                          <w:r>
                            <w:rPr>
                              <w:rFonts w:hint="eastAsia"/>
                              <w:b/>
                              <w:sz w:val="20"/>
                            </w:rPr>
                            <w:t>A</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20"/>
                            </w:rPr>
                          </w:pPr>
                          <w:r>
                            <w:rPr>
                              <w:rFonts w:hint="eastAsia"/>
                              <w:b/>
                              <w:sz w:val="20"/>
                            </w:rPr>
                            <w:t>B</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C</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pStyle w:val="Heading2"/>
                            <w:rPr>
                              <w:sz w:val="16"/>
                            </w:rPr>
                          </w:pPr>
                          <w:r>
                            <w:rPr>
                              <w:rFonts w:hint="eastAsia"/>
                            </w:rPr>
                            <w:t>D</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E</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20"/>
                            </w:rPr>
                          </w:pPr>
                          <w:r>
                            <w:rPr>
                              <w:rFonts w:hint="eastAsia"/>
                              <w:b/>
                              <w:sz w:val="20"/>
                            </w:rPr>
                            <w:t>F</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G</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H</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I</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J</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K</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L</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M</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N</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O</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P</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Q</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R</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S</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T</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U</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65146B" w:rsidRDefault="0065146B">
                    <w:pPr>
                      <w:rPr>
                        <w:b/>
                        <w:sz w:val="20"/>
                      </w:rPr>
                    </w:pPr>
                    <w:r>
                      <w:rPr>
                        <w:rFonts w:hint="eastAsia"/>
                        <w:b/>
                        <w:sz w:val="20"/>
                      </w:rPr>
                      <w:t>A</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20"/>
                      </w:rPr>
                    </w:pPr>
                    <w:r>
                      <w:rPr>
                        <w:rFonts w:hint="eastAsia"/>
                        <w:b/>
                        <w:sz w:val="20"/>
                      </w:rPr>
                      <w:t>B</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C</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pStyle w:val="Heading2"/>
                      <w:rPr>
                        <w:sz w:val="16"/>
                      </w:rPr>
                    </w:pPr>
                    <w:r>
                      <w:rPr>
                        <w:rFonts w:hint="eastAsia"/>
                      </w:rPr>
                      <w:t>D</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E</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20"/>
                      </w:rPr>
                    </w:pPr>
                    <w:r>
                      <w:rPr>
                        <w:rFonts w:hint="eastAsia"/>
                        <w:b/>
                        <w:sz w:val="20"/>
                      </w:rPr>
                      <w:t>F</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G</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H</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I</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J</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K</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L</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M</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N</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O</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P</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Q</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R</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S</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T</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rPr>
                        <w:b/>
                        <w:sz w:val="16"/>
                      </w:rPr>
                    </w:pPr>
                    <w:r>
                      <w:rPr>
                        <w:rFonts w:hint="eastAsia"/>
                        <w:b/>
                        <w:sz w:val="20"/>
                      </w:rPr>
                      <w:t>U</w:t>
                    </w:r>
                  </w:p>
                  <w:p w:rsidR="0065146B" w:rsidRDefault="0065146B">
                    <w:pPr>
                      <w:rPr>
                        <w:b/>
                        <w:sz w:val="10"/>
                      </w:rPr>
                    </w:pPr>
                  </w:p>
                  <w:p w:rsidR="0065146B" w:rsidRDefault="0065146B">
                    <w:pPr>
                      <w:rPr>
                        <w:b/>
                        <w:sz w:val="16"/>
                      </w:rPr>
                    </w:pPr>
                  </w:p>
                  <w:p w:rsidR="0065146B" w:rsidRDefault="0065146B">
                    <w:pPr>
                      <w:rPr>
                        <w:b/>
                        <w:sz w:val="16"/>
                      </w:rPr>
                    </w:pPr>
                  </w:p>
                  <w:p w:rsidR="0065146B" w:rsidRDefault="0065146B">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146B" w:rsidRDefault="0065146B">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rsidR="0065146B" w:rsidRDefault="0065146B">
                    <w:pPr>
                      <w:rPr>
                        <w:rFonts w:eastAsia="黑体"/>
                        <w:b/>
                        <w:sz w:val="18"/>
                      </w:rPr>
                    </w:pPr>
                  </w:p>
                </w:txbxContent>
              </v:textbox>
            </v:shape>
          </w:pict>
        </mc:Fallback>
      </mc:AlternateContent>
    </w:r>
  </w:p>
  <w:p w:rsidR="0065146B" w:rsidRDefault="0065146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1869"/>
    <w:multiLevelType w:val="hybridMultilevel"/>
    <w:tmpl w:val="5A501CFA"/>
    <w:lvl w:ilvl="0" w:tplc="FC504526">
      <w:start w:val="1"/>
      <w:numFmt w:val="lowerLetter"/>
      <w:lvlText w:val="(%1)"/>
      <w:lvlJc w:val="left"/>
      <w:pPr>
        <w:ind w:left="2175" w:hanging="375"/>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AA506B0"/>
    <w:multiLevelType w:val="hybridMultilevel"/>
    <w:tmpl w:val="9AC068BC"/>
    <w:lvl w:ilvl="0" w:tplc="C7D83C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97613C"/>
    <w:multiLevelType w:val="hybridMultilevel"/>
    <w:tmpl w:val="0468569E"/>
    <w:lvl w:ilvl="0" w:tplc="609CBB36">
      <w:start w:val="1"/>
      <w:numFmt w:val="lowerLetter"/>
      <w:lvlText w:val="(%1)"/>
      <w:lvlJc w:val="left"/>
      <w:pPr>
        <w:ind w:left="720" w:hanging="360"/>
      </w:pPr>
      <w:rPr>
        <w:rFonts w:eastAsiaTheme="minorEastAsia"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14E5A"/>
    <w:multiLevelType w:val="hybridMultilevel"/>
    <w:tmpl w:val="4CCA5950"/>
    <w:lvl w:ilvl="0" w:tplc="8C12140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4C49B5"/>
    <w:multiLevelType w:val="hybridMultilevel"/>
    <w:tmpl w:val="422CE348"/>
    <w:lvl w:ilvl="0" w:tplc="F15053D4">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BB3B5D"/>
    <w:multiLevelType w:val="hybridMultilevel"/>
    <w:tmpl w:val="195A0E84"/>
    <w:lvl w:ilvl="0" w:tplc="59FCA176">
      <w:start w:val="1"/>
      <w:numFmt w:val="lowerLetter"/>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DA3F3A"/>
    <w:multiLevelType w:val="hybridMultilevel"/>
    <w:tmpl w:val="93964C76"/>
    <w:lvl w:ilvl="0" w:tplc="C7D83CFA">
      <w:start w:val="1"/>
      <w:numFmt w:val="decimal"/>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41B43"/>
    <w:multiLevelType w:val="hybridMultilevel"/>
    <w:tmpl w:val="24A05D82"/>
    <w:lvl w:ilvl="0" w:tplc="20AA958E">
      <w:start w:val="1"/>
      <w:numFmt w:val="decimal"/>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391426"/>
    <w:multiLevelType w:val="hybridMultilevel"/>
    <w:tmpl w:val="3A8EE60E"/>
    <w:lvl w:ilvl="0" w:tplc="C7D83CF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4ED2BE0"/>
    <w:multiLevelType w:val="hybridMultilevel"/>
    <w:tmpl w:val="6B2A8158"/>
    <w:lvl w:ilvl="0" w:tplc="7EA027F0">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1"/>
  </w:num>
  <w:num w:numId="5">
    <w:abstractNumId w:val="0"/>
  </w:num>
  <w:num w:numId="6">
    <w:abstractNumId w:val="4"/>
  </w:num>
  <w:num w:numId="7">
    <w:abstractNumId w:val="9"/>
  </w:num>
  <w:num w:numId="8">
    <w:abstractNumId w:val="6"/>
  </w:num>
  <w:num w:numId="9">
    <w:abstractNumId w:val="8"/>
  </w:num>
  <w:num w:numId="10">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2EF7"/>
    <w:rsid w:val="00006BBF"/>
    <w:rsid w:val="00016AAA"/>
    <w:rsid w:val="00026C99"/>
    <w:rsid w:val="000305E0"/>
    <w:rsid w:val="00033E26"/>
    <w:rsid w:val="00034A9B"/>
    <w:rsid w:val="0003519F"/>
    <w:rsid w:val="000375FD"/>
    <w:rsid w:val="00041477"/>
    <w:rsid w:val="00042582"/>
    <w:rsid w:val="0004298B"/>
    <w:rsid w:val="00042E4A"/>
    <w:rsid w:val="00046B0C"/>
    <w:rsid w:val="00056F63"/>
    <w:rsid w:val="0006211F"/>
    <w:rsid w:val="00076217"/>
    <w:rsid w:val="00076C1B"/>
    <w:rsid w:val="000941F8"/>
    <w:rsid w:val="00096AFC"/>
    <w:rsid w:val="000B7E82"/>
    <w:rsid w:val="000D11B0"/>
    <w:rsid w:val="000D7535"/>
    <w:rsid w:val="000E5161"/>
    <w:rsid w:val="000F6452"/>
    <w:rsid w:val="00102E11"/>
    <w:rsid w:val="001050FF"/>
    <w:rsid w:val="0011138D"/>
    <w:rsid w:val="00117723"/>
    <w:rsid w:val="001428D3"/>
    <w:rsid w:val="00145B6A"/>
    <w:rsid w:val="001660C8"/>
    <w:rsid w:val="00166FC5"/>
    <w:rsid w:val="00172037"/>
    <w:rsid w:val="001763C1"/>
    <w:rsid w:val="0017795E"/>
    <w:rsid w:val="00183AAF"/>
    <w:rsid w:val="0018729A"/>
    <w:rsid w:val="00193D13"/>
    <w:rsid w:val="00194689"/>
    <w:rsid w:val="00196A91"/>
    <w:rsid w:val="001A0A4F"/>
    <w:rsid w:val="001A58BE"/>
    <w:rsid w:val="001B54BD"/>
    <w:rsid w:val="001C0AA8"/>
    <w:rsid w:val="001D3239"/>
    <w:rsid w:val="001D455F"/>
    <w:rsid w:val="001D7B95"/>
    <w:rsid w:val="001E07A2"/>
    <w:rsid w:val="001F5516"/>
    <w:rsid w:val="0020117E"/>
    <w:rsid w:val="002142E7"/>
    <w:rsid w:val="002225E2"/>
    <w:rsid w:val="00223BB1"/>
    <w:rsid w:val="00226A53"/>
    <w:rsid w:val="002272C4"/>
    <w:rsid w:val="00227A49"/>
    <w:rsid w:val="0023569D"/>
    <w:rsid w:val="00245D70"/>
    <w:rsid w:val="002519DA"/>
    <w:rsid w:val="00255111"/>
    <w:rsid w:val="0025689F"/>
    <w:rsid w:val="0025736D"/>
    <w:rsid w:val="00264B28"/>
    <w:rsid w:val="00264B63"/>
    <w:rsid w:val="00266A94"/>
    <w:rsid w:val="00273F3F"/>
    <w:rsid w:val="0027494E"/>
    <w:rsid w:val="00276737"/>
    <w:rsid w:val="00295D2D"/>
    <w:rsid w:val="002B0D71"/>
    <w:rsid w:val="002B2679"/>
    <w:rsid w:val="002B4359"/>
    <w:rsid w:val="002B5195"/>
    <w:rsid w:val="002B54AB"/>
    <w:rsid w:val="002C0287"/>
    <w:rsid w:val="002C2C86"/>
    <w:rsid w:val="002D6F2F"/>
    <w:rsid w:val="002E44A3"/>
    <w:rsid w:val="002E44FF"/>
    <w:rsid w:val="002E4875"/>
    <w:rsid w:val="002F03F8"/>
    <w:rsid w:val="002F5373"/>
    <w:rsid w:val="00301AB1"/>
    <w:rsid w:val="0030210D"/>
    <w:rsid w:val="0030302E"/>
    <w:rsid w:val="003035CB"/>
    <w:rsid w:val="00306388"/>
    <w:rsid w:val="00306D24"/>
    <w:rsid w:val="00311786"/>
    <w:rsid w:val="00314529"/>
    <w:rsid w:val="00320D36"/>
    <w:rsid w:val="003221E3"/>
    <w:rsid w:val="003304EA"/>
    <w:rsid w:val="00334AD4"/>
    <w:rsid w:val="00336372"/>
    <w:rsid w:val="00343054"/>
    <w:rsid w:val="003557EC"/>
    <w:rsid w:val="00367485"/>
    <w:rsid w:val="00381F96"/>
    <w:rsid w:val="0038458C"/>
    <w:rsid w:val="0038513F"/>
    <w:rsid w:val="00386187"/>
    <w:rsid w:val="0038665C"/>
    <w:rsid w:val="00393063"/>
    <w:rsid w:val="003A1178"/>
    <w:rsid w:val="003A2D3E"/>
    <w:rsid w:val="003B1033"/>
    <w:rsid w:val="003B159B"/>
    <w:rsid w:val="003B44D8"/>
    <w:rsid w:val="003C03C9"/>
    <w:rsid w:val="003C119A"/>
    <w:rsid w:val="003C549C"/>
    <w:rsid w:val="003D08E7"/>
    <w:rsid w:val="003D3FA5"/>
    <w:rsid w:val="003D4343"/>
    <w:rsid w:val="003D46D5"/>
    <w:rsid w:val="003E1AB7"/>
    <w:rsid w:val="003E266C"/>
    <w:rsid w:val="003E46D3"/>
    <w:rsid w:val="003E7AF4"/>
    <w:rsid w:val="003F3C79"/>
    <w:rsid w:val="00412AE2"/>
    <w:rsid w:val="004162F1"/>
    <w:rsid w:val="0042173D"/>
    <w:rsid w:val="0042260D"/>
    <w:rsid w:val="00427824"/>
    <w:rsid w:val="00430695"/>
    <w:rsid w:val="00430CF6"/>
    <w:rsid w:val="00437467"/>
    <w:rsid w:val="0044753D"/>
    <w:rsid w:val="004534E7"/>
    <w:rsid w:val="00477AF3"/>
    <w:rsid w:val="004845FA"/>
    <w:rsid w:val="00484629"/>
    <w:rsid w:val="004945FD"/>
    <w:rsid w:val="0049505E"/>
    <w:rsid w:val="004A454E"/>
    <w:rsid w:val="004A4C89"/>
    <w:rsid w:val="004A7F0A"/>
    <w:rsid w:val="004B5413"/>
    <w:rsid w:val="004D0B36"/>
    <w:rsid w:val="004D3A0D"/>
    <w:rsid w:val="004D6605"/>
    <w:rsid w:val="004E2E00"/>
    <w:rsid w:val="004F7853"/>
    <w:rsid w:val="005039B9"/>
    <w:rsid w:val="0051788F"/>
    <w:rsid w:val="005222CE"/>
    <w:rsid w:val="005254AF"/>
    <w:rsid w:val="00526268"/>
    <w:rsid w:val="00533EE7"/>
    <w:rsid w:val="00534706"/>
    <w:rsid w:val="00534B19"/>
    <w:rsid w:val="00540731"/>
    <w:rsid w:val="00546EE9"/>
    <w:rsid w:val="005470A4"/>
    <w:rsid w:val="00547D24"/>
    <w:rsid w:val="0055213F"/>
    <w:rsid w:val="0055707D"/>
    <w:rsid w:val="00560DB1"/>
    <w:rsid w:val="00564519"/>
    <w:rsid w:val="00565FD7"/>
    <w:rsid w:val="005671C3"/>
    <w:rsid w:val="0057119B"/>
    <w:rsid w:val="00572132"/>
    <w:rsid w:val="005759BE"/>
    <w:rsid w:val="00576AFC"/>
    <w:rsid w:val="005806AC"/>
    <w:rsid w:val="00581703"/>
    <w:rsid w:val="0059343B"/>
    <w:rsid w:val="005951C6"/>
    <w:rsid w:val="005A1700"/>
    <w:rsid w:val="005A3B2C"/>
    <w:rsid w:val="005B0253"/>
    <w:rsid w:val="005B1222"/>
    <w:rsid w:val="005B28C1"/>
    <w:rsid w:val="005B4BCB"/>
    <w:rsid w:val="005C4424"/>
    <w:rsid w:val="005D3B85"/>
    <w:rsid w:val="005D6090"/>
    <w:rsid w:val="005E1E6A"/>
    <w:rsid w:val="005E2BB8"/>
    <w:rsid w:val="005E7AB0"/>
    <w:rsid w:val="00603A55"/>
    <w:rsid w:val="0061346F"/>
    <w:rsid w:val="00620CF1"/>
    <w:rsid w:val="00622F0C"/>
    <w:rsid w:val="00623A7B"/>
    <w:rsid w:val="00626118"/>
    <w:rsid w:val="006318B6"/>
    <w:rsid w:val="006467E8"/>
    <w:rsid w:val="00647B3F"/>
    <w:rsid w:val="006513AC"/>
    <w:rsid w:val="0065146B"/>
    <w:rsid w:val="00656233"/>
    <w:rsid w:val="006620E2"/>
    <w:rsid w:val="00670923"/>
    <w:rsid w:val="006709A1"/>
    <w:rsid w:val="006719A3"/>
    <w:rsid w:val="006813EB"/>
    <w:rsid w:val="00681755"/>
    <w:rsid w:val="006917AD"/>
    <w:rsid w:val="0069190C"/>
    <w:rsid w:val="00692EA1"/>
    <w:rsid w:val="00694A05"/>
    <w:rsid w:val="006A73A6"/>
    <w:rsid w:val="006B139E"/>
    <w:rsid w:val="006B1CD3"/>
    <w:rsid w:val="006B4C51"/>
    <w:rsid w:val="006B65E1"/>
    <w:rsid w:val="006D2487"/>
    <w:rsid w:val="006D5231"/>
    <w:rsid w:val="006D5EED"/>
    <w:rsid w:val="006D6BE0"/>
    <w:rsid w:val="006E23B9"/>
    <w:rsid w:val="006E290B"/>
    <w:rsid w:val="006E39C1"/>
    <w:rsid w:val="006E3AF5"/>
    <w:rsid w:val="00703666"/>
    <w:rsid w:val="00705942"/>
    <w:rsid w:val="0070719D"/>
    <w:rsid w:val="0071154D"/>
    <w:rsid w:val="007121AE"/>
    <w:rsid w:val="00722A44"/>
    <w:rsid w:val="00751CC6"/>
    <w:rsid w:val="00753815"/>
    <w:rsid w:val="0075530A"/>
    <w:rsid w:val="00763B70"/>
    <w:rsid w:val="00764ADC"/>
    <w:rsid w:val="007659EE"/>
    <w:rsid w:val="00766A6B"/>
    <w:rsid w:val="007813BB"/>
    <w:rsid w:val="00782869"/>
    <w:rsid w:val="00785AAB"/>
    <w:rsid w:val="0078739A"/>
    <w:rsid w:val="0078792B"/>
    <w:rsid w:val="00790B13"/>
    <w:rsid w:val="007914C8"/>
    <w:rsid w:val="00793A4A"/>
    <w:rsid w:val="007A03B2"/>
    <w:rsid w:val="007A2E8D"/>
    <w:rsid w:val="007A3B6B"/>
    <w:rsid w:val="007C3D9E"/>
    <w:rsid w:val="007C4DBE"/>
    <w:rsid w:val="007D5378"/>
    <w:rsid w:val="007D5BC0"/>
    <w:rsid w:val="007D648B"/>
    <w:rsid w:val="007E094F"/>
    <w:rsid w:val="007E64DF"/>
    <w:rsid w:val="007F0FBF"/>
    <w:rsid w:val="007F76C7"/>
    <w:rsid w:val="00804BA3"/>
    <w:rsid w:val="00806EB0"/>
    <w:rsid w:val="0080725D"/>
    <w:rsid w:val="00824994"/>
    <w:rsid w:val="00825F15"/>
    <w:rsid w:val="00825F85"/>
    <w:rsid w:val="008336A9"/>
    <w:rsid w:val="00834F78"/>
    <w:rsid w:val="008358B9"/>
    <w:rsid w:val="0083760E"/>
    <w:rsid w:val="008426C3"/>
    <w:rsid w:val="00844DC1"/>
    <w:rsid w:val="00847C66"/>
    <w:rsid w:val="00854FE0"/>
    <w:rsid w:val="008621B9"/>
    <w:rsid w:val="00871189"/>
    <w:rsid w:val="008753AA"/>
    <w:rsid w:val="00876103"/>
    <w:rsid w:val="00880A98"/>
    <w:rsid w:val="00881196"/>
    <w:rsid w:val="00884539"/>
    <w:rsid w:val="008922A2"/>
    <w:rsid w:val="00892FBE"/>
    <w:rsid w:val="008A3C2E"/>
    <w:rsid w:val="008A7BDD"/>
    <w:rsid w:val="008B0C79"/>
    <w:rsid w:val="008D0535"/>
    <w:rsid w:val="008E0FB9"/>
    <w:rsid w:val="008F04E0"/>
    <w:rsid w:val="008F0934"/>
    <w:rsid w:val="00905A64"/>
    <w:rsid w:val="00916BFA"/>
    <w:rsid w:val="009221AC"/>
    <w:rsid w:val="00925725"/>
    <w:rsid w:val="00926EEE"/>
    <w:rsid w:val="00927CF8"/>
    <w:rsid w:val="00935355"/>
    <w:rsid w:val="00935FCD"/>
    <w:rsid w:val="00940E12"/>
    <w:rsid w:val="00952F6C"/>
    <w:rsid w:val="00954B22"/>
    <w:rsid w:val="00956A55"/>
    <w:rsid w:val="009579DE"/>
    <w:rsid w:val="00973192"/>
    <w:rsid w:val="00987F37"/>
    <w:rsid w:val="0099248E"/>
    <w:rsid w:val="009A5B36"/>
    <w:rsid w:val="009B1A59"/>
    <w:rsid w:val="009B2C6C"/>
    <w:rsid w:val="009B5048"/>
    <w:rsid w:val="009C0667"/>
    <w:rsid w:val="009C1D79"/>
    <w:rsid w:val="009C7454"/>
    <w:rsid w:val="009C7627"/>
    <w:rsid w:val="009D7804"/>
    <w:rsid w:val="009E03A0"/>
    <w:rsid w:val="009E0CE5"/>
    <w:rsid w:val="009F272F"/>
    <w:rsid w:val="009F3158"/>
    <w:rsid w:val="00A078FD"/>
    <w:rsid w:val="00A12715"/>
    <w:rsid w:val="00A244EC"/>
    <w:rsid w:val="00A2565D"/>
    <w:rsid w:val="00A31429"/>
    <w:rsid w:val="00A3387E"/>
    <w:rsid w:val="00A35EE0"/>
    <w:rsid w:val="00A370F8"/>
    <w:rsid w:val="00A4148A"/>
    <w:rsid w:val="00A46AE4"/>
    <w:rsid w:val="00A51629"/>
    <w:rsid w:val="00A5287A"/>
    <w:rsid w:val="00A64F2D"/>
    <w:rsid w:val="00A65CD7"/>
    <w:rsid w:val="00A74076"/>
    <w:rsid w:val="00A75C31"/>
    <w:rsid w:val="00A83BD4"/>
    <w:rsid w:val="00A86AA5"/>
    <w:rsid w:val="00A876FC"/>
    <w:rsid w:val="00A91142"/>
    <w:rsid w:val="00A96576"/>
    <w:rsid w:val="00AA4C95"/>
    <w:rsid w:val="00AB1D02"/>
    <w:rsid w:val="00AB2250"/>
    <w:rsid w:val="00AC3289"/>
    <w:rsid w:val="00AC7F5E"/>
    <w:rsid w:val="00AE5169"/>
    <w:rsid w:val="00AF02CA"/>
    <w:rsid w:val="00AF3114"/>
    <w:rsid w:val="00AF479A"/>
    <w:rsid w:val="00AF649D"/>
    <w:rsid w:val="00AF78C5"/>
    <w:rsid w:val="00B06AFB"/>
    <w:rsid w:val="00B0779D"/>
    <w:rsid w:val="00B07DCF"/>
    <w:rsid w:val="00B1389E"/>
    <w:rsid w:val="00B24B7A"/>
    <w:rsid w:val="00B2689B"/>
    <w:rsid w:val="00B31E8D"/>
    <w:rsid w:val="00B37BBD"/>
    <w:rsid w:val="00B41210"/>
    <w:rsid w:val="00B437CD"/>
    <w:rsid w:val="00B52925"/>
    <w:rsid w:val="00B52BF7"/>
    <w:rsid w:val="00B55039"/>
    <w:rsid w:val="00B57B3C"/>
    <w:rsid w:val="00B62226"/>
    <w:rsid w:val="00B63226"/>
    <w:rsid w:val="00B66220"/>
    <w:rsid w:val="00B72E14"/>
    <w:rsid w:val="00B7766E"/>
    <w:rsid w:val="00B82A72"/>
    <w:rsid w:val="00B92CE8"/>
    <w:rsid w:val="00BA1F51"/>
    <w:rsid w:val="00BA2AB4"/>
    <w:rsid w:val="00BA5414"/>
    <w:rsid w:val="00BA7DE5"/>
    <w:rsid w:val="00BA7EEA"/>
    <w:rsid w:val="00BB3622"/>
    <w:rsid w:val="00BD20A8"/>
    <w:rsid w:val="00BD30A9"/>
    <w:rsid w:val="00BE61A8"/>
    <w:rsid w:val="00BE6C7A"/>
    <w:rsid w:val="00BF278B"/>
    <w:rsid w:val="00C01FA4"/>
    <w:rsid w:val="00C100F7"/>
    <w:rsid w:val="00C117B2"/>
    <w:rsid w:val="00C12491"/>
    <w:rsid w:val="00C17E0C"/>
    <w:rsid w:val="00C31690"/>
    <w:rsid w:val="00C41CB1"/>
    <w:rsid w:val="00C42263"/>
    <w:rsid w:val="00C465F1"/>
    <w:rsid w:val="00C502EA"/>
    <w:rsid w:val="00C52CC0"/>
    <w:rsid w:val="00C635FB"/>
    <w:rsid w:val="00C67F37"/>
    <w:rsid w:val="00C70512"/>
    <w:rsid w:val="00C72D6B"/>
    <w:rsid w:val="00C74F37"/>
    <w:rsid w:val="00C829CD"/>
    <w:rsid w:val="00C915A6"/>
    <w:rsid w:val="00CA2A0E"/>
    <w:rsid w:val="00CB022D"/>
    <w:rsid w:val="00CB142A"/>
    <w:rsid w:val="00CC56BB"/>
    <w:rsid w:val="00CD0622"/>
    <w:rsid w:val="00CE4388"/>
    <w:rsid w:val="00CE6639"/>
    <w:rsid w:val="00CF440B"/>
    <w:rsid w:val="00CF4486"/>
    <w:rsid w:val="00D03280"/>
    <w:rsid w:val="00D068FC"/>
    <w:rsid w:val="00D14F95"/>
    <w:rsid w:val="00D15715"/>
    <w:rsid w:val="00D1675D"/>
    <w:rsid w:val="00D22F03"/>
    <w:rsid w:val="00D25B40"/>
    <w:rsid w:val="00D267C0"/>
    <w:rsid w:val="00D27E24"/>
    <w:rsid w:val="00D35EB2"/>
    <w:rsid w:val="00D36B37"/>
    <w:rsid w:val="00D40B7A"/>
    <w:rsid w:val="00D43C4B"/>
    <w:rsid w:val="00D51181"/>
    <w:rsid w:val="00D6245B"/>
    <w:rsid w:val="00D66434"/>
    <w:rsid w:val="00D71B8F"/>
    <w:rsid w:val="00D71C74"/>
    <w:rsid w:val="00D8130E"/>
    <w:rsid w:val="00D819A1"/>
    <w:rsid w:val="00D85D93"/>
    <w:rsid w:val="00D86678"/>
    <w:rsid w:val="00D92887"/>
    <w:rsid w:val="00D934A6"/>
    <w:rsid w:val="00D94B1D"/>
    <w:rsid w:val="00DA3A3E"/>
    <w:rsid w:val="00DB6AC3"/>
    <w:rsid w:val="00DB7C70"/>
    <w:rsid w:val="00DE21A0"/>
    <w:rsid w:val="00DE4A53"/>
    <w:rsid w:val="00DF2E6D"/>
    <w:rsid w:val="00DF58D8"/>
    <w:rsid w:val="00E009A6"/>
    <w:rsid w:val="00E009DB"/>
    <w:rsid w:val="00E03289"/>
    <w:rsid w:val="00E0514F"/>
    <w:rsid w:val="00E1164E"/>
    <w:rsid w:val="00E12A46"/>
    <w:rsid w:val="00E13A7C"/>
    <w:rsid w:val="00E153D3"/>
    <w:rsid w:val="00E202F4"/>
    <w:rsid w:val="00E2544B"/>
    <w:rsid w:val="00E2679A"/>
    <w:rsid w:val="00E34B91"/>
    <w:rsid w:val="00E3672C"/>
    <w:rsid w:val="00E45362"/>
    <w:rsid w:val="00E4647D"/>
    <w:rsid w:val="00E57644"/>
    <w:rsid w:val="00E62B7F"/>
    <w:rsid w:val="00E750F6"/>
    <w:rsid w:val="00E769C8"/>
    <w:rsid w:val="00E77B6B"/>
    <w:rsid w:val="00E90FE6"/>
    <w:rsid w:val="00E919F4"/>
    <w:rsid w:val="00E971D6"/>
    <w:rsid w:val="00EA0999"/>
    <w:rsid w:val="00EA26CF"/>
    <w:rsid w:val="00EA6709"/>
    <w:rsid w:val="00EC4454"/>
    <w:rsid w:val="00ED7B3C"/>
    <w:rsid w:val="00EE0047"/>
    <w:rsid w:val="00EE211D"/>
    <w:rsid w:val="00EE245B"/>
    <w:rsid w:val="00EE5ECB"/>
    <w:rsid w:val="00EF0CD0"/>
    <w:rsid w:val="00EF528F"/>
    <w:rsid w:val="00EF774B"/>
    <w:rsid w:val="00F00060"/>
    <w:rsid w:val="00F0240A"/>
    <w:rsid w:val="00F15B19"/>
    <w:rsid w:val="00F169F0"/>
    <w:rsid w:val="00F21B5D"/>
    <w:rsid w:val="00F277D5"/>
    <w:rsid w:val="00F40028"/>
    <w:rsid w:val="00F465C5"/>
    <w:rsid w:val="00F51099"/>
    <w:rsid w:val="00F5366D"/>
    <w:rsid w:val="00F55C71"/>
    <w:rsid w:val="00F603A0"/>
    <w:rsid w:val="00F608D3"/>
    <w:rsid w:val="00F667E5"/>
    <w:rsid w:val="00F77743"/>
    <w:rsid w:val="00F875D5"/>
    <w:rsid w:val="00F9066C"/>
    <w:rsid w:val="00F912D2"/>
    <w:rsid w:val="00F936EB"/>
    <w:rsid w:val="00F960CB"/>
    <w:rsid w:val="00FA7069"/>
    <w:rsid w:val="00FB15D0"/>
    <w:rsid w:val="00FB587D"/>
    <w:rsid w:val="00FB72FF"/>
    <w:rsid w:val="00FC3F1C"/>
    <w:rsid w:val="00FD2155"/>
    <w:rsid w:val="00FD5E00"/>
    <w:rsid w:val="00FD6A68"/>
    <w:rsid w:val="00FE056B"/>
    <w:rsid w:val="00FE3890"/>
    <w:rsid w:val="00FE4640"/>
    <w:rsid w:val="00FE6644"/>
    <w:rsid w:val="00FF1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2CBE1090"/>
  <w15:docId w15:val="{E1CF6300-B699-4EA7-BD74-9CE8334B3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link w:val="Heading5Char"/>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link w:val="FooterChar"/>
    <w:uiPriority w:val="99"/>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link w:val="FootnoteTextChar"/>
    <w:uiPriority w:val="99"/>
    <w:rPr>
      <w:sz w:val="20"/>
    </w:rPr>
  </w:style>
  <w:style w:type="character" w:styleId="FootnoteReference">
    <w:name w:val="footnote reference"/>
    <w:basedOn w:val="DefaultParagraphFont"/>
    <w:uiPriority w:val="99"/>
    <w:rPr>
      <w:vertAlign w:val="superscript"/>
    </w:rPr>
  </w:style>
  <w:style w:type="table" w:styleId="TableGrid">
    <w:name w:val="Table Grid"/>
    <w:basedOn w:val="TableNormal"/>
    <w:uiPriority w:val="3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uiPriority w:val="99"/>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uiPriority w:val="99"/>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character" w:customStyle="1" w:styleId="HeaderChar">
    <w:name w:val="Header Char"/>
    <w:link w:val="Header"/>
    <w:uiPriority w:val="99"/>
    <w:rsid w:val="00E62B7F"/>
    <w:rPr>
      <w:sz w:val="18"/>
    </w:rPr>
  </w:style>
  <w:style w:type="character" w:customStyle="1" w:styleId="FooterChar">
    <w:name w:val="Footer Char"/>
    <w:link w:val="Footer"/>
    <w:uiPriority w:val="99"/>
    <w:rsid w:val="00E62B7F"/>
  </w:style>
  <w:style w:type="character" w:customStyle="1" w:styleId="FootnoteTextChar">
    <w:name w:val="Footnote Text Char"/>
    <w:basedOn w:val="DefaultParagraphFont"/>
    <w:link w:val="FootnoteText"/>
    <w:uiPriority w:val="99"/>
    <w:rsid w:val="00E62B7F"/>
  </w:style>
  <w:style w:type="character" w:customStyle="1" w:styleId="Heading5Char">
    <w:name w:val="Heading 5 Char"/>
    <w:basedOn w:val="DefaultParagraphFont"/>
    <w:link w:val="Heading5"/>
    <w:rsid w:val="00B1389E"/>
    <w:rPr>
      <w:rFonts w:ascii="Courier New" w:hAnsi="Courier New"/>
      <w:b/>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notTrueType/>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455"/>
    <w:rsid w:val="00246455"/>
    <w:rsid w:val="006004E4"/>
    <w:rsid w:val="0065006C"/>
    <w:rsid w:val="00742054"/>
    <w:rsid w:val="007C12C9"/>
    <w:rsid w:val="008721E9"/>
    <w:rsid w:val="00974D86"/>
    <w:rsid w:val="00AB4C00"/>
    <w:rsid w:val="00C04008"/>
    <w:rsid w:val="00CB0415"/>
    <w:rsid w:val="00DD3016"/>
    <w:rsid w:val="00F22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2CB3E-643B-4CC0-9A1B-9DFFDEDE7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6</TotalTime>
  <Pages>9</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7</cp:revision>
  <cp:lastPrinted>2021-06-15T04:17:00Z</cp:lastPrinted>
  <dcterms:created xsi:type="dcterms:W3CDTF">2021-06-17T01:45:00Z</dcterms:created>
  <dcterms:modified xsi:type="dcterms:W3CDTF">2021-06-17T08:19:00Z</dcterms:modified>
</cp:coreProperties>
</file>