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0B8" w:rsidRPr="00EB7876" w:rsidRDefault="00F26B60" w:rsidP="00EB7876">
      <w:pPr>
        <w:pStyle w:val="Heading2"/>
        <w:tabs>
          <w:tab w:val="clear" w:pos="4320"/>
          <w:tab w:val="clear" w:pos="9072"/>
        </w:tabs>
        <w:snapToGrid w:val="0"/>
        <w:spacing w:line="360" w:lineRule="auto"/>
        <w:jc w:val="right"/>
        <w:rPr>
          <w:rFonts w:eastAsia="PMingLiU"/>
          <w:sz w:val="28"/>
          <w:szCs w:val="28"/>
        </w:rPr>
      </w:pPr>
      <w:r w:rsidRPr="00EB7876">
        <w:rPr>
          <w:rFonts w:eastAsia="PMingLiU"/>
          <w:b w:val="0"/>
          <w:bCs w:val="0"/>
          <w:sz w:val="28"/>
          <w:szCs w:val="28"/>
        </w:rPr>
        <w:t>DC</w:t>
      </w:r>
      <w:r w:rsidR="00341E9D">
        <w:rPr>
          <w:rFonts w:eastAsia="PMingLiU"/>
          <w:b w:val="0"/>
          <w:bCs w:val="0"/>
          <w:sz w:val="28"/>
          <w:szCs w:val="28"/>
        </w:rPr>
        <w:t>PI</w:t>
      </w:r>
      <w:r w:rsidRPr="00EB7876">
        <w:rPr>
          <w:rFonts w:eastAsia="PMingLiU"/>
          <w:b w:val="0"/>
          <w:bCs w:val="0"/>
          <w:sz w:val="28"/>
          <w:szCs w:val="28"/>
        </w:rPr>
        <w:t xml:space="preserve"> </w:t>
      </w:r>
      <w:r w:rsidR="00341E9D">
        <w:rPr>
          <w:rFonts w:eastAsia="PMingLiU"/>
          <w:b w:val="0"/>
          <w:bCs w:val="0"/>
          <w:sz w:val="28"/>
          <w:szCs w:val="28"/>
        </w:rPr>
        <w:t>2318</w:t>
      </w:r>
      <w:r w:rsidR="005C128A" w:rsidRPr="00EB7876">
        <w:rPr>
          <w:rFonts w:eastAsia="PMingLiU"/>
          <w:b w:val="0"/>
          <w:bCs w:val="0"/>
          <w:sz w:val="28"/>
          <w:szCs w:val="28"/>
        </w:rPr>
        <w:t>/201</w:t>
      </w:r>
      <w:r w:rsidR="00341E9D">
        <w:rPr>
          <w:rFonts w:eastAsia="PMingLiU"/>
          <w:b w:val="0"/>
          <w:bCs w:val="0"/>
          <w:sz w:val="28"/>
          <w:szCs w:val="28"/>
        </w:rPr>
        <w:t>7</w:t>
      </w:r>
    </w:p>
    <w:p w:rsidR="00A463F6" w:rsidRPr="00EB7876" w:rsidRDefault="004D3B04" w:rsidP="00EB7876">
      <w:pPr>
        <w:spacing w:line="360" w:lineRule="auto"/>
        <w:jc w:val="right"/>
        <w:rPr>
          <w:rFonts w:eastAsia="PMingLiU"/>
        </w:rPr>
      </w:pPr>
      <w:r>
        <w:rPr>
          <w:rStyle w:val="PlaceholderText"/>
          <w:rFonts w:eastAsia="PMingLiU"/>
          <w:color w:val="auto"/>
        </w:rPr>
        <w:t xml:space="preserve">[2021] HKDC </w:t>
      </w:r>
      <w:r w:rsidR="00BA07CC">
        <w:rPr>
          <w:rStyle w:val="PlaceholderText"/>
          <w:rFonts w:eastAsia="PMingLiU"/>
          <w:color w:val="auto"/>
        </w:rPr>
        <w:t>281</w:t>
      </w:r>
    </w:p>
    <w:p w:rsidR="00F26B60" w:rsidRPr="00EB7876" w:rsidRDefault="00F26B60" w:rsidP="00EB7876">
      <w:pPr>
        <w:pStyle w:val="normal3"/>
        <w:tabs>
          <w:tab w:val="clear" w:pos="4320"/>
          <w:tab w:val="clear" w:pos="4500"/>
          <w:tab w:val="clear" w:pos="9000"/>
          <w:tab w:val="clear" w:pos="9072"/>
        </w:tabs>
        <w:overflowPunct/>
        <w:autoSpaceDE/>
        <w:autoSpaceDN/>
        <w:rPr>
          <w:rFonts w:eastAsia="PMingLiU"/>
          <w:lang w:val="en-US"/>
        </w:rPr>
      </w:pPr>
    </w:p>
    <w:p w:rsidR="005E4F81" w:rsidRPr="00EB7876" w:rsidRDefault="005E4F81" w:rsidP="00EB7876">
      <w:pPr>
        <w:pStyle w:val="normal3"/>
        <w:tabs>
          <w:tab w:val="clear" w:pos="4320"/>
          <w:tab w:val="clear" w:pos="4500"/>
          <w:tab w:val="clear" w:pos="9000"/>
          <w:tab w:val="clear" w:pos="9072"/>
        </w:tabs>
        <w:overflowPunct/>
        <w:autoSpaceDE/>
        <w:autoSpaceDN/>
        <w:rPr>
          <w:rFonts w:eastAsia="PMingLiU"/>
          <w:lang w:val="en-US"/>
        </w:rPr>
        <w:sectPr w:rsidR="005E4F81" w:rsidRPr="00EB7876"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EB7876" w:rsidRDefault="00F26B60" w:rsidP="00EB7876">
      <w:pPr>
        <w:tabs>
          <w:tab w:val="clear" w:pos="4320"/>
          <w:tab w:val="clear" w:pos="9072"/>
        </w:tabs>
        <w:spacing w:line="360" w:lineRule="auto"/>
        <w:jc w:val="center"/>
        <w:rPr>
          <w:rFonts w:eastAsia="PMingLiU"/>
          <w:b/>
        </w:rPr>
      </w:pPr>
      <w:r w:rsidRPr="00EB7876">
        <w:rPr>
          <w:rFonts w:eastAsia="PMingLiU"/>
          <w:b/>
        </w:rPr>
        <w:t>IN THE DISTRICT COURT OF THE</w:t>
      </w:r>
    </w:p>
    <w:p w:rsidR="00F26B60" w:rsidRPr="00EB7876" w:rsidRDefault="00F26B60" w:rsidP="00EB7876">
      <w:pPr>
        <w:pStyle w:val="Heading1"/>
        <w:snapToGrid w:val="0"/>
        <w:spacing w:before="0" w:after="0" w:line="360" w:lineRule="auto"/>
        <w:jc w:val="center"/>
        <w:rPr>
          <w:rFonts w:ascii="Times New Roman" w:eastAsia="PMingLiU" w:hAnsi="Times New Roman"/>
        </w:rPr>
      </w:pPr>
      <w:r w:rsidRPr="00EB7876">
        <w:rPr>
          <w:rFonts w:ascii="Times New Roman" w:eastAsia="PMingLiU" w:hAnsi="Times New Roman"/>
        </w:rPr>
        <w:t>HONG KONG SPECIAL ADMINISTRATIVE REGION</w:t>
      </w:r>
    </w:p>
    <w:p w:rsidR="00F26B60" w:rsidRPr="00EB7876" w:rsidRDefault="00341E9D" w:rsidP="00EB7876">
      <w:pPr>
        <w:tabs>
          <w:tab w:val="clear" w:pos="4320"/>
          <w:tab w:val="clear" w:pos="9072"/>
        </w:tabs>
        <w:spacing w:line="360" w:lineRule="auto"/>
        <w:jc w:val="center"/>
        <w:rPr>
          <w:rFonts w:eastAsia="PMingLiU"/>
        </w:rPr>
      </w:pPr>
      <w:r>
        <w:rPr>
          <w:rFonts w:eastAsia="PMingLiU"/>
        </w:rPr>
        <w:t>PERSONAL INJURIES</w:t>
      </w:r>
      <w:r w:rsidR="004D3B04">
        <w:rPr>
          <w:rFonts w:eastAsia="PMingLiU"/>
        </w:rPr>
        <w:t xml:space="preserve"> ACTION</w:t>
      </w:r>
      <w:r w:rsidR="00A364E5" w:rsidRPr="00EB7876">
        <w:rPr>
          <w:rFonts w:eastAsia="PMingLiU"/>
        </w:rPr>
        <w:t xml:space="preserve"> NO</w:t>
      </w:r>
      <w:r w:rsidR="004D3B04">
        <w:rPr>
          <w:rFonts w:eastAsia="PMingLiU"/>
        </w:rPr>
        <w:t>.</w:t>
      </w:r>
      <w:r w:rsidR="00A364E5" w:rsidRPr="00EB7876">
        <w:rPr>
          <w:rFonts w:eastAsia="PMingLiU"/>
        </w:rPr>
        <w:t xml:space="preserve"> </w:t>
      </w:r>
      <w:r>
        <w:rPr>
          <w:rFonts w:eastAsia="PMingLiU"/>
        </w:rPr>
        <w:t>2318</w:t>
      </w:r>
      <w:r w:rsidR="00F26B60" w:rsidRPr="00EB7876">
        <w:rPr>
          <w:rFonts w:eastAsia="PMingLiU"/>
        </w:rPr>
        <w:t xml:space="preserve"> OF 20</w:t>
      </w:r>
      <w:r w:rsidR="005E4F81" w:rsidRPr="00EB7876">
        <w:rPr>
          <w:rFonts w:eastAsia="PMingLiU"/>
        </w:rPr>
        <w:t>1</w:t>
      </w:r>
      <w:r>
        <w:rPr>
          <w:rFonts w:eastAsia="PMingLiU"/>
          <w:lang w:eastAsia="zh-TW"/>
        </w:rPr>
        <w:t>7</w:t>
      </w:r>
    </w:p>
    <w:p w:rsidR="00804802" w:rsidRPr="00EB7876" w:rsidRDefault="00804802" w:rsidP="00EB7876">
      <w:pPr>
        <w:tabs>
          <w:tab w:val="clear" w:pos="1440"/>
          <w:tab w:val="clear" w:pos="4320"/>
          <w:tab w:val="clear" w:pos="9072"/>
        </w:tabs>
        <w:spacing w:line="360" w:lineRule="auto"/>
        <w:ind w:left="4140"/>
        <w:jc w:val="both"/>
        <w:rPr>
          <w:rFonts w:eastAsia="PMingLiU"/>
        </w:rPr>
      </w:pPr>
    </w:p>
    <w:p w:rsidR="00F26626" w:rsidRPr="00EB7876" w:rsidRDefault="00F26626" w:rsidP="00EB7876">
      <w:pPr>
        <w:tabs>
          <w:tab w:val="clear" w:pos="4320"/>
          <w:tab w:val="clear" w:pos="9072"/>
        </w:tabs>
        <w:spacing w:line="360" w:lineRule="auto"/>
        <w:jc w:val="center"/>
        <w:rPr>
          <w:rFonts w:eastAsia="PMingLiU"/>
        </w:rPr>
      </w:pPr>
      <w:r w:rsidRPr="00EB7876">
        <w:rPr>
          <w:rFonts w:eastAsia="PMingLiU"/>
        </w:rPr>
        <w:t>-------------------------</w:t>
      </w:r>
      <w:r w:rsidR="00257912" w:rsidRPr="00EB7876">
        <w:rPr>
          <w:rFonts w:eastAsia="PMingLiU"/>
        </w:rPr>
        <w:t>-</w:t>
      </w:r>
    </w:p>
    <w:p w:rsidR="004942AE" w:rsidRPr="00EB7876" w:rsidRDefault="004942AE" w:rsidP="008201D8">
      <w:pPr>
        <w:spacing w:line="360" w:lineRule="auto"/>
        <w:rPr>
          <w:rFonts w:eastAsia="PMingLiU"/>
          <w:bCs/>
          <w:lang w:val="en-GB"/>
        </w:rPr>
      </w:pPr>
      <w:r w:rsidRPr="00EB7876">
        <w:rPr>
          <w:rFonts w:eastAsia="PMingLiU"/>
          <w:bCs/>
          <w:lang w:val="en-GB"/>
        </w:rPr>
        <w:t>BETWEEN</w:t>
      </w:r>
    </w:p>
    <w:p w:rsidR="004942AE" w:rsidRPr="00EB7876" w:rsidRDefault="00A364E5" w:rsidP="00341E9D">
      <w:pPr>
        <w:tabs>
          <w:tab w:val="clear" w:pos="9072"/>
          <w:tab w:val="right" w:pos="8280"/>
        </w:tabs>
        <w:spacing w:line="360" w:lineRule="auto"/>
        <w:rPr>
          <w:rFonts w:eastAsia="PMingLiU"/>
        </w:rPr>
      </w:pPr>
      <w:r w:rsidRPr="00EB7876">
        <w:rPr>
          <w:rFonts w:eastAsia="PMingLiU"/>
        </w:rPr>
        <w:tab/>
      </w:r>
      <w:r w:rsidR="00341E9D">
        <w:rPr>
          <w:rFonts w:eastAsia="PMingLiU"/>
        </w:rPr>
        <w:tab/>
        <w:t>WONG KWEI PIU</w:t>
      </w:r>
      <w:r w:rsidR="00341E9D">
        <w:rPr>
          <w:rFonts w:eastAsia="PMingLiU"/>
        </w:rPr>
        <w:tab/>
      </w:r>
      <w:r w:rsidR="004D3B04">
        <w:rPr>
          <w:rFonts w:eastAsia="PMingLiU"/>
        </w:rPr>
        <w:t>Plaintiff</w:t>
      </w:r>
    </w:p>
    <w:p w:rsidR="004942AE" w:rsidRPr="00EB7876" w:rsidRDefault="004942AE" w:rsidP="00CF5870">
      <w:pPr>
        <w:tabs>
          <w:tab w:val="clear" w:pos="9072"/>
          <w:tab w:val="right" w:pos="8280"/>
        </w:tabs>
        <w:spacing w:line="360" w:lineRule="auto"/>
        <w:jc w:val="center"/>
        <w:rPr>
          <w:rFonts w:eastAsia="PMingLiU"/>
          <w:bCs/>
          <w:lang w:val="en-GB"/>
        </w:rPr>
      </w:pPr>
      <w:r w:rsidRPr="00EB7876">
        <w:rPr>
          <w:rFonts w:eastAsia="PMingLiU"/>
          <w:bCs/>
          <w:lang w:val="en-GB"/>
        </w:rPr>
        <w:t>and</w:t>
      </w:r>
    </w:p>
    <w:p w:rsidR="00341E9D" w:rsidRDefault="00341E9D" w:rsidP="00341E9D">
      <w:pPr>
        <w:tabs>
          <w:tab w:val="clear" w:pos="9072"/>
          <w:tab w:val="right" w:pos="8280"/>
        </w:tabs>
        <w:ind w:left="1440"/>
        <w:rPr>
          <w:bCs/>
          <w:szCs w:val="24"/>
          <w:lang w:val="en-GB"/>
        </w:rPr>
      </w:pPr>
      <w:r>
        <w:rPr>
          <w:bCs/>
          <w:szCs w:val="24"/>
          <w:lang w:val="en-GB"/>
        </w:rPr>
        <w:tab/>
        <w:t xml:space="preserve">CHOW CHI CHEUNG </w:t>
      </w:r>
    </w:p>
    <w:p w:rsidR="00141BB5" w:rsidRPr="00EB7876" w:rsidRDefault="00341E9D" w:rsidP="00341E9D">
      <w:pPr>
        <w:tabs>
          <w:tab w:val="clear" w:pos="9072"/>
          <w:tab w:val="right" w:pos="8280"/>
        </w:tabs>
        <w:ind w:left="1440"/>
        <w:rPr>
          <w:rFonts w:eastAsia="PMingLiU"/>
          <w:bCs/>
          <w:lang w:val="en-GB"/>
        </w:rPr>
      </w:pPr>
      <w:r>
        <w:rPr>
          <w:bCs/>
          <w:szCs w:val="24"/>
          <w:lang w:val="en-GB"/>
        </w:rPr>
        <w:tab/>
        <w:t>trading as SUN LEE CO.</w:t>
      </w:r>
      <w:r w:rsidR="00A364E5" w:rsidRPr="00EB7876">
        <w:rPr>
          <w:rFonts w:eastAsia="PMingLiU"/>
          <w:bCs/>
          <w:lang w:val="en-GB"/>
        </w:rPr>
        <w:t xml:space="preserve"> </w:t>
      </w:r>
      <w:r>
        <w:rPr>
          <w:rFonts w:eastAsia="PMingLiU"/>
          <w:bCs/>
          <w:lang w:val="en-GB"/>
        </w:rPr>
        <w:tab/>
      </w:r>
      <w:r w:rsidR="004D3B04">
        <w:rPr>
          <w:rFonts w:eastAsia="PMingLiU"/>
          <w:bCs/>
          <w:lang w:val="en-GB"/>
        </w:rPr>
        <w:t>Defen</w:t>
      </w:r>
      <w:r w:rsidR="004942AE" w:rsidRPr="00EB7876">
        <w:rPr>
          <w:rFonts w:eastAsia="PMingLiU"/>
          <w:bCs/>
          <w:lang w:val="en-GB"/>
        </w:rPr>
        <w:t>d</w:t>
      </w:r>
      <w:r w:rsidR="004D3B04">
        <w:rPr>
          <w:rFonts w:eastAsia="PMingLiU"/>
          <w:bCs/>
          <w:lang w:val="en-GB"/>
        </w:rPr>
        <w:t>a</w:t>
      </w:r>
      <w:r w:rsidR="004942AE" w:rsidRPr="00EB7876">
        <w:rPr>
          <w:rFonts w:eastAsia="PMingLiU"/>
          <w:bCs/>
          <w:lang w:val="en-GB"/>
        </w:rPr>
        <w:t>nt</w:t>
      </w:r>
    </w:p>
    <w:p w:rsidR="004D3B04" w:rsidRPr="004D3B04" w:rsidRDefault="004D3B04" w:rsidP="004D3B04">
      <w:pPr>
        <w:tabs>
          <w:tab w:val="clear" w:pos="4320"/>
          <w:tab w:val="clear" w:pos="9072"/>
          <w:tab w:val="right" w:pos="8280"/>
        </w:tabs>
        <w:ind w:left="1440"/>
        <w:rPr>
          <w:bCs/>
          <w:szCs w:val="24"/>
          <w:lang w:val="en-GB"/>
        </w:rPr>
      </w:pPr>
    </w:p>
    <w:p w:rsidR="005E4F81" w:rsidRPr="00EB7876" w:rsidRDefault="005E4F81" w:rsidP="008201D8">
      <w:pPr>
        <w:tabs>
          <w:tab w:val="clear" w:pos="1440"/>
          <w:tab w:val="clear" w:pos="4320"/>
          <w:tab w:val="clear" w:pos="9072"/>
          <w:tab w:val="center" w:pos="4140"/>
          <w:tab w:val="right" w:pos="8280"/>
        </w:tabs>
        <w:spacing w:line="360" w:lineRule="auto"/>
        <w:jc w:val="center"/>
        <w:rPr>
          <w:rFonts w:eastAsia="PMingLiU"/>
        </w:rPr>
      </w:pPr>
      <w:r w:rsidRPr="00EB7876">
        <w:rPr>
          <w:rFonts w:eastAsia="PMingLiU"/>
        </w:rPr>
        <w:t>-------------------------</w:t>
      </w:r>
    </w:p>
    <w:p w:rsidR="00CF5870" w:rsidRPr="00CF5870" w:rsidRDefault="00CF5870" w:rsidP="008201D8">
      <w:pPr>
        <w:spacing w:line="360" w:lineRule="auto"/>
        <w:jc w:val="both"/>
        <w:rPr>
          <w:rFonts w:eastAsia="PMingLiU"/>
        </w:rPr>
      </w:pPr>
    </w:p>
    <w:p w:rsidR="00CF5870" w:rsidRPr="00CF5870" w:rsidRDefault="00B71E00" w:rsidP="008201D8">
      <w:pPr>
        <w:spacing w:line="360" w:lineRule="auto"/>
        <w:jc w:val="both"/>
        <w:rPr>
          <w:rFonts w:eastAsia="PMingLiU"/>
        </w:rPr>
      </w:pPr>
      <w:r>
        <w:rPr>
          <w:rFonts w:eastAsia="PMingLiU"/>
        </w:rPr>
        <w:t>Coram</w:t>
      </w:r>
      <w:r w:rsidR="00CF5870" w:rsidRPr="00CF5870">
        <w:rPr>
          <w:rFonts w:eastAsia="PMingLiU"/>
        </w:rPr>
        <w:t>:</w:t>
      </w:r>
      <w:r w:rsidR="008201D8">
        <w:rPr>
          <w:rFonts w:eastAsia="PMingLiU"/>
        </w:rPr>
        <w:t xml:space="preserve">  </w:t>
      </w:r>
      <w:r w:rsidR="00CF5870" w:rsidRPr="00CF5870">
        <w:rPr>
          <w:rFonts w:eastAsia="PMingLiU"/>
        </w:rPr>
        <w:t>His Honour Judge H</w:t>
      </w:r>
      <w:r w:rsidR="00553904">
        <w:rPr>
          <w:rFonts w:eastAsia="PMingLiU"/>
        </w:rPr>
        <w:t>.</w:t>
      </w:r>
      <w:r w:rsidR="005A3DFC">
        <w:rPr>
          <w:rFonts w:eastAsia="PMingLiU"/>
        </w:rPr>
        <w:t xml:space="preserve"> Au-Yeung (Paper Disposal)</w:t>
      </w:r>
    </w:p>
    <w:p w:rsidR="00CF5870" w:rsidRDefault="00CF5870" w:rsidP="008201D8">
      <w:pPr>
        <w:spacing w:line="360" w:lineRule="auto"/>
        <w:jc w:val="both"/>
        <w:rPr>
          <w:rFonts w:eastAsia="PMingLiU"/>
        </w:rPr>
      </w:pPr>
      <w:r w:rsidRPr="00CF5870">
        <w:rPr>
          <w:rFonts w:eastAsia="PMingLiU"/>
        </w:rPr>
        <w:t>Date</w:t>
      </w:r>
      <w:r w:rsidRPr="00CF5870">
        <w:rPr>
          <w:rFonts w:eastAsia="PMingLiU" w:hint="eastAsia"/>
        </w:rPr>
        <w:t xml:space="preserve"> of </w:t>
      </w:r>
      <w:r w:rsidR="00341E9D">
        <w:rPr>
          <w:rFonts w:eastAsia="PMingLiU"/>
        </w:rPr>
        <w:t>the Plaintiff’s Submissions:</w:t>
      </w:r>
      <w:r w:rsidRPr="00CF5870">
        <w:rPr>
          <w:rFonts w:eastAsia="PMingLiU"/>
        </w:rPr>
        <w:t xml:space="preserve"> </w:t>
      </w:r>
      <w:r w:rsidR="005A3DFC">
        <w:rPr>
          <w:rFonts w:eastAsia="PMingLiU"/>
        </w:rPr>
        <w:t>1</w:t>
      </w:r>
      <w:r w:rsidR="000053DE">
        <w:rPr>
          <w:rFonts w:eastAsia="PMingLiU"/>
        </w:rPr>
        <w:t>9</w:t>
      </w:r>
      <w:r w:rsidRPr="00CF5870">
        <w:rPr>
          <w:rFonts w:eastAsia="PMingLiU"/>
        </w:rPr>
        <w:t xml:space="preserve"> </w:t>
      </w:r>
      <w:r w:rsidR="00341E9D">
        <w:rPr>
          <w:rFonts w:eastAsia="PMingLiU"/>
        </w:rPr>
        <w:t>January 2021</w:t>
      </w:r>
    </w:p>
    <w:p w:rsidR="00341E9D" w:rsidRDefault="00341E9D" w:rsidP="008201D8">
      <w:pPr>
        <w:spacing w:line="360" w:lineRule="auto"/>
        <w:jc w:val="both"/>
        <w:rPr>
          <w:rFonts w:eastAsia="PMingLiU"/>
        </w:rPr>
      </w:pPr>
      <w:r>
        <w:rPr>
          <w:rFonts w:eastAsia="PMingLiU"/>
        </w:rPr>
        <w:t>Date of the Defendant’s Submissions: 22 January 2021</w:t>
      </w:r>
    </w:p>
    <w:p w:rsidR="00341E9D" w:rsidRDefault="00341E9D" w:rsidP="008201D8">
      <w:pPr>
        <w:spacing w:line="360" w:lineRule="auto"/>
        <w:jc w:val="both"/>
        <w:rPr>
          <w:rFonts w:eastAsia="PMingLiU"/>
        </w:rPr>
      </w:pPr>
      <w:r>
        <w:rPr>
          <w:rFonts w:eastAsia="PMingLiU"/>
        </w:rPr>
        <w:t>Date of the Plaintiff’s Submissions in reply: 26 January 2021</w:t>
      </w:r>
    </w:p>
    <w:p w:rsidR="002D0F19" w:rsidRDefault="002D0F19" w:rsidP="002D0F19">
      <w:pPr>
        <w:spacing w:line="360" w:lineRule="auto"/>
        <w:jc w:val="both"/>
        <w:rPr>
          <w:rFonts w:eastAsia="PMingLiU"/>
        </w:rPr>
      </w:pPr>
      <w:r>
        <w:rPr>
          <w:rFonts w:eastAsia="PMingLiU"/>
        </w:rPr>
        <w:t>Date of the Defendant’s Supplemental Submissions: 22 February 2021</w:t>
      </w:r>
    </w:p>
    <w:p w:rsidR="00341E9D" w:rsidRPr="00CF5870" w:rsidRDefault="002D0F19" w:rsidP="002D0F19">
      <w:pPr>
        <w:spacing w:line="360" w:lineRule="auto"/>
        <w:jc w:val="both"/>
        <w:rPr>
          <w:rFonts w:eastAsia="PMingLiU"/>
        </w:rPr>
      </w:pPr>
      <w:r>
        <w:rPr>
          <w:rFonts w:eastAsia="PMingLiU"/>
        </w:rPr>
        <w:t>Date of the Pl</w:t>
      </w:r>
      <w:r w:rsidR="008A5FA5">
        <w:rPr>
          <w:rFonts w:eastAsia="PMingLiU"/>
        </w:rPr>
        <w:t xml:space="preserve">aintiff’s </w:t>
      </w:r>
      <w:r w:rsidR="00865BE4">
        <w:rPr>
          <w:rFonts w:eastAsia="PMingLiU"/>
        </w:rPr>
        <w:t>2</w:t>
      </w:r>
      <w:r w:rsidR="00865BE4" w:rsidRPr="00865BE4">
        <w:rPr>
          <w:rFonts w:eastAsia="PMingLiU"/>
          <w:vertAlign w:val="superscript"/>
        </w:rPr>
        <w:t>nd</w:t>
      </w:r>
      <w:r w:rsidR="00865BE4">
        <w:rPr>
          <w:rFonts w:eastAsia="PMingLiU"/>
        </w:rPr>
        <w:t xml:space="preserve"> </w:t>
      </w:r>
      <w:r w:rsidR="008A5FA5">
        <w:rPr>
          <w:rFonts w:eastAsia="PMingLiU"/>
        </w:rPr>
        <w:t xml:space="preserve">Submissions in reply: </w:t>
      </w:r>
      <w:r>
        <w:rPr>
          <w:rFonts w:eastAsia="PMingLiU"/>
        </w:rPr>
        <w:t>2</w:t>
      </w:r>
      <w:r w:rsidR="000053DE">
        <w:rPr>
          <w:rFonts w:eastAsia="PMingLiU"/>
        </w:rPr>
        <w:t>4</w:t>
      </w:r>
      <w:r w:rsidR="00BB6020">
        <w:rPr>
          <w:rFonts w:eastAsia="PMingLiU"/>
        </w:rPr>
        <w:t xml:space="preserve"> February</w:t>
      </w:r>
      <w:r>
        <w:rPr>
          <w:rFonts w:eastAsia="PMingLiU"/>
        </w:rPr>
        <w:t xml:space="preserve"> 2021</w:t>
      </w:r>
    </w:p>
    <w:p w:rsidR="00CF5870" w:rsidRPr="00CF5870" w:rsidRDefault="00CF5870" w:rsidP="008201D8">
      <w:pPr>
        <w:spacing w:line="360" w:lineRule="auto"/>
        <w:jc w:val="both"/>
        <w:rPr>
          <w:rFonts w:eastAsia="PMingLiU"/>
        </w:rPr>
      </w:pPr>
      <w:r w:rsidRPr="00CF5870">
        <w:rPr>
          <w:rFonts w:eastAsia="PMingLiU"/>
        </w:rPr>
        <w:t>Date</w:t>
      </w:r>
      <w:r w:rsidRPr="00CF5870">
        <w:rPr>
          <w:rFonts w:eastAsia="PMingLiU" w:hint="eastAsia"/>
        </w:rPr>
        <w:t xml:space="preserve"> of</w:t>
      </w:r>
      <w:r w:rsidR="00341E9D">
        <w:rPr>
          <w:rFonts w:eastAsia="PMingLiU"/>
        </w:rPr>
        <w:t xml:space="preserve"> Decision</w:t>
      </w:r>
      <w:r w:rsidRPr="00CF5870">
        <w:rPr>
          <w:rFonts w:eastAsia="PMingLiU"/>
        </w:rPr>
        <w:t>:</w:t>
      </w:r>
      <w:r w:rsidR="00B71E00">
        <w:rPr>
          <w:rFonts w:eastAsia="PMingLiU"/>
        </w:rPr>
        <w:t xml:space="preserve">  4 </w:t>
      </w:r>
      <w:r w:rsidR="008A5FA5">
        <w:rPr>
          <w:rFonts w:eastAsia="PMingLiU"/>
        </w:rPr>
        <w:t>March</w:t>
      </w:r>
      <w:r w:rsidR="00341E9D">
        <w:rPr>
          <w:rFonts w:eastAsia="PMingLiU"/>
        </w:rPr>
        <w:t xml:space="preserve"> </w:t>
      </w:r>
      <w:r w:rsidR="005A3DFC">
        <w:rPr>
          <w:rFonts w:eastAsia="PMingLiU"/>
        </w:rPr>
        <w:t>2021</w:t>
      </w:r>
    </w:p>
    <w:p w:rsidR="00A14B3D" w:rsidRPr="00EB7876" w:rsidRDefault="00A14B3D" w:rsidP="00EB7876">
      <w:pPr>
        <w:spacing w:line="360" w:lineRule="auto"/>
        <w:rPr>
          <w:rFonts w:eastAsia="PMingLiU"/>
          <w:lang w:val="en-GB"/>
        </w:rPr>
      </w:pP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5C128A" w:rsidRPr="00EB7876" w:rsidRDefault="005A3DFC" w:rsidP="00EB7876">
      <w:pPr>
        <w:tabs>
          <w:tab w:val="clear" w:pos="1440"/>
          <w:tab w:val="clear" w:pos="4320"/>
          <w:tab w:val="clear" w:pos="9072"/>
        </w:tabs>
        <w:spacing w:line="360" w:lineRule="auto"/>
        <w:jc w:val="center"/>
        <w:rPr>
          <w:rFonts w:eastAsia="PMingLiU"/>
          <w:bCs/>
          <w:lang w:val="en-GB"/>
        </w:rPr>
      </w:pPr>
      <w:r>
        <w:rPr>
          <w:rFonts w:eastAsia="PMingLiU"/>
          <w:bCs/>
          <w:lang w:val="en-GB"/>
        </w:rPr>
        <w:t>DECISIO</w:t>
      </w:r>
      <w:r w:rsidR="00A14B3D" w:rsidRPr="00EB7876">
        <w:rPr>
          <w:rFonts w:eastAsia="PMingLiU"/>
          <w:bCs/>
          <w:lang w:val="en-GB"/>
        </w:rPr>
        <w:t>N</w:t>
      </w: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8201D8" w:rsidRDefault="008201D8" w:rsidP="008201D8">
      <w:pPr>
        <w:tabs>
          <w:tab w:val="clear" w:pos="1440"/>
          <w:tab w:val="clear" w:pos="4320"/>
          <w:tab w:val="clear" w:pos="9072"/>
        </w:tabs>
        <w:snapToGrid/>
        <w:spacing w:line="360" w:lineRule="auto"/>
        <w:rPr>
          <w:bCs/>
          <w:i/>
          <w:lang w:val="en-GB"/>
        </w:rPr>
      </w:pPr>
    </w:p>
    <w:p w:rsidR="008201D8" w:rsidRDefault="00C47535" w:rsidP="00923B7C">
      <w:pPr>
        <w:keepNext/>
        <w:keepLines/>
        <w:widowControl w:val="0"/>
        <w:tabs>
          <w:tab w:val="clear" w:pos="1440"/>
          <w:tab w:val="clear" w:pos="4320"/>
          <w:tab w:val="clear" w:pos="9072"/>
        </w:tabs>
        <w:snapToGrid/>
        <w:spacing w:line="360" w:lineRule="auto"/>
        <w:rPr>
          <w:bCs/>
          <w:i/>
          <w:lang w:val="en-GB"/>
        </w:rPr>
      </w:pPr>
      <w:r>
        <w:rPr>
          <w:bCs/>
          <w:i/>
          <w:lang w:val="en-GB"/>
        </w:rPr>
        <w:lastRenderedPageBreak/>
        <w:t>THE APPLICATIONS</w:t>
      </w:r>
    </w:p>
    <w:p w:rsidR="008201D8" w:rsidRPr="008201D8" w:rsidRDefault="008201D8" w:rsidP="00923B7C">
      <w:pPr>
        <w:keepNext/>
        <w:keepLines/>
        <w:widowControl w:val="0"/>
        <w:tabs>
          <w:tab w:val="clear" w:pos="1440"/>
          <w:tab w:val="clear" w:pos="4320"/>
          <w:tab w:val="clear" w:pos="9072"/>
        </w:tabs>
        <w:snapToGrid/>
        <w:spacing w:line="360" w:lineRule="auto"/>
        <w:rPr>
          <w:bCs/>
          <w:i/>
          <w:lang w:val="en-GB"/>
        </w:rPr>
      </w:pPr>
    </w:p>
    <w:p w:rsidR="00C47535" w:rsidRDefault="00C47535" w:rsidP="00923B7C">
      <w:pPr>
        <w:numPr>
          <w:ilvl w:val="0"/>
          <w:numId w:val="2"/>
        </w:numPr>
        <w:tabs>
          <w:tab w:val="clear" w:pos="360"/>
          <w:tab w:val="clear" w:pos="4320"/>
          <w:tab w:val="clear" w:pos="9072"/>
        </w:tabs>
        <w:spacing w:line="360" w:lineRule="auto"/>
        <w:jc w:val="both"/>
        <w:rPr>
          <w:bCs/>
          <w:lang w:val="en-GB"/>
        </w:rPr>
      </w:pPr>
      <w:r>
        <w:rPr>
          <w:bCs/>
          <w:lang w:val="en-GB"/>
        </w:rPr>
        <w:t>Before this court are two summonses, both filed by the plaintiff:</w:t>
      </w:r>
    </w:p>
    <w:p w:rsidR="00C47535" w:rsidRDefault="00C47535"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summons filed on 30 June 2020 </w:t>
      </w:r>
      <w:r w:rsidR="00CE6686">
        <w:rPr>
          <w:bCs/>
          <w:lang w:val="en-GB"/>
        </w:rPr>
        <w:t>for leave to adduce psychiatric</w:t>
      </w:r>
      <w:r>
        <w:rPr>
          <w:bCs/>
          <w:lang w:val="en-GB"/>
        </w:rPr>
        <w:t xml:space="preserve"> expert evidence (</w:t>
      </w:r>
      <w:r w:rsidRPr="00C47535">
        <w:rPr>
          <w:b/>
          <w:bCs/>
          <w:lang w:val="en-GB"/>
        </w:rPr>
        <w:t>“the Expert Directions Summons”</w:t>
      </w:r>
      <w:r>
        <w:rPr>
          <w:bCs/>
          <w:lang w:val="en-GB"/>
        </w:rPr>
        <w:t>); and</w:t>
      </w:r>
    </w:p>
    <w:p w:rsidR="007F4B6E" w:rsidRDefault="007F4B6E" w:rsidP="00923B7C">
      <w:pPr>
        <w:tabs>
          <w:tab w:val="clear" w:pos="1440"/>
          <w:tab w:val="clear" w:pos="4320"/>
          <w:tab w:val="clear" w:pos="9072"/>
          <w:tab w:val="left" w:pos="2160"/>
        </w:tabs>
        <w:spacing w:line="360" w:lineRule="auto"/>
        <w:ind w:left="2160"/>
        <w:jc w:val="both"/>
        <w:rPr>
          <w:bCs/>
          <w:lang w:val="en-GB"/>
        </w:rPr>
      </w:pPr>
    </w:p>
    <w:p w:rsidR="008201D8" w:rsidRPr="008201D8" w:rsidRDefault="00C47535"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summons filed on 12 January 2021</w:t>
      </w:r>
      <w:r w:rsidR="00CE6686">
        <w:rPr>
          <w:bCs/>
          <w:lang w:val="en-GB"/>
        </w:rPr>
        <w:t xml:space="preserve"> for leave</w:t>
      </w:r>
      <w:r>
        <w:rPr>
          <w:bCs/>
          <w:lang w:val="en-GB"/>
        </w:rPr>
        <w:t xml:space="preserve"> to file and serve the plaintiff’s Affirmation</w:t>
      </w:r>
      <w:r w:rsidR="00CE6686">
        <w:rPr>
          <w:rStyle w:val="FootnoteReference"/>
          <w:bCs/>
          <w:lang w:val="en-GB"/>
        </w:rPr>
        <w:footnoteReference w:id="1"/>
      </w:r>
      <w:r w:rsidR="00CE6686">
        <w:rPr>
          <w:bCs/>
          <w:lang w:val="en-GB"/>
        </w:rPr>
        <w:t xml:space="preserve"> (affirmed on 4 January 2021)</w:t>
      </w:r>
      <w:r>
        <w:rPr>
          <w:bCs/>
          <w:lang w:val="en-GB"/>
        </w:rPr>
        <w:t xml:space="preserve"> </w:t>
      </w:r>
      <w:r w:rsidR="00766590">
        <w:rPr>
          <w:bCs/>
          <w:lang w:val="en-GB"/>
        </w:rPr>
        <w:t>(</w:t>
      </w:r>
      <w:r w:rsidR="00766590" w:rsidRPr="00766590">
        <w:rPr>
          <w:b/>
          <w:bCs/>
          <w:lang w:val="en-GB"/>
        </w:rPr>
        <w:t>“the plaintiff’s Supplemental Affirmation”</w:t>
      </w:r>
      <w:r w:rsidR="00766590">
        <w:rPr>
          <w:bCs/>
          <w:lang w:val="en-GB"/>
        </w:rPr>
        <w:t xml:space="preserve">) </w:t>
      </w:r>
      <w:r>
        <w:rPr>
          <w:bCs/>
          <w:lang w:val="en-GB"/>
        </w:rPr>
        <w:t>in support of t</w:t>
      </w:r>
      <w:r w:rsidRPr="00C47535">
        <w:rPr>
          <w:bCs/>
          <w:lang w:val="en-GB"/>
        </w:rPr>
        <w:t>he Expert Directions Summons</w:t>
      </w:r>
      <w:r w:rsidR="007F4B6E">
        <w:rPr>
          <w:bCs/>
          <w:lang w:val="en-GB"/>
        </w:rPr>
        <w:t xml:space="preserve"> (</w:t>
      </w:r>
      <w:r w:rsidR="007F4B6E" w:rsidRPr="007F4B6E">
        <w:rPr>
          <w:b/>
          <w:bCs/>
          <w:lang w:val="en-GB"/>
        </w:rPr>
        <w:t>“the Affirmation Summons”</w:t>
      </w:r>
      <w:r w:rsidR="007F4B6E">
        <w:rPr>
          <w:bCs/>
          <w:lang w:val="en-GB"/>
        </w:rPr>
        <w:t>)</w:t>
      </w:r>
      <w:r w:rsidR="008201D8" w:rsidRPr="008201D8">
        <w:rPr>
          <w:bCs/>
          <w:lang w:val="en-GB"/>
        </w:rPr>
        <w:t xml:space="preserve">.  </w:t>
      </w:r>
    </w:p>
    <w:p w:rsidR="008201D8" w:rsidRDefault="008201D8" w:rsidP="00923B7C">
      <w:pPr>
        <w:tabs>
          <w:tab w:val="clear" w:pos="1440"/>
          <w:tab w:val="clear" w:pos="4320"/>
          <w:tab w:val="clear" w:pos="9072"/>
          <w:tab w:val="left" w:pos="1418"/>
        </w:tabs>
        <w:snapToGrid/>
        <w:spacing w:line="360" w:lineRule="auto"/>
        <w:jc w:val="both"/>
        <w:rPr>
          <w:bCs/>
          <w:lang w:val="en-GB"/>
        </w:rPr>
      </w:pPr>
    </w:p>
    <w:p w:rsidR="00744D00" w:rsidRDefault="00744D00" w:rsidP="00923B7C">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I will consider the Affirmation Summons first.</w:t>
      </w:r>
    </w:p>
    <w:p w:rsidR="00744D00" w:rsidRPr="008201D8" w:rsidRDefault="00744D00" w:rsidP="00923B7C">
      <w:pPr>
        <w:tabs>
          <w:tab w:val="clear" w:pos="1440"/>
          <w:tab w:val="clear" w:pos="4320"/>
          <w:tab w:val="clear" w:pos="9072"/>
          <w:tab w:val="left" w:pos="1418"/>
        </w:tabs>
        <w:snapToGrid/>
        <w:spacing w:line="360" w:lineRule="auto"/>
        <w:jc w:val="both"/>
        <w:rPr>
          <w:bCs/>
          <w:lang w:val="en-GB"/>
        </w:rPr>
      </w:pPr>
    </w:p>
    <w:p w:rsidR="008201D8" w:rsidRPr="007F4B6E" w:rsidRDefault="007F4B6E" w:rsidP="00923B7C">
      <w:pPr>
        <w:tabs>
          <w:tab w:val="clear" w:pos="4320"/>
          <w:tab w:val="clear" w:pos="9072"/>
        </w:tabs>
        <w:spacing w:line="360" w:lineRule="auto"/>
        <w:jc w:val="both"/>
        <w:rPr>
          <w:bCs/>
          <w:i/>
          <w:lang w:val="en-GB"/>
        </w:rPr>
      </w:pPr>
      <w:r w:rsidRPr="007F4B6E">
        <w:rPr>
          <w:bCs/>
          <w:i/>
          <w:lang w:val="en-GB"/>
        </w:rPr>
        <w:t>THE AFFIRMATION SUMMONS</w:t>
      </w:r>
    </w:p>
    <w:p w:rsidR="008201D8" w:rsidRPr="008201D8" w:rsidRDefault="008201D8" w:rsidP="00923B7C">
      <w:pPr>
        <w:tabs>
          <w:tab w:val="clear" w:pos="1440"/>
          <w:tab w:val="clear" w:pos="4320"/>
          <w:tab w:val="clear" w:pos="9072"/>
          <w:tab w:val="left" w:pos="1418"/>
        </w:tabs>
        <w:snapToGrid/>
        <w:spacing w:line="360" w:lineRule="auto"/>
        <w:jc w:val="both"/>
        <w:rPr>
          <w:bCs/>
          <w:lang w:val="en-GB"/>
        </w:rPr>
      </w:pPr>
    </w:p>
    <w:p w:rsidR="00325BBA" w:rsidRDefault="00744D00" w:rsidP="00923B7C">
      <w:pPr>
        <w:numPr>
          <w:ilvl w:val="0"/>
          <w:numId w:val="2"/>
        </w:numPr>
        <w:tabs>
          <w:tab w:val="clear" w:pos="360"/>
          <w:tab w:val="clear" w:pos="4320"/>
          <w:tab w:val="clear" w:pos="9072"/>
        </w:tabs>
        <w:spacing w:line="360" w:lineRule="auto"/>
        <w:jc w:val="both"/>
        <w:rPr>
          <w:bCs/>
          <w:lang w:val="en-GB"/>
        </w:rPr>
      </w:pPr>
      <w:r>
        <w:rPr>
          <w:bCs/>
          <w:lang w:val="en-GB"/>
        </w:rPr>
        <w:t xml:space="preserve">On 3 August 2020, Master Matthew Leung gave some usual directions for the filing of affirmations for the purpose of the Expert Directions Summons, and directed that no further affirmation may be filed without leave of the court. </w:t>
      </w:r>
      <w:r w:rsidR="00325BBA">
        <w:rPr>
          <w:bCs/>
          <w:lang w:val="en-GB"/>
        </w:rPr>
        <w:t xml:space="preserve"> The learned Master also adjourned the Expert Directions Summons for substantive argument to be heard on 9 December 2020</w:t>
      </w:r>
      <w:r w:rsidR="00325BBA">
        <w:rPr>
          <w:rStyle w:val="FootnoteReference"/>
          <w:bCs/>
          <w:lang w:val="en-GB"/>
        </w:rPr>
        <w:footnoteReference w:id="2"/>
      </w:r>
      <w:r w:rsidR="00325BBA">
        <w:rPr>
          <w:bCs/>
          <w:lang w:val="en-GB"/>
        </w:rPr>
        <w:t xml:space="preserve">.  </w:t>
      </w:r>
    </w:p>
    <w:p w:rsidR="00325BBA" w:rsidRDefault="00325BBA" w:rsidP="00923B7C">
      <w:pPr>
        <w:tabs>
          <w:tab w:val="clear" w:pos="4320"/>
          <w:tab w:val="clear" w:pos="9072"/>
        </w:tabs>
        <w:spacing w:line="360" w:lineRule="auto"/>
        <w:jc w:val="both"/>
        <w:rPr>
          <w:bCs/>
          <w:lang w:val="en-GB"/>
        </w:rPr>
      </w:pPr>
    </w:p>
    <w:p w:rsidR="00744D00" w:rsidRDefault="00325BBA" w:rsidP="00923B7C">
      <w:pPr>
        <w:numPr>
          <w:ilvl w:val="0"/>
          <w:numId w:val="2"/>
        </w:numPr>
        <w:tabs>
          <w:tab w:val="clear" w:pos="360"/>
          <w:tab w:val="clear" w:pos="4320"/>
          <w:tab w:val="clear" w:pos="9072"/>
        </w:tabs>
        <w:spacing w:line="360" w:lineRule="auto"/>
        <w:jc w:val="both"/>
        <w:rPr>
          <w:bCs/>
          <w:lang w:val="en-GB"/>
        </w:rPr>
      </w:pPr>
      <w:r>
        <w:rPr>
          <w:bCs/>
          <w:lang w:val="en-GB"/>
        </w:rPr>
        <w:t xml:space="preserve">Affirmation in reply </w:t>
      </w:r>
      <w:r w:rsidR="00F76993">
        <w:rPr>
          <w:bCs/>
          <w:lang w:val="en-GB"/>
        </w:rPr>
        <w:t>(his 2</w:t>
      </w:r>
      <w:r w:rsidR="00F76993" w:rsidRPr="00F76993">
        <w:rPr>
          <w:bCs/>
          <w:vertAlign w:val="superscript"/>
          <w:lang w:val="en-GB"/>
        </w:rPr>
        <w:t>nd</w:t>
      </w:r>
      <w:r w:rsidR="00F76993">
        <w:rPr>
          <w:bCs/>
          <w:lang w:val="en-GB"/>
        </w:rPr>
        <w:t xml:space="preserve"> Affirmation) </w:t>
      </w:r>
      <w:r>
        <w:rPr>
          <w:bCs/>
          <w:lang w:val="en-GB"/>
        </w:rPr>
        <w:t>was filed by the plaintiff pursuant thereto on 19 August 2020.</w:t>
      </w:r>
    </w:p>
    <w:p w:rsidR="00325BBA" w:rsidRDefault="00325BBA" w:rsidP="00923B7C">
      <w:pPr>
        <w:pStyle w:val="ListParagraph"/>
        <w:spacing w:line="360" w:lineRule="auto"/>
        <w:rPr>
          <w:bCs/>
          <w:lang w:val="en-GB"/>
        </w:rPr>
      </w:pPr>
    </w:p>
    <w:p w:rsidR="00325BBA" w:rsidRDefault="00325BBA" w:rsidP="00923B7C">
      <w:pPr>
        <w:numPr>
          <w:ilvl w:val="0"/>
          <w:numId w:val="2"/>
        </w:numPr>
        <w:tabs>
          <w:tab w:val="clear" w:pos="360"/>
          <w:tab w:val="clear" w:pos="4320"/>
          <w:tab w:val="clear" w:pos="9072"/>
        </w:tabs>
        <w:spacing w:line="360" w:lineRule="auto"/>
        <w:jc w:val="both"/>
        <w:rPr>
          <w:bCs/>
          <w:lang w:val="en-GB"/>
        </w:rPr>
      </w:pPr>
      <w:r>
        <w:rPr>
          <w:bCs/>
          <w:lang w:val="en-GB"/>
        </w:rPr>
        <w:t>The Affirmation Summons was subsequently filed only 8 days before the date fixed for substantive argument</w:t>
      </w:r>
      <w:r w:rsidR="00F76993">
        <w:rPr>
          <w:rStyle w:val="FootnoteReference"/>
          <w:bCs/>
          <w:lang w:val="en-GB"/>
        </w:rPr>
        <w:footnoteReference w:id="3"/>
      </w:r>
      <w:r>
        <w:rPr>
          <w:bCs/>
          <w:lang w:val="en-GB"/>
        </w:rPr>
        <w:t xml:space="preserve">. </w:t>
      </w:r>
    </w:p>
    <w:p w:rsidR="00325BBA" w:rsidRDefault="00325BBA" w:rsidP="00923B7C">
      <w:pPr>
        <w:tabs>
          <w:tab w:val="clear" w:pos="4320"/>
          <w:tab w:val="clear" w:pos="9072"/>
        </w:tabs>
        <w:spacing w:line="360" w:lineRule="auto"/>
        <w:jc w:val="both"/>
        <w:rPr>
          <w:bCs/>
          <w:lang w:val="en-GB"/>
        </w:rPr>
      </w:pPr>
    </w:p>
    <w:p w:rsidR="007F4B6E" w:rsidRDefault="007F4B6E" w:rsidP="00923B7C">
      <w:pPr>
        <w:numPr>
          <w:ilvl w:val="0"/>
          <w:numId w:val="2"/>
        </w:numPr>
        <w:tabs>
          <w:tab w:val="clear" w:pos="360"/>
          <w:tab w:val="clear" w:pos="4320"/>
          <w:tab w:val="clear" w:pos="9072"/>
        </w:tabs>
        <w:spacing w:line="360" w:lineRule="auto"/>
        <w:jc w:val="both"/>
        <w:rPr>
          <w:bCs/>
          <w:lang w:val="en-GB"/>
        </w:rPr>
      </w:pPr>
      <w:r>
        <w:rPr>
          <w:bCs/>
          <w:lang w:val="en-GB"/>
        </w:rPr>
        <w:t>Order 32 rule 16A(4) of the Rules of the District Court (Cap.336H) (</w:t>
      </w:r>
      <w:r w:rsidRPr="007F4B6E">
        <w:rPr>
          <w:b/>
          <w:bCs/>
          <w:lang w:val="en-GB"/>
        </w:rPr>
        <w:t>“RDC”</w:t>
      </w:r>
      <w:r>
        <w:rPr>
          <w:bCs/>
          <w:lang w:val="en-GB"/>
        </w:rPr>
        <w:t>) provides that:</w:t>
      </w:r>
    </w:p>
    <w:p w:rsidR="007F4B6E" w:rsidRDefault="007F4B6E" w:rsidP="007F4B6E">
      <w:pPr>
        <w:tabs>
          <w:tab w:val="clear" w:pos="4320"/>
          <w:tab w:val="clear" w:pos="9072"/>
        </w:tabs>
        <w:ind w:left="1440" w:right="746"/>
        <w:jc w:val="both"/>
        <w:rPr>
          <w:bCs/>
          <w:sz w:val="24"/>
          <w:szCs w:val="24"/>
          <w:lang w:val="en-GB"/>
        </w:rPr>
      </w:pPr>
    </w:p>
    <w:p w:rsidR="007F4B6E" w:rsidRPr="007F4B6E" w:rsidRDefault="007F4B6E" w:rsidP="007F4B6E">
      <w:pPr>
        <w:tabs>
          <w:tab w:val="clear" w:pos="4320"/>
          <w:tab w:val="clear" w:pos="9072"/>
        </w:tabs>
        <w:ind w:left="1440" w:right="746"/>
        <w:jc w:val="both"/>
        <w:rPr>
          <w:bCs/>
          <w:sz w:val="24"/>
          <w:szCs w:val="24"/>
          <w:lang w:val="en-GB"/>
        </w:rPr>
      </w:pPr>
      <w:r w:rsidRPr="007F4B6E">
        <w:rPr>
          <w:bCs/>
          <w:sz w:val="24"/>
          <w:szCs w:val="24"/>
          <w:lang w:val="en-GB"/>
        </w:rPr>
        <w:t>“</w:t>
      </w:r>
      <w:r w:rsidRPr="007F4B6E">
        <w:rPr>
          <w:color w:val="000000"/>
          <w:sz w:val="24"/>
          <w:szCs w:val="24"/>
          <w:shd w:val="clear" w:color="auto" w:fill="FFFFFF"/>
        </w:rPr>
        <w:t>Where the determination of the application is adjourned for the hearing of the summons, no further evidence may be adduced unless it appears to the Court that there are exceptional circumstances making it desirable that further evidence should be adduced.”</w:t>
      </w:r>
    </w:p>
    <w:p w:rsidR="000E490F" w:rsidRPr="008201D8" w:rsidRDefault="000E490F" w:rsidP="007F4B6E">
      <w:pPr>
        <w:tabs>
          <w:tab w:val="clear" w:pos="4320"/>
          <w:tab w:val="clear" w:pos="9072"/>
        </w:tabs>
        <w:spacing w:line="360" w:lineRule="auto"/>
        <w:jc w:val="both"/>
        <w:rPr>
          <w:bCs/>
          <w:lang w:val="en-GB"/>
        </w:rPr>
      </w:pPr>
    </w:p>
    <w:p w:rsidR="00744D00" w:rsidRDefault="00744D00" w:rsidP="00726CC5">
      <w:pPr>
        <w:numPr>
          <w:ilvl w:val="0"/>
          <w:numId w:val="2"/>
        </w:numPr>
        <w:tabs>
          <w:tab w:val="clear" w:pos="360"/>
          <w:tab w:val="clear" w:pos="4320"/>
          <w:tab w:val="clear" w:pos="9072"/>
        </w:tabs>
        <w:spacing w:line="360" w:lineRule="auto"/>
        <w:jc w:val="both"/>
        <w:rPr>
          <w:bCs/>
          <w:lang w:val="en-GB"/>
        </w:rPr>
      </w:pPr>
      <w:r>
        <w:rPr>
          <w:bCs/>
          <w:lang w:val="en-GB"/>
        </w:rPr>
        <w:t xml:space="preserve">In </w:t>
      </w:r>
      <w:r w:rsidRPr="00744D00">
        <w:rPr>
          <w:bCs/>
          <w:i/>
          <w:lang w:val="en-GB"/>
        </w:rPr>
        <w:t>Jose Miranda Da Costa Junior &amp; Another v Lorenzo Yih, also known as Yu Chuan Yih &amp; Others</w:t>
      </w:r>
      <w:r>
        <w:rPr>
          <w:bCs/>
          <w:lang w:val="en-GB"/>
        </w:rPr>
        <w:t xml:space="preserve"> (HCA 156/2010, unreported, 28 April 2014), Deputy High Court Judge Le Pichon had the following to say:</w:t>
      </w:r>
    </w:p>
    <w:p w:rsidR="00744D00" w:rsidRDefault="00744D00" w:rsidP="00744D00">
      <w:pPr>
        <w:tabs>
          <w:tab w:val="clear" w:pos="4320"/>
          <w:tab w:val="clear" w:pos="9072"/>
        </w:tabs>
        <w:spacing w:line="360" w:lineRule="auto"/>
        <w:jc w:val="both"/>
        <w:rPr>
          <w:bCs/>
          <w:lang w:val="en-GB"/>
        </w:rPr>
      </w:pPr>
    </w:p>
    <w:p w:rsidR="00744D00" w:rsidRPr="00744D00" w:rsidRDefault="00744D00" w:rsidP="00744D00">
      <w:pPr>
        <w:tabs>
          <w:tab w:val="clear" w:pos="4320"/>
          <w:tab w:val="clear" w:pos="9072"/>
        </w:tabs>
        <w:ind w:left="1440" w:right="746"/>
        <w:jc w:val="both"/>
        <w:rPr>
          <w:sz w:val="24"/>
          <w:szCs w:val="24"/>
        </w:rPr>
      </w:pPr>
      <w:r w:rsidRPr="00744D00">
        <w:rPr>
          <w:bCs/>
          <w:sz w:val="24"/>
          <w:szCs w:val="24"/>
          <w:lang w:val="en-GB"/>
        </w:rPr>
        <w:t xml:space="preserve">“11. </w:t>
      </w:r>
      <w:r>
        <w:rPr>
          <w:bCs/>
          <w:sz w:val="24"/>
          <w:szCs w:val="24"/>
          <w:lang w:val="en-GB"/>
        </w:rPr>
        <w:tab/>
      </w:r>
      <w:r w:rsidRPr="00744D00">
        <w:rPr>
          <w:bCs/>
          <w:sz w:val="24"/>
          <w:szCs w:val="24"/>
          <w:lang w:val="en-GB"/>
        </w:rPr>
        <w:t>…</w:t>
      </w:r>
      <w:r w:rsidRPr="00744D00">
        <w:rPr>
          <w:sz w:val="24"/>
          <w:szCs w:val="24"/>
        </w:rPr>
        <w:t>where a direction prohibiting further evidence to be adduced without leave has been given, it has to be read with RHC O 32, r 11A (4).  That provides that where the determination of the application is adjourned for the hearing of the summons, no further evidence may be adduced unless it appears to the Court that there are exceptional circumstances making it desirable that further evidence should be adduced.</w:t>
      </w:r>
    </w:p>
    <w:p w:rsidR="00744D00" w:rsidRPr="00744D00" w:rsidRDefault="00744D00" w:rsidP="00744D00">
      <w:pPr>
        <w:tabs>
          <w:tab w:val="clear" w:pos="4320"/>
          <w:tab w:val="clear" w:pos="9072"/>
        </w:tabs>
        <w:ind w:left="1440" w:right="746"/>
        <w:jc w:val="both"/>
        <w:rPr>
          <w:sz w:val="24"/>
          <w:szCs w:val="24"/>
        </w:rPr>
      </w:pPr>
    </w:p>
    <w:p w:rsidR="00744D00" w:rsidRPr="00744D00" w:rsidRDefault="00744D00" w:rsidP="00744D00">
      <w:pPr>
        <w:tabs>
          <w:tab w:val="clear" w:pos="4320"/>
          <w:tab w:val="clear" w:pos="9072"/>
        </w:tabs>
        <w:ind w:left="1440" w:right="746"/>
        <w:jc w:val="both"/>
        <w:rPr>
          <w:sz w:val="24"/>
          <w:szCs w:val="24"/>
        </w:rPr>
      </w:pPr>
      <w:r w:rsidRPr="00744D00">
        <w:rPr>
          <w:sz w:val="24"/>
          <w:szCs w:val="24"/>
        </w:rPr>
        <w:t xml:space="preserve">12. </w:t>
      </w:r>
      <w:r>
        <w:rPr>
          <w:sz w:val="24"/>
          <w:szCs w:val="24"/>
        </w:rPr>
        <w:tab/>
      </w:r>
      <w:r w:rsidRPr="00744D00">
        <w:rPr>
          <w:sz w:val="24"/>
          <w:szCs w:val="24"/>
        </w:rPr>
        <w:t xml:space="preserve">It will be seen that the rationale of O 32, r 11A (4) is to ensure that a case is dealt with as expeditiously as is reasonably practicable and to ensure fairness between the parties (those being the objectives of the CJR stated in O 1A, r 1 (b) and (d)): </w:t>
      </w:r>
      <w:r w:rsidRPr="00744D00">
        <w:rPr>
          <w:i/>
          <w:iCs/>
          <w:sz w:val="24"/>
          <w:szCs w:val="24"/>
        </w:rPr>
        <w:t>Fortune Assets Development Ltd v De Monsa Investments Ltd</w:t>
      </w:r>
      <w:r w:rsidRPr="00744D00">
        <w:rPr>
          <w:sz w:val="24"/>
          <w:szCs w:val="24"/>
        </w:rPr>
        <w:t>, HCA 167/2009, (unrep) 21 August 2009 at §§10-11 and the annotation in Hong Kong Civil Procedure 2014 at 32/11A/3</w:t>
      </w:r>
      <w:r w:rsidR="00E626B3">
        <w:rPr>
          <w:sz w:val="24"/>
          <w:szCs w:val="24"/>
        </w:rPr>
        <w:t xml:space="preserve"> which states that the sort of ‘exceptional circumstances’</w:t>
      </w:r>
      <w:r w:rsidRPr="00744D00">
        <w:rPr>
          <w:sz w:val="24"/>
          <w:szCs w:val="24"/>
        </w:rPr>
        <w:t xml:space="preserve"> envisaged are likely to be along the lines of the exceptions laid down in </w:t>
      </w:r>
      <w:r w:rsidRPr="00744D00">
        <w:rPr>
          <w:i/>
          <w:iCs/>
          <w:sz w:val="24"/>
          <w:szCs w:val="24"/>
        </w:rPr>
        <w:t>Ladd v Marshall</w:t>
      </w:r>
      <w:r w:rsidRPr="00744D00">
        <w:rPr>
          <w:sz w:val="24"/>
          <w:szCs w:val="24"/>
        </w:rPr>
        <w:t xml:space="preserve"> [1954] 1</w:t>
      </w:r>
      <w:r w:rsidR="006313A9">
        <w:rPr>
          <w:sz w:val="24"/>
          <w:szCs w:val="24"/>
        </w:rPr>
        <w:t xml:space="preserve"> </w:t>
      </w:r>
      <w:r w:rsidRPr="00744D00">
        <w:rPr>
          <w:sz w:val="24"/>
          <w:szCs w:val="24"/>
        </w:rPr>
        <w:t>WLR 1489.</w:t>
      </w:r>
    </w:p>
    <w:p w:rsidR="00744D00" w:rsidRPr="00744D00" w:rsidRDefault="00744D00" w:rsidP="00744D00">
      <w:pPr>
        <w:tabs>
          <w:tab w:val="clear" w:pos="4320"/>
          <w:tab w:val="clear" w:pos="9072"/>
        </w:tabs>
        <w:ind w:left="1440" w:right="746"/>
        <w:jc w:val="both"/>
        <w:rPr>
          <w:sz w:val="24"/>
          <w:szCs w:val="24"/>
        </w:rPr>
      </w:pPr>
    </w:p>
    <w:p w:rsidR="00744D00" w:rsidRDefault="00744D00" w:rsidP="00744D00">
      <w:pPr>
        <w:tabs>
          <w:tab w:val="clear" w:pos="4320"/>
          <w:tab w:val="clear" w:pos="9072"/>
        </w:tabs>
        <w:ind w:left="1440" w:right="746"/>
        <w:jc w:val="both"/>
        <w:rPr>
          <w:sz w:val="24"/>
          <w:szCs w:val="24"/>
        </w:rPr>
      </w:pPr>
      <w:r w:rsidRPr="00744D00">
        <w:rPr>
          <w:sz w:val="24"/>
          <w:szCs w:val="24"/>
        </w:rPr>
        <w:t xml:space="preserve">13. </w:t>
      </w:r>
      <w:r>
        <w:rPr>
          <w:sz w:val="24"/>
          <w:szCs w:val="24"/>
        </w:rPr>
        <w:tab/>
      </w:r>
      <w:r w:rsidR="00116DB2">
        <w:rPr>
          <w:sz w:val="24"/>
          <w:szCs w:val="24"/>
        </w:rPr>
        <w:t>‘</w:t>
      </w:r>
      <w:r w:rsidRPr="00744D00">
        <w:rPr>
          <w:sz w:val="24"/>
          <w:szCs w:val="24"/>
        </w:rPr>
        <w:t>Special circumstances</w:t>
      </w:r>
      <w:r w:rsidR="00116DB2">
        <w:rPr>
          <w:sz w:val="24"/>
          <w:szCs w:val="24"/>
        </w:rPr>
        <w:t>’</w:t>
      </w:r>
      <w:r w:rsidRPr="00744D00">
        <w:rPr>
          <w:sz w:val="24"/>
          <w:szCs w:val="24"/>
        </w:rPr>
        <w:t xml:space="preserve"> are not made out if a proper review of the potential issues that might arise in proceedings ought to have resulted in the information contained in the affidavit being filed within the time limits imposed: </w:t>
      </w:r>
      <w:r w:rsidRPr="00744D00">
        <w:rPr>
          <w:i/>
          <w:iCs/>
          <w:sz w:val="24"/>
          <w:szCs w:val="24"/>
        </w:rPr>
        <w:t>Fortune Assets</w:t>
      </w:r>
      <w:r w:rsidRPr="00744D00">
        <w:rPr>
          <w:sz w:val="24"/>
          <w:szCs w:val="24"/>
        </w:rPr>
        <w:t xml:space="preserve"> at §12.  I agree with that approach which is in line with the rationale underlying O 32, r 11A (4) and furthers the CJR objectives identified above.”</w:t>
      </w:r>
    </w:p>
    <w:p w:rsidR="00744D00" w:rsidRDefault="00744D00" w:rsidP="00744D00">
      <w:pPr>
        <w:tabs>
          <w:tab w:val="clear" w:pos="4320"/>
          <w:tab w:val="clear" w:pos="9072"/>
        </w:tabs>
        <w:spacing w:line="360" w:lineRule="auto"/>
        <w:ind w:left="1440" w:right="746"/>
        <w:jc w:val="both"/>
        <w:rPr>
          <w:bCs/>
          <w:lang w:val="en-GB"/>
        </w:rPr>
      </w:pPr>
    </w:p>
    <w:p w:rsidR="008201D8" w:rsidRDefault="008201D8" w:rsidP="00923B7C">
      <w:pPr>
        <w:numPr>
          <w:ilvl w:val="0"/>
          <w:numId w:val="2"/>
        </w:numPr>
        <w:tabs>
          <w:tab w:val="clear" w:pos="360"/>
          <w:tab w:val="clear" w:pos="4320"/>
          <w:tab w:val="clear" w:pos="9072"/>
        </w:tabs>
        <w:spacing w:line="360" w:lineRule="auto"/>
        <w:jc w:val="both"/>
        <w:rPr>
          <w:bCs/>
          <w:lang w:val="en-GB"/>
        </w:rPr>
      </w:pPr>
      <w:r w:rsidRPr="008201D8">
        <w:rPr>
          <w:bCs/>
          <w:lang w:val="en-GB"/>
        </w:rPr>
        <w:t xml:space="preserve"> </w:t>
      </w:r>
      <w:r w:rsidR="00D327E7">
        <w:rPr>
          <w:bCs/>
          <w:lang w:val="en-GB"/>
        </w:rPr>
        <w:t>Order 32 rule 11A(4) of the Rules of the High Court</w:t>
      </w:r>
      <w:r w:rsidR="00116DB2">
        <w:rPr>
          <w:bCs/>
          <w:lang w:val="en-GB"/>
        </w:rPr>
        <w:t xml:space="preserve"> (as referred to by the learned Judge)</w:t>
      </w:r>
      <w:r w:rsidR="00D327E7">
        <w:rPr>
          <w:bCs/>
          <w:lang w:val="en-GB"/>
        </w:rPr>
        <w:t xml:space="preserve"> and Order 32 rule 16A(4) of </w:t>
      </w:r>
      <w:r w:rsidR="00D01FB6">
        <w:rPr>
          <w:bCs/>
          <w:lang w:val="en-GB"/>
        </w:rPr>
        <w:t xml:space="preserve">the </w:t>
      </w:r>
      <w:r w:rsidR="00D327E7">
        <w:rPr>
          <w:bCs/>
          <w:lang w:val="en-GB"/>
        </w:rPr>
        <w:t xml:space="preserve">RDC are identical.  Therefore, what the learned Judge said above is equally applicable to </w:t>
      </w:r>
      <w:r w:rsidR="00D01FB6">
        <w:rPr>
          <w:bCs/>
          <w:lang w:val="en-GB"/>
        </w:rPr>
        <w:t>District Court</w:t>
      </w:r>
      <w:r w:rsidR="00D327E7">
        <w:rPr>
          <w:bCs/>
          <w:lang w:val="en-GB"/>
        </w:rPr>
        <w:t xml:space="preserve"> case</w:t>
      </w:r>
      <w:r w:rsidR="00D01FB6">
        <w:rPr>
          <w:bCs/>
          <w:lang w:val="en-GB"/>
        </w:rPr>
        <w:t>s</w:t>
      </w:r>
      <w:r w:rsidR="00D327E7">
        <w:rPr>
          <w:bCs/>
          <w:lang w:val="en-GB"/>
        </w:rPr>
        <w:t xml:space="preserve">. </w:t>
      </w:r>
    </w:p>
    <w:p w:rsidR="006313A9" w:rsidRDefault="006313A9" w:rsidP="00923B7C">
      <w:pPr>
        <w:tabs>
          <w:tab w:val="clear" w:pos="4320"/>
          <w:tab w:val="clear" w:pos="9072"/>
        </w:tabs>
        <w:spacing w:line="360" w:lineRule="auto"/>
        <w:jc w:val="both"/>
        <w:rPr>
          <w:bCs/>
          <w:lang w:val="en-GB"/>
        </w:rPr>
      </w:pPr>
    </w:p>
    <w:p w:rsidR="006313A9" w:rsidRDefault="006313A9" w:rsidP="00923B7C">
      <w:pPr>
        <w:numPr>
          <w:ilvl w:val="0"/>
          <w:numId w:val="2"/>
        </w:numPr>
        <w:tabs>
          <w:tab w:val="clear" w:pos="360"/>
          <w:tab w:val="clear" w:pos="4320"/>
          <w:tab w:val="clear" w:pos="9072"/>
        </w:tabs>
        <w:spacing w:line="360" w:lineRule="auto"/>
        <w:jc w:val="both"/>
        <w:rPr>
          <w:bCs/>
          <w:lang w:val="en-GB"/>
        </w:rPr>
      </w:pPr>
      <w:r>
        <w:rPr>
          <w:bCs/>
          <w:lang w:val="en-GB"/>
        </w:rPr>
        <w:t xml:space="preserve">Under the criteria as discussed in </w:t>
      </w:r>
      <w:r w:rsidRPr="006313A9">
        <w:rPr>
          <w:bCs/>
          <w:i/>
          <w:lang w:val="en-GB"/>
        </w:rPr>
        <w:t>Ladd v Marshall</w:t>
      </w:r>
      <w:r>
        <w:rPr>
          <w:bCs/>
          <w:lang w:val="en-GB"/>
        </w:rPr>
        <w:t xml:space="preserve"> </w:t>
      </w:r>
      <w:r w:rsidRPr="006313A9">
        <w:t>[1954] 1</w:t>
      </w:r>
      <w:r>
        <w:t xml:space="preserve"> </w:t>
      </w:r>
      <w:r w:rsidRPr="006313A9">
        <w:t>WLR 1489</w:t>
      </w:r>
      <w:r>
        <w:rPr>
          <w:bCs/>
          <w:lang w:val="en-GB"/>
        </w:rPr>
        <w:t>, further evidence is admissible only where such evidence:</w:t>
      </w:r>
    </w:p>
    <w:p w:rsidR="006313A9" w:rsidRPr="006313A9" w:rsidRDefault="006313A9" w:rsidP="00923B7C">
      <w:pPr>
        <w:pStyle w:val="ListParagraph"/>
        <w:tabs>
          <w:tab w:val="clear" w:pos="1440"/>
          <w:tab w:val="clear" w:pos="4320"/>
          <w:tab w:val="clear" w:pos="9072"/>
          <w:tab w:val="left" w:pos="2160"/>
        </w:tabs>
        <w:spacing w:line="360" w:lineRule="auto"/>
        <w:ind w:left="2160"/>
        <w:jc w:val="both"/>
        <w:rPr>
          <w:bCs/>
          <w:lang w:val="en-GB"/>
        </w:rPr>
      </w:pPr>
    </w:p>
    <w:p w:rsidR="006313A9" w:rsidRPr="006313A9" w:rsidRDefault="006313A9" w:rsidP="00923B7C">
      <w:pPr>
        <w:pStyle w:val="ListParagraph"/>
        <w:numPr>
          <w:ilvl w:val="2"/>
          <w:numId w:val="2"/>
        </w:numPr>
        <w:tabs>
          <w:tab w:val="clear" w:pos="1440"/>
          <w:tab w:val="clear" w:pos="4320"/>
          <w:tab w:val="clear" w:pos="9072"/>
          <w:tab w:val="left" w:pos="2160"/>
        </w:tabs>
        <w:spacing w:line="360" w:lineRule="auto"/>
        <w:ind w:left="2160" w:hanging="720"/>
        <w:jc w:val="both"/>
        <w:rPr>
          <w:bCs/>
          <w:lang w:val="en-GB"/>
        </w:rPr>
      </w:pPr>
      <w:r>
        <w:t xml:space="preserve">could not have been obtained </w:t>
      </w:r>
      <w:r w:rsidR="006015B4">
        <w:t>before</w:t>
      </w:r>
      <w:r>
        <w:t xml:space="preserve"> with reasonable diligence;</w:t>
      </w:r>
    </w:p>
    <w:p w:rsidR="006313A9" w:rsidRPr="006313A9" w:rsidRDefault="006313A9" w:rsidP="00923B7C">
      <w:pPr>
        <w:pStyle w:val="ListParagraph"/>
        <w:tabs>
          <w:tab w:val="clear" w:pos="1440"/>
          <w:tab w:val="clear" w:pos="4320"/>
          <w:tab w:val="clear" w:pos="9072"/>
          <w:tab w:val="left" w:pos="2160"/>
        </w:tabs>
        <w:spacing w:line="360" w:lineRule="auto"/>
        <w:ind w:left="2160"/>
        <w:jc w:val="both"/>
        <w:rPr>
          <w:bCs/>
          <w:lang w:val="en-GB"/>
        </w:rPr>
      </w:pPr>
    </w:p>
    <w:p w:rsidR="006313A9" w:rsidRPr="006313A9" w:rsidRDefault="006313A9" w:rsidP="00923B7C">
      <w:pPr>
        <w:pStyle w:val="ListParagraph"/>
        <w:numPr>
          <w:ilvl w:val="2"/>
          <w:numId w:val="2"/>
        </w:numPr>
        <w:tabs>
          <w:tab w:val="clear" w:pos="1440"/>
          <w:tab w:val="clear" w:pos="4320"/>
          <w:tab w:val="clear" w:pos="9072"/>
          <w:tab w:val="left" w:pos="2160"/>
        </w:tabs>
        <w:spacing w:line="360" w:lineRule="auto"/>
        <w:ind w:left="2160" w:hanging="720"/>
        <w:jc w:val="both"/>
        <w:rPr>
          <w:bCs/>
          <w:lang w:val="en-GB"/>
        </w:rPr>
      </w:pPr>
      <w:r>
        <w:t>would or might, if believed, have a very important influence on the result of the case, though it need not be decisive; and</w:t>
      </w:r>
    </w:p>
    <w:p w:rsidR="006313A9" w:rsidRPr="006313A9" w:rsidRDefault="006313A9" w:rsidP="00923B7C">
      <w:pPr>
        <w:pStyle w:val="ListParagraph"/>
        <w:tabs>
          <w:tab w:val="clear" w:pos="1440"/>
          <w:tab w:val="clear" w:pos="4320"/>
          <w:tab w:val="clear" w:pos="9072"/>
          <w:tab w:val="left" w:pos="2160"/>
        </w:tabs>
        <w:spacing w:line="360" w:lineRule="auto"/>
        <w:ind w:left="2160"/>
        <w:jc w:val="both"/>
        <w:rPr>
          <w:bCs/>
          <w:lang w:val="en-GB"/>
        </w:rPr>
      </w:pPr>
    </w:p>
    <w:p w:rsidR="006313A9" w:rsidRPr="006313A9" w:rsidRDefault="006313A9" w:rsidP="00923B7C">
      <w:pPr>
        <w:pStyle w:val="ListParagraph"/>
        <w:numPr>
          <w:ilvl w:val="2"/>
          <w:numId w:val="2"/>
        </w:numPr>
        <w:tabs>
          <w:tab w:val="clear" w:pos="1440"/>
          <w:tab w:val="clear" w:pos="4320"/>
          <w:tab w:val="clear" w:pos="9072"/>
          <w:tab w:val="left" w:pos="2160"/>
        </w:tabs>
        <w:spacing w:line="360" w:lineRule="auto"/>
        <w:ind w:left="2160" w:hanging="720"/>
        <w:jc w:val="both"/>
        <w:rPr>
          <w:bCs/>
          <w:lang w:val="en-GB"/>
        </w:rPr>
      </w:pPr>
      <w:r>
        <w:t>is apparently credible though it need not be incontrovertible.</w:t>
      </w:r>
    </w:p>
    <w:p w:rsidR="006313A9" w:rsidRDefault="006313A9" w:rsidP="00923B7C">
      <w:pPr>
        <w:pStyle w:val="ListParagraph"/>
        <w:spacing w:line="360" w:lineRule="auto"/>
        <w:rPr>
          <w:bCs/>
          <w:lang w:val="en-GB"/>
        </w:rPr>
      </w:pPr>
    </w:p>
    <w:p w:rsidR="006015B4" w:rsidRDefault="006015B4" w:rsidP="00923B7C">
      <w:pPr>
        <w:numPr>
          <w:ilvl w:val="0"/>
          <w:numId w:val="2"/>
        </w:numPr>
        <w:tabs>
          <w:tab w:val="clear" w:pos="360"/>
          <w:tab w:val="clear" w:pos="4320"/>
          <w:tab w:val="clear" w:pos="9072"/>
        </w:tabs>
        <w:spacing w:line="360" w:lineRule="auto"/>
        <w:jc w:val="both"/>
        <w:rPr>
          <w:bCs/>
          <w:lang w:val="en-GB"/>
        </w:rPr>
      </w:pPr>
      <w:r>
        <w:rPr>
          <w:bCs/>
          <w:lang w:val="en-GB"/>
        </w:rPr>
        <w:t>The evidence which the plaintiff now seeks to adduce is the Supplemental Psychiatric Report of Dr Tsang Fan Kwong</w:t>
      </w:r>
      <w:r w:rsidR="00130569">
        <w:rPr>
          <w:bCs/>
          <w:lang w:val="en-GB"/>
        </w:rPr>
        <w:t xml:space="preserve"> (a specialist in psychiatry)</w:t>
      </w:r>
      <w:r>
        <w:rPr>
          <w:bCs/>
          <w:lang w:val="en-GB"/>
        </w:rPr>
        <w:t xml:space="preserve"> dated 24 December 2020 (</w:t>
      </w:r>
      <w:r w:rsidRPr="006015B4">
        <w:rPr>
          <w:b/>
          <w:bCs/>
          <w:lang w:val="en-GB"/>
        </w:rPr>
        <w:t>“the Supplemental Report”</w:t>
      </w:r>
      <w:r>
        <w:rPr>
          <w:bCs/>
          <w:lang w:val="en-GB"/>
        </w:rPr>
        <w:t xml:space="preserve">) which is exhibited to the plaintiff’s </w:t>
      </w:r>
      <w:r w:rsidR="00766590">
        <w:rPr>
          <w:bCs/>
          <w:lang w:val="en-GB"/>
        </w:rPr>
        <w:t xml:space="preserve">Supplemental </w:t>
      </w:r>
      <w:r>
        <w:rPr>
          <w:bCs/>
          <w:lang w:val="en-GB"/>
        </w:rPr>
        <w:t>Affirmation affirmed on 4 January 2021.</w:t>
      </w:r>
    </w:p>
    <w:p w:rsidR="00130DDB" w:rsidRDefault="00130DDB" w:rsidP="00923B7C">
      <w:pPr>
        <w:tabs>
          <w:tab w:val="clear" w:pos="4320"/>
          <w:tab w:val="clear" w:pos="9072"/>
        </w:tabs>
        <w:spacing w:line="360" w:lineRule="auto"/>
        <w:jc w:val="both"/>
        <w:rPr>
          <w:bCs/>
          <w:lang w:val="en-GB"/>
        </w:rPr>
      </w:pPr>
    </w:p>
    <w:p w:rsidR="006313A9" w:rsidRDefault="006015B4" w:rsidP="00923B7C">
      <w:pPr>
        <w:numPr>
          <w:ilvl w:val="0"/>
          <w:numId w:val="2"/>
        </w:numPr>
        <w:tabs>
          <w:tab w:val="clear" w:pos="360"/>
          <w:tab w:val="clear" w:pos="4320"/>
          <w:tab w:val="clear" w:pos="9072"/>
        </w:tabs>
        <w:spacing w:line="360" w:lineRule="auto"/>
        <w:jc w:val="both"/>
        <w:rPr>
          <w:bCs/>
          <w:lang w:val="en-GB"/>
        </w:rPr>
      </w:pPr>
      <w:r>
        <w:rPr>
          <w:bCs/>
          <w:lang w:val="en-GB"/>
        </w:rPr>
        <w:t xml:space="preserve">As far as the Supplemental Report is concerned, </w:t>
      </w:r>
      <w:r w:rsidR="006313A9">
        <w:rPr>
          <w:bCs/>
          <w:lang w:val="en-GB"/>
        </w:rPr>
        <w:t xml:space="preserve">I am of the view that the </w:t>
      </w:r>
      <w:r w:rsidR="00334D25" w:rsidRPr="006313A9">
        <w:rPr>
          <w:bCs/>
          <w:i/>
          <w:lang w:val="en-GB"/>
        </w:rPr>
        <w:t>Ladd v Marshall</w:t>
      </w:r>
      <w:r w:rsidR="00334D25">
        <w:rPr>
          <w:bCs/>
          <w:lang w:val="en-GB"/>
        </w:rPr>
        <w:t xml:space="preserve"> </w:t>
      </w:r>
      <w:r w:rsidR="006313A9">
        <w:rPr>
          <w:bCs/>
          <w:lang w:val="en-GB"/>
        </w:rPr>
        <w:t>criteria are satisfied:</w:t>
      </w:r>
    </w:p>
    <w:p w:rsidR="006313A9" w:rsidRDefault="006313A9" w:rsidP="00923B7C">
      <w:pPr>
        <w:tabs>
          <w:tab w:val="clear" w:pos="1440"/>
          <w:tab w:val="clear" w:pos="4320"/>
          <w:tab w:val="clear" w:pos="9072"/>
          <w:tab w:val="left" w:pos="2160"/>
        </w:tabs>
        <w:spacing w:line="360" w:lineRule="auto"/>
        <w:ind w:left="2160"/>
        <w:jc w:val="both"/>
        <w:rPr>
          <w:bCs/>
          <w:lang w:val="en-GB"/>
        </w:rPr>
      </w:pPr>
    </w:p>
    <w:p w:rsidR="006313A9" w:rsidRDefault="006313A9"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 </w:t>
      </w:r>
      <w:r w:rsidR="006015B4">
        <w:rPr>
          <w:bCs/>
          <w:lang w:val="en-GB"/>
        </w:rPr>
        <w:t xml:space="preserve">The </w:t>
      </w:r>
      <w:r w:rsidR="00334D25">
        <w:rPr>
          <w:bCs/>
          <w:lang w:val="en-GB"/>
        </w:rPr>
        <w:t xml:space="preserve">Supplemental Report provides up-to-date information on the treatment and diagnosis of the plaintiff since he returned to Dr Tsang for consultation on 3 October 2020.  </w:t>
      </w:r>
      <w:r w:rsidR="00130DDB">
        <w:rPr>
          <w:bCs/>
          <w:lang w:val="en-GB"/>
        </w:rPr>
        <w:t xml:space="preserve">Hence, it could not </w:t>
      </w:r>
      <w:r w:rsidR="00E626B3">
        <w:rPr>
          <w:bCs/>
          <w:lang w:val="en-GB"/>
        </w:rPr>
        <w:t xml:space="preserve">have </w:t>
      </w:r>
      <w:r w:rsidR="00130DDB">
        <w:rPr>
          <w:bCs/>
          <w:lang w:val="en-GB"/>
        </w:rPr>
        <w:t>be</w:t>
      </w:r>
      <w:r w:rsidR="00E626B3">
        <w:rPr>
          <w:bCs/>
          <w:lang w:val="en-GB"/>
        </w:rPr>
        <w:t>en</w:t>
      </w:r>
      <w:r w:rsidR="00130DDB">
        <w:rPr>
          <w:bCs/>
          <w:lang w:val="en-GB"/>
        </w:rPr>
        <w:t xml:space="preserve"> obtained earlier</w:t>
      </w:r>
      <w:r w:rsidR="00CF2888">
        <w:rPr>
          <w:bCs/>
          <w:lang w:val="en-GB"/>
        </w:rPr>
        <w:t>;</w:t>
      </w:r>
    </w:p>
    <w:p w:rsidR="00CF2888" w:rsidRDefault="00CF2888" w:rsidP="00923B7C">
      <w:pPr>
        <w:tabs>
          <w:tab w:val="clear" w:pos="1440"/>
          <w:tab w:val="clear" w:pos="4320"/>
          <w:tab w:val="clear" w:pos="9072"/>
          <w:tab w:val="left" w:pos="2160"/>
        </w:tabs>
        <w:spacing w:line="360" w:lineRule="auto"/>
        <w:ind w:left="2160"/>
        <w:jc w:val="both"/>
        <w:rPr>
          <w:bCs/>
          <w:lang w:val="en-GB"/>
        </w:rPr>
      </w:pPr>
    </w:p>
    <w:p w:rsidR="00130DDB" w:rsidRPr="00CF2888" w:rsidRDefault="00CF2888"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Supplemental Report, if admitted as evidence, might have a </w:t>
      </w:r>
      <w:r>
        <w:t xml:space="preserve">very important influence on the plaintiff’s application to adduce psychiatric expert </w:t>
      </w:r>
      <w:r w:rsidR="00657494">
        <w:t>evidence</w:t>
      </w:r>
      <w:r>
        <w:t>; and</w:t>
      </w:r>
    </w:p>
    <w:p w:rsidR="00CF2888" w:rsidRPr="00CF2888" w:rsidRDefault="00CF2888" w:rsidP="00923B7C">
      <w:pPr>
        <w:tabs>
          <w:tab w:val="clear" w:pos="1440"/>
          <w:tab w:val="clear" w:pos="4320"/>
          <w:tab w:val="clear" w:pos="9072"/>
          <w:tab w:val="left" w:pos="2160"/>
        </w:tabs>
        <w:spacing w:line="360" w:lineRule="auto"/>
        <w:ind w:left="2160"/>
        <w:jc w:val="both"/>
        <w:rPr>
          <w:bCs/>
          <w:lang w:val="en-GB"/>
        </w:rPr>
      </w:pPr>
    </w:p>
    <w:p w:rsidR="006313A9" w:rsidRPr="00657494" w:rsidRDefault="00CF2888"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lang w:val="en-GB"/>
        </w:rPr>
        <w:t>The Supplemental Report is credible because</w:t>
      </w:r>
      <w:r w:rsidR="00E82E3C">
        <w:rPr>
          <w:lang w:val="en-GB"/>
        </w:rPr>
        <w:t>, among other things,</w:t>
      </w:r>
      <w:r>
        <w:rPr>
          <w:lang w:val="en-GB"/>
        </w:rPr>
        <w:t xml:space="preserve"> it was prepared by Dr Tsang who is a specialist in psychiatry.</w:t>
      </w:r>
      <w:r w:rsidR="00657494">
        <w:rPr>
          <w:rStyle w:val="FootnoteReference"/>
          <w:bCs/>
          <w:lang w:val="en-GB"/>
        </w:rPr>
        <w:footnoteReference w:id="4"/>
      </w:r>
    </w:p>
    <w:p w:rsidR="00657494" w:rsidRDefault="00657494" w:rsidP="00923B7C">
      <w:pPr>
        <w:tabs>
          <w:tab w:val="clear" w:pos="4320"/>
          <w:tab w:val="clear" w:pos="9072"/>
        </w:tabs>
        <w:spacing w:line="360" w:lineRule="auto"/>
        <w:jc w:val="both"/>
        <w:rPr>
          <w:bCs/>
          <w:lang w:val="en-GB"/>
        </w:rPr>
      </w:pPr>
    </w:p>
    <w:p w:rsidR="000C1030" w:rsidRDefault="000C1030" w:rsidP="00923B7C">
      <w:pPr>
        <w:numPr>
          <w:ilvl w:val="0"/>
          <w:numId w:val="2"/>
        </w:numPr>
        <w:tabs>
          <w:tab w:val="clear" w:pos="360"/>
          <w:tab w:val="clear" w:pos="4320"/>
          <w:tab w:val="clear" w:pos="9072"/>
        </w:tabs>
        <w:spacing w:line="360" w:lineRule="auto"/>
        <w:jc w:val="both"/>
        <w:rPr>
          <w:bCs/>
          <w:lang w:val="en-GB"/>
        </w:rPr>
      </w:pPr>
      <w:r>
        <w:rPr>
          <w:bCs/>
          <w:lang w:val="en-GB"/>
        </w:rPr>
        <w:t>In opposing the Affirmation Summons, Ms Yu for the</w:t>
      </w:r>
      <w:r w:rsidR="00D30B6C">
        <w:rPr>
          <w:bCs/>
          <w:lang w:val="en-GB"/>
        </w:rPr>
        <w:t xml:space="preserve"> defendant has made </w:t>
      </w:r>
      <w:r w:rsidR="00E067C1">
        <w:rPr>
          <w:bCs/>
          <w:lang w:val="en-GB"/>
        </w:rPr>
        <w:t>a number of arguments, which will be dealt with below</w:t>
      </w:r>
      <w:r>
        <w:rPr>
          <w:bCs/>
          <w:lang w:val="en-GB"/>
        </w:rPr>
        <w:t>.</w:t>
      </w:r>
    </w:p>
    <w:p w:rsidR="00EF0D06" w:rsidRDefault="00EF0D06" w:rsidP="00923B7C">
      <w:pPr>
        <w:tabs>
          <w:tab w:val="clear" w:pos="4320"/>
          <w:tab w:val="clear" w:pos="9072"/>
        </w:tabs>
        <w:spacing w:line="360" w:lineRule="auto"/>
        <w:jc w:val="both"/>
        <w:rPr>
          <w:bCs/>
          <w:lang w:val="en-GB"/>
        </w:rPr>
      </w:pPr>
    </w:p>
    <w:p w:rsidR="000C1030" w:rsidRDefault="000C1030" w:rsidP="00923B7C">
      <w:pPr>
        <w:numPr>
          <w:ilvl w:val="0"/>
          <w:numId w:val="2"/>
        </w:numPr>
        <w:tabs>
          <w:tab w:val="clear" w:pos="360"/>
          <w:tab w:val="clear" w:pos="4320"/>
          <w:tab w:val="clear" w:pos="9072"/>
        </w:tabs>
        <w:spacing w:line="360" w:lineRule="auto"/>
        <w:jc w:val="both"/>
        <w:rPr>
          <w:bCs/>
          <w:lang w:val="en-GB"/>
        </w:rPr>
      </w:pPr>
      <w:r>
        <w:rPr>
          <w:bCs/>
          <w:lang w:val="en-GB"/>
        </w:rPr>
        <w:t>First</w:t>
      </w:r>
      <w:r w:rsidR="00041601">
        <w:rPr>
          <w:bCs/>
          <w:lang w:val="en-GB"/>
        </w:rPr>
        <w:t>ly</w:t>
      </w:r>
      <w:r>
        <w:rPr>
          <w:bCs/>
          <w:lang w:val="en-GB"/>
        </w:rPr>
        <w:t xml:space="preserve">, it was said that the plaintiff’s </w:t>
      </w:r>
      <w:r w:rsidR="00657494">
        <w:rPr>
          <w:bCs/>
          <w:lang w:val="en-GB"/>
        </w:rPr>
        <w:t>3</w:t>
      </w:r>
      <w:r w:rsidR="00657494" w:rsidRPr="00657494">
        <w:rPr>
          <w:bCs/>
          <w:vertAlign w:val="superscript"/>
          <w:lang w:val="en-GB"/>
        </w:rPr>
        <w:t>rd</w:t>
      </w:r>
      <w:r w:rsidR="00657494">
        <w:rPr>
          <w:bCs/>
          <w:lang w:val="en-GB"/>
        </w:rPr>
        <w:t xml:space="preserve"> Affirmation (filed in </w:t>
      </w:r>
      <w:r>
        <w:rPr>
          <w:bCs/>
          <w:lang w:val="en-GB"/>
        </w:rPr>
        <w:t>support</w:t>
      </w:r>
      <w:r w:rsidR="00657494">
        <w:rPr>
          <w:bCs/>
          <w:lang w:val="en-GB"/>
        </w:rPr>
        <w:t xml:space="preserve"> of the A</w:t>
      </w:r>
      <w:r>
        <w:rPr>
          <w:bCs/>
          <w:lang w:val="en-GB"/>
        </w:rPr>
        <w:t>ffirmation</w:t>
      </w:r>
      <w:r w:rsidR="00657494">
        <w:rPr>
          <w:bCs/>
          <w:lang w:val="en-GB"/>
        </w:rPr>
        <w:t xml:space="preserve"> Summons)</w:t>
      </w:r>
      <w:r>
        <w:rPr>
          <w:bCs/>
          <w:lang w:val="en-GB"/>
        </w:rPr>
        <w:t xml:space="preserve"> has not suggested what “exceptional circumstances” may have arisen since the date when the plaintiff took out the Expert Directions Summons.  </w:t>
      </w:r>
    </w:p>
    <w:p w:rsidR="00EF0D06" w:rsidRDefault="00EF0D06" w:rsidP="00923B7C">
      <w:pPr>
        <w:tabs>
          <w:tab w:val="clear" w:pos="4320"/>
          <w:tab w:val="clear" w:pos="9072"/>
        </w:tabs>
        <w:spacing w:line="360" w:lineRule="auto"/>
        <w:jc w:val="both"/>
        <w:rPr>
          <w:bCs/>
          <w:lang w:val="en-GB"/>
        </w:rPr>
      </w:pPr>
    </w:p>
    <w:p w:rsidR="000C1030" w:rsidRDefault="0056355D" w:rsidP="00923B7C">
      <w:pPr>
        <w:numPr>
          <w:ilvl w:val="0"/>
          <w:numId w:val="2"/>
        </w:numPr>
        <w:tabs>
          <w:tab w:val="clear" w:pos="360"/>
          <w:tab w:val="clear" w:pos="4320"/>
          <w:tab w:val="clear" w:pos="9072"/>
        </w:tabs>
        <w:spacing w:line="360" w:lineRule="auto"/>
        <w:jc w:val="both"/>
        <w:rPr>
          <w:bCs/>
          <w:lang w:val="en-GB"/>
        </w:rPr>
      </w:pPr>
      <w:r>
        <w:rPr>
          <w:bCs/>
          <w:lang w:val="en-GB"/>
        </w:rPr>
        <w:t xml:space="preserve">The plaintiff’s </w:t>
      </w:r>
      <w:r w:rsidR="00657494">
        <w:rPr>
          <w:bCs/>
          <w:lang w:val="en-GB"/>
        </w:rPr>
        <w:t>3</w:t>
      </w:r>
      <w:r w:rsidR="00657494" w:rsidRPr="00657494">
        <w:rPr>
          <w:bCs/>
          <w:vertAlign w:val="superscript"/>
          <w:lang w:val="en-GB"/>
        </w:rPr>
        <w:t>rd</w:t>
      </w:r>
      <w:r w:rsidR="00657494">
        <w:rPr>
          <w:bCs/>
          <w:lang w:val="en-GB"/>
        </w:rPr>
        <w:t xml:space="preserve"> A</w:t>
      </w:r>
      <w:r>
        <w:rPr>
          <w:bCs/>
          <w:lang w:val="en-GB"/>
        </w:rPr>
        <w:t xml:space="preserve">ffirmation is </w:t>
      </w:r>
      <w:r w:rsidR="00EF0D06">
        <w:rPr>
          <w:bCs/>
          <w:lang w:val="en-GB"/>
        </w:rPr>
        <w:t xml:space="preserve">indeed </w:t>
      </w:r>
      <w:r>
        <w:rPr>
          <w:bCs/>
          <w:lang w:val="en-GB"/>
        </w:rPr>
        <w:t xml:space="preserve">a very short </w:t>
      </w:r>
      <w:r w:rsidR="00041601">
        <w:rPr>
          <w:bCs/>
          <w:lang w:val="en-GB"/>
        </w:rPr>
        <w:t>affirmation</w:t>
      </w:r>
      <w:r>
        <w:rPr>
          <w:bCs/>
          <w:lang w:val="en-GB"/>
        </w:rPr>
        <w:t xml:space="preserve">.  However, it has set out the date of the Supplemental Report, and the </w:t>
      </w:r>
      <w:r w:rsidR="00766590">
        <w:rPr>
          <w:bCs/>
          <w:lang w:val="en-GB"/>
        </w:rPr>
        <w:t>Supplemental</w:t>
      </w:r>
      <w:r>
        <w:rPr>
          <w:bCs/>
          <w:lang w:val="en-GB"/>
        </w:rPr>
        <w:t xml:space="preserve"> Affirmation together with the Supplemental Report were exhibited thereto.  In other words, the plaintiff has placed before the court the required materials for the court’s consideration.  </w:t>
      </w:r>
      <w:r w:rsidR="00EF0D06">
        <w:rPr>
          <w:bCs/>
          <w:lang w:val="en-GB"/>
        </w:rPr>
        <w:t xml:space="preserve">Whether “exceptional circumstances” exist should be addressed by counsel in his submissions, </w:t>
      </w:r>
      <w:r w:rsidR="00E067C1">
        <w:rPr>
          <w:bCs/>
          <w:lang w:val="en-GB"/>
        </w:rPr>
        <w:t xml:space="preserve">and any argument should not be contained in the supporting affirmation. </w:t>
      </w:r>
      <w:r w:rsidR="00E82E3C">
        <w:rPr>
          <w:bCs/>
          <w:lang w:val="en-GB"/>
        </w:rPr>
        <w:t xml:space="preserve"> </w:t>
      </w:r>
      <w:r w:rsidR="00041601">
        <w:rPr>
          <w:bCs/>
          <w:lang w:val="en-GB"/>
        </w:rPr>
        <w:t>Ms Yu’s argument</w:t>
      </w:r>
      <w:r w:rsidR="00E067C1">
        <w:rPr>
          <w:bCs/>
          <w:lang w:val="en-GB"/>
        </w:rPr>
        <w:t xml:space="preserve"> is therefore rejected</w:t>
      </w:r>
      <w:r w:rsidR="00041601">
        <w:rPr>
          <w:bCs/>
          <w:lang w:val="en-GB"/>
        </w:rPr>
        <w:t>.</w:t>
      </w:r>
    </w:p>
    <w:p w:rsidR="00EF0D06" w:rsidRDefault="00EF0D06" w:rsidP="00923B7C">
      <w:pPr>
        <w:pStyle w:val="ListParagraph"/>
        <w:spacing w:line="360" w:lineRule="auto"/>
        <w:rPr>
          <w:bCs/>
          <w:lang w:val="en-GB"/>
        </w:rPr>
      </w:pPr>
    </w:p>
    <w:p w:rsidR="00EF0D06" w:rsidRDefault="008B08DB" w:rsidP="00923B7C">
      <w:pPr>
        <w:numPr>
          <w:ilvl w:val="0"/>
          <w:numId w:val="2"/>
        </w:numPr>
        <w:tabs>
          <w:tab w:val="clear" w:pos="360"/>
          <w:tab w:val="clear" w:pos="4320"/>
          <w:tab w:val="clear" w:pos="9072"/>
        </w:tabs>
        <w:spacing w:line="360" w:lineRule="auto"/>
        <w:jc w:val="both"/>
        <w:rPr>
          <w:bCs/>
          <w:lang w:val="en-GB"/>
        </w:rPr>
      </w:pPr>
      <w:r>
        <w:rPr>
          <w:bCs/>
          <w:lang w:val="en-GB"/>
        </w:rPr>
        <w:t>Ms Yu for the</w:t>
      </w:r>
      <w:r w:rsidR="00EF0D06">
        <w:rPr>
          <w:bCs/>
          <w:lang w:val="en-GB"/>
        </w:rPr>
        <w:t xml:space="preserve"> defendant then </w:t>
      </w:r>
      <w:r w:rsidR="00041601">
        <w:rPr>
          <w:bCs/>
          <w:lang w:val="en-GB"/>
        </w:rPr>
        <w:t>submitt</w:t>
      </w:r>
      <w:r w:rsidR="00EF0D06">
        <w:rPr>
          <w:bCs/>
          <w:lang w:val="en-GB"/>
        </w:rPr>
        <w:t>ed that the new evidence can</w:t>
      </w:r>
      <w:r w:rsidR="00041601">
        <w:rPr>
          <w:bCs/>
          <w:lang w:val="en-GB"/>
        </w:rPr>
        <w:t>not</w:t>
      </w:r>
      <w:r w:rsidR="00EF0D06">
        <w:rPr>
          <w:bCs/>
          <w:lang w:val="en-GB"/>
        </w:rPr>
        <w:t xml:space="preserve"> strengthen the plaintiff’s argument in the Expert Directions Summons, in particular, it was pointed out that the plaintiff’s counsel did not rely on the new evidence in his submissions at all, and that the Supplemental Report does not address the key issue of whether the plaintiff’s psychiatric conditions may have been caused by the accident.  </w:t>
      </w:r>
    </w:p>
    <w:p w:rsidR="00EF0D06" w:rsidRDefault="00EF0D06" w:rsidP="00923B7C">
      <w:pPr>
        <w:pStyle w:val="ListParagraph"/>
        <w:spacing w:line="360" w:lineRule="auto"/>
        <w:rPr>
          <w:bCs/>
          <w:lang w:val="en-GB"/>
        </w:rPr>
      </w:pPr>
    </w:p>
    <w:p w:rsidR="008030C7" w:rsidRDefault="008030C7" w:rsidP="00923B7C">
      <w:pPr>
        <w:numPr>
          <w:ilvl w:val="0"/>
          <w:numId w:val="2"/>
        </w:numPr>
        <w:tabs>
          <w:tab w:val="clear" w:pos="360"/>
          <w:tab w:val="clear" w:pos="4320"/>
          <w:tab w:val="clear" w:pos="9072"/>
        </w:tabs>
        <w:spacing w:line="360" w:lineRule="auto"/>
        <w:jc w:val="both"/>
        <w:rPr>
          <w:bCs/>
          <w:lang w:val="en-GB"/>
        </w:rPr>
      </w:pPr>
      <w:r>
        <w:rPr>
          <w:bCs/>
          <w:lang w:val="en-GB"/>
        </w:rPr>
        <w:t xml:space="preserve">The </w:t>
      </w:r>
      <w:r w:rsidR="000C26D9">
        <w:rPr>
          <w:bCs/>
          <w:lang w:val="en-GB"/>
        </w:rPr>
        <w:t>first</w:t>
      </w:r>
      <w:r>
        <w:rPr>
          <w:bCs/>
          <w:lang w:val="en-GB"/>
        </w:rPr>
        <w:t xml:space="preserve"> point can be dealt with quickly, for it is factually incorrect for Ms Yu to allege that Mr Wong, the plaintiff’s counsel, has placed no reliance on the Supplemental Report.  He has plainly done so in paragraph 56 of his written submissions dated 18 January 2021.</w:t>
      </w:r>
    </w:p>
    <w:p w:rsidR="008030C7" w:rsidRDefault="008030C7" w:rsidP="00923B7C">
      <w:pPr>
        <w:pStyle w:val="ListParagraph"/>
        <w:spacing w:line="360" w:lineRule="auto"/>
        <w:rPr>
          <w:bCs/>
          <w:lang w:val="en-GB"/>
        </w:rPr>
      </w:pPr>
    </w:p>
    <w:p w:rsidR="00973762" w:rsidRDefault="000C26D9" w:rsidP="00923B7C">
      <w:pPr>
        <w:numPr>
          <w:ilvl w:val="0"/>
          <w:numId w:val="2"/>
        </w:numPr>
        <w:tabs>
          <w:tab w:val="clear" w:pos="360"/>
          <w:tab w:val="clear" w:pos="4320"/>
          <w:tab w:val="clear" w:pos="9072"/>
        </w:tabs>
        <w:spacing w:line="360" w:lineRule="auto"/>
        <w:jc w:val="both"/>
        <w:rPr>
          <w:bCs/>
          <w:lang w:val="en-GB"/>
        </w:rPr>
      </w:pPr>
      <w:r>
        <w:rPr>
          <w:bCs/>
          <w:lang w:val="en-GB"/>
        </w:rPr>
        <w:t>In relation to the second point, w</w:t>
      </w:r>
      <w:r w:rsidR="008B08DB">
        <w:rPr>
          <w:bCs/>
          <w:lang w:val="en-GB"/>
        </w:rPr>
        <w:t xml:space="preserve">ith respect, </w:t>
      </w:r>
      <w:r w:rsidR="00482ED4">
        <w:rPr>
          <w:bCs/>
          <w:lang w:val="en-GB"/>
        </w:rPr>
        <w:t xml:space="preserve">I do not think it is a prerequisite for the Supplemental Report to address on the so-called “key issue” before it will be </w:t>
      </w:r>
      <w:r w:rsidR="00973762">
        <w:rPr>
          <w:bCs/>
          <w:lang w:val="en-GB"/>
        </w:rPr>
        <w:t>accepted as new evidence</w:t>
      </w:r>
      <w:r w:rsidR="008B08DB">
        <w:rPr>
          <w:bCs/>
          <w:lang w:val="en-GB"/>
        </w:rPr>
        <w:t xml:space="preserve">.  </w:t>
      </w:r>
      <w:r w:rsidR="00657494">
        <w:rPr>
          <w:bCs/>
          <w:lang w:val="en-GB"/>
        </w:rPr>
        <w:t xml:space="preserve">The “key issue” should be dealt with by the experts nominated by the parties if the court allows the plaintiff’s application to adduce psychiatric expert evidence. </w:t>
      </w:r>
      <w:r w:rsidR="008030C7">
        <w:rPr>
          <w:bCs/>
          <w:lang w:val="en-GB"/>
        </w:rPr>
        <w:t xml:space="preserve">  </w:t>
      </w:r>
    </w:p>
    <w:p w:rsidR="008A5FA5" w:rsidRDefault="008A5FA5" w:rsidP="00923B7C">
      <w:pPr>
        <w:pStyle w:val="ListParagraph"/>
        <w:spacing w:line="360" w:lineRule="auto"/>
        <w:rPr>
          <w:bCs/>
          <w:lang w:val="en-GB"/>
        </w:rPr>
      </w:pPr>
    </w:p>
    <w:p w:rsidR="008A5FA5" w:rsidRDefault="008A5FA5" w:rsidP="00923B7C">
      <w:pPr>
        <w:numPr>
          <w:ilvl w:val="0"/>
          <w:numId w:val="2"/>
        </w:numPr>
        <w:tabs>
          <w:tab w:val="clear" w:pos="360"/>
          <w:tab w:val="clear" w:pos="4320"/>
          <w:tab w:val="clear" w:pos="9072"/>
        </w:tabs>
        <w:spacing w:line="360" w:lineRule="auto"/>
        <w:jc w:val="both"/>
        <w:rPr>
          <w:bCs/>
          <w:lang w:val="en-GB"/>
        </w:rPr>
      </w:pPr>
      <w:r>
        <w:rPr>
          <w:bCs/>
          <w:lang w:val="en-GB"/>
        </w:rPr>
        <w:t>In submitting that the Supplemental Report has “no important influence on the result of the case”</w:t>
      </w:r>
      <w:r>
        <w:rPr>
          <w:rStyle w:val="FootnoteReference"/>
          <w:bCs/>
          <w:lang w:val="en-GB"/>
        </w:rPr>
        <w:footnoteReference w:id="5"/>
      </w:r>
      <w:r w:rsidR="00041601">
        <w:rPr>
          <w:bCs/>
          <w:lang w:val="en-GB"/>
        </w:rPr>
        <w:t xml:space="preserve"> for the reason that the said report is silent on the issue of causation</w:t>
      </w:r>
      <w:r>
        <w:rPr>
          <w:bCs/>
          <w:lang w:val="en-GB"/>
        </w:rPr>
        <w:t>, it seems that Ms Yu has confused what “the case”</w:t>
      </w:r>
      <w:r w:rsidR="0021226D">
        <w:rPr>
          <w:bCs/>
          <w:lang w:val="en-GB"/>
        </w:rPr>
        <w:t xml:space="preserve"> should be</w:t>
      </w:r>
      <w:r>
        <w:rPr>
          <w:bCs/>
          <w:lang w:val="en-GB"/>
        </w:rPr>
        <w:t xml:space="preserve">, as it appears that she is referring to the ultimate outcome of the plaintiff’s personal injuries claim.  In my view, that is not right.  </w:t>
      </w:r>
      <w:r w:rsidR="00041601">
        <w:rPr>
          <w:bCs/>
          <w:lang w:val="en-GB"/>
        </w:rPr>
        <w:t xml:space="preserve">The </w:t>
      </w:r>
      <w:r>
        <w:rPr>
          <w:bCs/>
          <w:lang w:val="en-GB"/>
        </w:rPr>
        <w:t>“case” here should mean the Expert Directions Summons rather.</w:t>
      </w:r>
      <w:r w:rsidR="000C26D9">
        <w:rPr>
          <w:bCs/>
          <w:lang w:val="en-GB"/>
        </w:rPr>
        <w:t xml:space="preserve">  In other words, the correct question to ask is whether the Supplemental Report might have a </w:t>
      </w:r>
      <w:r w:rsidR="000C26D9">
        <w:t>very important influence on the plaintiff’s application to adduce psychiatric expert evidence, rather than on the plaintiff’s personal injuries claim as a whole.</w:t>
      </w:r>
    </w:p>
    <w:p w:rsidR="00973762" w:rsidRDefault="00973762" w:rsidP="00923B7C">
      <w:pPr>
        <w:pStyle w:val="ListParagraph"/>
        <w:spacing w:line="360" w:lineRule="auto"/>
        <w:rPr>
          <w:bCs/>
          <w:lang w:val="en-GB"/>
        </w:rPr>
      </w:pPr>
    </w:p>
    <w:p w:rsidR="00041601" w:rsidRDefault="008B08DB" w:rsidP="00923B7C">
      <w:pPr>
        <w:numPr>
          <w:ilvl w:val="0"/>
          <w:numId w:val="2"/>
        </w:numPr>
        <w:tabs>
          <w:tab w:val="clear" w:pos="360"/>
          <w:tab w:val="clear" w:pos="4320"/>
          <w:tab w:val="clear" w:pos="9072"/>
        </w:tabs>
        <w:spacing w:line="360" w:lineRule="auto"/>
        <w:jc w:val="both"/>
        <w:rPr>
          <w:bCs/>
          <w:lang w:val="en-GB"/>
        </w:rPr>
      </w:pPr>
      <w:r>
        <w:rPr>
          <w:bCs/>
          <w:lang w:val="en-GB"/>
        </w:rPr>
        <w:t>The Suppl</w:t>
      </w:r>
      <w:r w:rsidR="00482ED4">
        <w:rPr>
          <w:bCs/>
          <w:lang w:val="en-GB"/>
        </w:rPr>
        <w:t xml:space="preserve">emental Report supports the plaintiff’s </w:t>
      </w:r>
      <w:r w:rsidR="00041601">
        <w:rPr>
          <w:bCs/>
          <w:lang w:val="en-GB"/>
        </w:rPr>
        <w:t>contention</w:t>
      </w:r>
      <w:r w:rsidR="00482ED4">
        <w:rPr>
          <w:bCs/>
          <w:lang w:val="en-GB"/>
        </w:rPr>
        <w:t xml:space="preserve"> that he is still suffering from depression, a</w:t>
      </w:r>
      <w:r w:rsidR="00973762">
        <w:rPr>
          <w:bCs/>
          <w:lang w:val="en-GB"/>
        </w:rPr>
        <w:t xml:space="preserve">nd such a condition </w:t>
      </w:r>
      <w:r w:rsidR="00657494">
        <w:rPr>
          <w:bCs/>
          <w:lang w:val="en-GB"/>
        </w:rPr>
        <w:t>might</w:t>
      </w:r>
      <w:r w:rsidR="00973762">
        <w:rPr>
          <w:bCs/>
          <w:lang w:val="en-GB"/>
        </w:rPr>
        <w:t xml:space="preserve"> have a bearing on</w:t>
      </w:r>
      <w:r w:rsidR="00BD6320">
        <w:rPr>
          <w:bCs/>
          <w:lang w:val="en-GB"/>
        </w:rPr>
        <w:t>, among other things,</w:t>
      </w:r>
      <w:r w:rsidR="00482ED4">
        <w:rPr>
          <w:bCs/>
          <w:lang w:val="en-GB"/>
        </w:rPr>
        <w:t xml:space="preserve"> his ability to resume his pre-accident job.</w:t>
      </w:r>
      <w:r>
        <w:rPr>
          <w:bCs/>
          <w:lang w:val="en-GB"/>
        </w:rPr>
        <w:t xml:space="preserve"> </w:t>
      </w:r>
      <w:r w:rsidR="00482ED4">
        <w:rPr>
          <w:bCs/>
          <w:lang w:val="en-GB"/>
        </w:rPr>
        <w:t xml:space="preserve"> </w:t>
      </w:r>
      <w:r w:rsidR="00973762">
        <w:rPr>
          <w:bCs/>
          <w:lang w:val="en-GB"/>
        </w:rPr>
        <w:t xml:space="preserve">In my view, this might affect the court’s decision on the Expert Directions Summons. </w:t>
      </w:r>
    </w:p>
    <w:p w:rsidR="00041601" w:rsidRDefault="00041601" w:rsidP="00923B7C">
      <w:pPr>
        <w:pStyle w:val="ListParagraph"/>
        <w:spacing w:line="360" w:lineRule="auto"/>
        <w:rPr>
          <w:bCs/>
          <w:lang w:val="en-GB"/>
        </w:rPr>
      </w:pPr>
    </w:p>
    <w:p w:rsidR="00063149" w:rsidRDefault="00D30B6C" w:rsidP="00923B7C">
      <w:pPr>
        <w:numPr>
          <w:ilvl w:val="0"/>
          <w:numId w:val="2"/>
        </w:numPr>
        <w:tabs>
          <w:tab w:val="clear" w:pos="360"/>
          <w:tab w:val="clear" w:pos="4320"/>
          <w:tab w:val="clear" w:pos="9072"/>
        </w:tabs>
        <w:spacing w:line="360" w:lineRule="auto"/>
        <w:jc w:val="both"/>
        <w:rPr>
          <w:bCs/>
          <w:lang w:val="en-GB"/>
        </w:rPr>
      </w:pPr>
      <w:r>
        <w:rPr>
          <w:bCs/>
          <w:lang w:val="en-GB"/>
        </w:rPr>
        <w:t>Ms Yu further submitted that there is “a big question mark on whether the evidence is presumably to be believed”</w:t>
      </w:r>
      <w:r>
        <w:rPr>
          <w:rStyle w:val="FootnoteReference"/>
          <w:bCs/>
          <w:lang w:val="en-GB"/>
        </w:rPr>
        <w:footnoteReference w:id="6"/>
      </w:r>
      <w:r>
        <w:rPr>
          <w:bCs/>
          <w:lang w:val="en-GB"/>
        </w:rPr>
        <w:t xml:space="preserve"> because there was a</w:t>
      </w:r>
      <w:r w:rsidR="00BD6320">
        <w:rPr>
          <w:bCs/>
          <w:lang w:val="en-GB"/>
        </w:rPr>
        <w:t>llegedly a</w:t>
      </w:r>
      <w:r>
        <w:rPr>
          <w:bCs/>
          <w:lang w:val="en-GB"/>
        </w:rPr>
        <w:t xml:space="preserve"> clear intention for the plaintiff to raise various complaints and symptoms in front of Dr Tsang, so that these complaints and symptoms can be put on record.  </w:t>
      </w:r>
      <w:r w:rsidR="00041601">
        <w:rPr>
          <w:bCs/>
          <w:lang w:val="en-GB"/>
        </w:rPr>
        <w:t>First of all, as far as the record of complaint is concerned, w</w:t>
      </w:r>
      <w:r w:rsidR="00865BE4">
        <w:rPr>
          <w:bCs/>
          <w:lang w:val="en-GB"/>
        </w:rPr>
        <w:t>hile I agree that the plaintiff’s complaints may or may not be genuine</w:t>
      </w:r>
      <w:r w:rsidR="0021226D">
        <w:rPr>
          <w:bCs/>
          <w:lang w:val="en-GB"/>
        </w:rPr>
        <w:t xml:space="preserve"> (this has to be decided at the trial)</w:t>
      </w:r>
      <w:r w:rsidR="00865BE4">
        <w:rPr>
          <w:bCs/>
          <w:lang w:val="en-GB"/>
        </w:rPr>
        <w:t xml:space="preserve">, it does not </w:t>
      </w:r>
      <w:r w:rsidR="00063149">
        <w:rPr>
          <w:bCs/>
          <w:lang w:val="en-GB"/>
        </w:rPr>
        <w:t>affect</w:t>
      </w:r>
      <w:r w:rsidR="00865BE4">
        <w:rPr>
          <w:bCs/>
          <w:lang w:val="en-GB"/>
        </w:rPr>
        <w:t xml:space="preserve"> the credibility of Dr Tsang’s report.  The focus should be on the accuracy and credibility of Dr Tsang’s record, rather than the plaintiff’s complaints.  </w:t>
      </w:r>
    </w:p>
    <w:p w:rsidR="00063149" w:rsidRDefault="00063149" w:rsidP="00923B7C">
      <w:pPr>
        <w:pStyle w:val="ListParagraph"/>
        <w:spacing w:line="360" w:lineRule="auto"/>
        <w:rPr>
          <w:bCs/>
          <w:lang w:val="en-GB"/>
        </w:rPr>
      </w:pPr>
    </w:p>
    <w:p w:rsidR="00EF0D06" w:rsidRDefault="00041601" w:rsidP="00923B7C">
      <w:pPr>
        <w:numPr>
          <w:ilvl w:val="0"/>
          <w:numId w:val="2"/>
        </w:numPr>
        <w:tabs>
          <w:tab w:val="clear" w:pos="360"/>
          <w:tab w:val="clear" w:pos="4320"/>
          <w:tab w:val="clear" w:pos="9072"/>
        </w:tabs>
        <w:spacing w:line="360" w:lineRule="auto"/>
        <w:jc w:val="both"/>
        <w:rPr>
          <w:bCs/>
          <w:lang w:val="en-GB"/>
        </w:rPr>
      </w:pPr>
      <w:r>
        <w:rPr>
          <w:bCs/>
          <w:lang w:val="en-GB"/>
        </w:rPr>
        <w:t>More</w:t>
      </w:r>
      <w:r w:rsidR="004C397A">
        <w:rPr>
          <w:bCs/>
          <w:lang w:val="en-GB"/>
        </w:rPr>
        <w:t>o</w:t>
      </w:r>
      <w:r>
        <w:rPr>
          <w:bCs/>
          <w:lang w:val="en-GB"/>
        </w:rPr>
        <w:t xml:space="preserve">ver, </w:t>
      </w:r>
      <w:r w:rsidR="004C397A">
        <w:rPr>
          <w:bCs/>
          <w:lang w:val="en-GB"/>
        </w:rPr>
        <w:t>as pointed out by Mr Wong in his 2</w:t>
      </w:r>
      <w:r w:rsidR="004C397A" w:rsidRPr="004C397A">
        <w:rPr>
          <w:bCs/>
          <w:vertAlign w:val="superscript"/>
          <w:lang w:val="en-GB"/>
        </w:rPr>
        <w:t>nd</w:t>
      </w:r>
      <w:r w:rsidR="004C397A">
        <w:rPr>
          <w:bCs/>
          <w:lang w:val="en-GB"/>
        </w:rPr>
        <w:t xml:space="preserve"> submissions in reply, if Dr Tsang took the view that the plaintiff was exaggerating his complaints, he would be duty bound to point that out in the Supplemental Report.  On the basis of the materials placed</w:t>
      </w:r>
      <w:r w:rsidR="00063149">
        <w:rPr>
          <w:bCs/>
          <w:lang w:val="en-GB"/>
        </w:rPr>
        <w:t xml:space="preserve"> before this court, </w:t>
      </w:r>
      <w:r w:rsidR="004C397A">
        <w:rPr>
          <w:bCs/>
          <w:lang w:val="en-GB"/>
        </w:rPr>
        <w:t xml:space="preserve">there is nothing which supports any suggestion that Dr Tsang has failed his duty. </w:t>
      </w:r>
    </w:p>
    <w:p w:rsidR="00657494" w:rsidRDefault="00657494" w:rsidP="00923B7C">
      <w:pPr>
        <w:pStyle w:val="ListParagraph"/>
        <w:spacing w:line="360" w:lineRule="auto"/>
        <w:rPr>
          <w:bCs/>
          <w:lang w:val="en-GB"/>
        </w:rPr>
      </w:pPr>
    </w:p>
    <w:p w:rsidR="00482ED4" w:rsidRDefault="00973762" w:rsidP="00923B7C">
      <w:pPr>
        <w:numPr>
          <w:ilvl w:val="0"/>
          <w:numId w:val="2"/>
        </w:numPr>
        <w:tabs>
          <w:tab w:val="clear" w:pos="360"/>
          <w:tab w:val="clear" w:pos="4320"/>
          <w:tab w:val="clear" w:pos="9072"/>
        </w:tabs>
        <w:spacing w:line="360" w:lineRule="auto"/>
        <w:jc w:val="both"/>
        <w:rPr>
          <w:bCs/>
          <w:lang w:val="en-GB"/>
        </w:rPr>
      </w:pPr>
      <w:r>
        <w:rPr>
          <w:bCs/>
          <w:lang w:val="en-GB"/>
        </w:rPr>
        <w:t xml:space="preserve">Lastly, Ms Yu submitted, by referring to paragraph 18 of </w:t>
      </w:r>
      <w:r w:rsidRPr="00744D00">
        <w:rPr>
          <w:bCs/>
          <w:i/>
          <w:lang w:val="en-GB"/>
        </w:rPr>
        <w:t>Jose Miranda Da Costa Junior &amp; Another</w:t>
      </w:r>
      <w:r>
        <w:rPr>
          <w:bCs/>
          <w:lang w:val="en-GB"/>
        </w:rPr>
        <w:t xml:space="preserve"> (</w:t>
      </w:r>
      <w:r w:rsidRPr="00973762">
        <w:rPr>
          <w:bCs/>
          <w:i/>
          <w:lang w:val="en-GB"/>
        </w:rPr>
        <w:t>supra</w:t>
      </w:r>
      <w:r>
        <w:rPr>
          <w:bCs/>
          <w:lang w:val="en-GB"/>
        </w:rPr>
        <w:t xml:space="preserve">), that the plaintiff’s late application has created a dilemma for the defendant to his prejudice, because “in order to have the Expert Summons to be heard as soon as possible, the defendant has to give up its </w:t>
      </w:r>
      <w:r w:rsidR="00063149" w:rsidRPr="00063149">
        <w:rPr>
          <w:bCs/>
          <w:i/>
          <w:lang w:val="en-GB"/>
        </w:rPr>
        <w:t>(sic)</w:t>
      </w:r>
      <w:r w:rsidR="00063149">
        <w:rPr>
          <w:bCs/>
          <w:lang w:val="en-GB"/>
        </w:rPr>
        <w:t xml:space="preserve"> </w:t>
      </w:r>
      <w:r>
        <w:rPr>
          <w:bCs/>
          <w:lang w:val="en-GB"/>
        </w:rPr>
        <w:t>opportunity to adduce evidence in opposition to the plaintiff’s Affirmation Summons.  The time spent by the defendant’s legal representatives on dealing with the plaintiff’s Affirmation Summons could have been better spent by the defendant in preparing for the Expert Summons.”</w:t>
      </w:r>
      <w:r>
        <w:rPr>
          <w:rStyle w:val="FootnoteReference"/>
          <w:bCs/>
          <w:lang w:val="en-GB"/>
        </w:rPr>
        <w:footnoteReference w:id="7"/>
      </w:r>
    </w:p>
    <w:p w:rsidR="00973762" w:rsidRDefault="00973762" w:rsidP="00923B7C">
      <w:pPr>
        <w:pStyle w:val="ListParagraph"/>
        <w:spacing w:line="360" w:lineRule="auto"/>
        <w:rPr>
          <w:bCs/>
          <w:lang w:val="en-GB"/>
        </w:rPr>
      </w:pPr>
    </w:p>
    <w:p w:rsidR="00973762" w:rsidRDefault="00973762" w:rsidP="00923B7C">
      <w:pPr>
        <w:numPr>
          <w:ilvl w:val="0"/>
          <w:numId w:val="2"/>
        </w:numPr>
        <w:tabs>
          <w:tab w:val="clear" w:pos="360"/>
          <w:tab w:val="clear" w:pos="4320"/>
          <w:tab w:val="clear" w:pos="9072"/>
        </w:tabs>
        <w:spacing w:line="360" w:lineRule="auto"/>
        <w:jc w:val="both"/>
        <w:rPr>
          <w:bCs/>
          <w:lang w:val="en-GB"/>
        </w:rPr>
      </w:pPr>
      <w:r>
        <w:rPr>
          <w:bCs/>
          <w:lang w:val="en-GB"/>
        </w:rPr>
        <w:t>This submission is not accepted for the following reasons:</w:t>
      </w:r>
    </w:p>
    <w:p w:rsidR="00973762" w:rsidRDefault="00973762" w:rsidP="00923B7C">
      <w:pPr>
        <w:pStyle w:val="ListParagraph"/>
        <w:spacing w:line="360" w:lineRule="auto"/>
        <w:rPr>
          <w:bCs/>
          <w:lang w:val="en-GB"/>
        </w:rPr>
      </w:pPr>
    </w:p>
    <w:p w:rsidR="00402C7F" w:rsidRDefault="00973762"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strength of the defendant’s argument </w:t>
      </w:r>
      <w:r w:rsidR="00C16436">
        <w:rPr>
          <w:bCs/>
          <w:lang w:val="en-GB"/>
        </w:rPr>
        <w:t xml:space="preserve">is </w:t>
      </w:r>
      <w:r>
        <w:rPr>
          <w:bCs/>
          <w:lang w:val="en-GB"/>
        </w:rPr>
        <w:t>substantially weakened by this court’s order of “paper disposal” which was made by consent</w:t>
      </w:r>
      <w:r w:rsidR="005A73F2">
        <w:rPr>
          <w:bCs/>
          <w:lang w:val="en-GB"/>
        </w:rPr>
        <w:t xml:space="preserve"> of the parties</w:t>
      </w:r>
      <w:r>
        <w:rPr>
          <w:bCs/>
          <w:lang w:val="en-GB"/>
        </w:rPr>
        <w:t>.  There was thus no time-constraint (</w:t>
      </w:r>
      <w:r w:rsidR="00C16436">
        <w:rPr>
          <w:bCs/>
          <w:lang w:val="en-GB"/>
        </w:rPr>
        <w:t>unlike</w:t>
      </w:r>
      <w:r>
        <w:rPr>
          <w:bCs/>
          <w:lang w:val="en-GB"/>
        </w:rPr>
        <w:t xml:space="preserve"> the case of </w:t>
      </w:r>
      <w:r w:rsidR="00402C7F" w:rsidRPr="00744D00">
        <w:rPr>
          <w:bCs/>
          <w:i/>
          <w:lang w:val="en-GB"/>
        </w:rPr>
        <w:t>Jose Miranda Da</w:t>
      </w:r>
      <w:r w:rsidR="00402C7F">
        <w:rPr>
          <w:bCs/>
          <w:i/>
          <w:lang w:val="en-GB"/>
        </w:rPr>
        <w:t xml:space="preserve"> </w:t>
      </w:r>
      <w:r w:rsidR="00402C7F" w:rsidRPr="00744D00">
        <w:rPr>
          <w:bCs/>
          <w:i/>
          <w:lang w:val="en-GB"/>
        </w:rPr>
        <w:t>Costa Junior &amp; Another</w:t>
      </w:r>
      <w:r w:rsidR="00F15400">
        <w:rPr>
          <w:bCs/>
          <w:lang w:val="en-GB"/>
        </w:rPr>
        <w:t xml:space="preserve"> in which there were</w:t>
      </w:r>
      <w:r w:rsidR="00402C7F">
        <w:rPr>
          <w:bCs/>
          <w:lang w:val="en-GB"/>
        </w:rPr>
        <w:t xml:space="preserve"> no more than 2 business days between the 1</w:t>
      </w:r>
      <w:r w:rsidR="00402C7F" w:rsidRPr="00402C7F">
        <w:rPr>
          <w:bCs/>
          <w:vertAlign w:val="superscript"/>
          <w:lang w:val="en-GB"/>
        </w:rPr>
        <w:t>st</w:t>
      </w:r>
      <w:r w:rsidR="00402C7F">
        <w:rPr>
          <w:bCs/>
          <w:lang w:val="en-GB"/>
        </w:rPr>
        <w:t xml:space="preserve"> plaintiff’s receipt of the 1</w:t>
      </w:r>
      <w:r w:rsidR="00402C7F" w:rsidRPr="00402C7F">
        <w:rPr>
          <w:bCs/>
          <w:vertAlign w:val="superscript"/>
          <w:lang w:val="en-GB"/>
        </w:rPr>
        <w:t>st</w:t>
      </w:r>
      <w:r w:rsidR="00402C7F">
        <w:rPr>
          <w:bCs/>
          <w:lang w:val="en-GB"/>
        </w:rPr>
        <w:t xml:space="preserve"> defendant’s new affirmation and the hearing) as such.   If the defendant really need</w:t>
      </w:r>
      <w:r w:rsidR="0021226D">
        <w:rPr>
          <w:bCs/>
          <w:lang w:val="en-GB"/>
        </w:rPr>
        <w:t>ed</w:t>
      </w:r>
      <w:r w:rsidR="00402C7F">
        <w:rPr>
          <w:bCs/>
          <w:lang w:val="en-GB"/>
        </w:rPr>
        <w:t xml:space="preserve"> to file and serve any affirmation in response, he c</w:t>
      </w:r>
      <w:r w:rsidR="0021226D">
        <w:rPr>
          <w:bCs/>
          <w:lang w:val="en-GB"/>
        </w:rPr>
        <w:t>ould</w:t>
      </w:r>
      <w:r w:rsidR="00402C7F">
        <w:rPr>
          <w:bCs/>
          <w:lang w:val="en-GB"/>
        </w:rPr>
        <w:t xml:space="preserve"> do so without delaying substantially the disposal of the Expert Directions Summons, because this court m</w:t>
      </w:r>
      <w:r w:rsidR="0021226D">
        <w:rPr>
          <w:bCs/>
          <w:lang w:val="en-GB"/>
        </w:rPr>
        <w:t>ight</w:t>
      </w:r>
      <w:r w:rsidR="00402C7F">
        <w:rPr>
          <w:bCs/>
          <w:lang w:val="en-GB"/>
        </w:rPr>
        <w:t xml:space="preserve"> start considering the application on paper once the affirma</w:t>
      </w:r>
      <w:r w:rsidR="0021226D">
        <w:rPr>
          <w:bCs/>
          <w:lang w:val="en-GB"/>
        </w:rPr>
        <w:t>tions in response and in reply we</w:t>
      </w:r>
      <w:r w:rsidR="00402C7F">
        <w:rPr>
          <w:bCs/>
          <w:lang w:val="en-GB"/>
        </w:rPr>
        <w:t>re filed.  There is no concern that the whole application has to be re-fixed to another date subject to the court’s diary.</w:t>
      </w:r>
      <w:r w:rsidR="00063149">
        <w:rPr>
          <w:bCs/>
          <w:lang w:val="en-GB"/>
        </w:rPr>
        <w:t xml:space="preserve">  Hence, I do not accept that there was any “dilemma” as such.</w:t>
      </w:r>
    </w:p>
    <w:p w:rsidR="005A73F2" w:rsidRDefault="005A73F2" w:rsidP="005A73F2">
      <w:pPr>
        <w:tabs>
          <w:tab w:val="clear" w:pos="1440"/>
          <w:tab w:val="clear" w:pos="4320"/>
          <w:tab w:val="clear" w:pos="9072"/>
          <w:tab w:val="left" w:pos="2160"/>
        </w:tabs>
        <w:spacing w:line="360" w:lineRule="auto"/>
        <w:ind w:left="2160"/>
        <w:jc w:val="both"/>
        <w:rPr>
          <w:bCs/>
          <w:lang w:val="en-GB"/>
        </w:rPr>
      </w:pPr>
    </w:p>
    <w:p w:rsidR="005A73F2" w:rsidRDefault="005A73F2"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Furthermore, it should be remembered that when the court enquired with the parties (in writing) on 14 January 2021 as to how the parties would like to deal with the Affirmation Summons (which was fixed to be heard for 3 minutes on the same day as the substantive argument of the Expert Directions Summons), the defendant did not indicate at all that he intended to file any affirmation in opposition.  He only stated that he would like to make submissions on the Affirmation Summons.  Again, I cannot see there is any dilemma as alleged.</w:t>
      </w:r>
    </w:p>
    <w:p w:rsidR="0021226D" w:rsidRDefault="0021226D" w:rsidP="0021226D">
      <w:pPr>
        <w:tabs>
          <w:tab w:val="clear" w:pos="1440"/>
          <w:tab w:val="clear" w:pos="4320"/>
          <w:tab w:val="clear" w:pos="9072"/>
          <w:tab w:val="left" w:pos="2160"/>
        </w:tabs>
        <w:spacing w:line="360" w:lineRule="auto"/>
        <w:ind w:left="2160"/>
        <w:jc w:val="both"/>
        <w:rPr>
          <w:bCs/>
          <w:lang w:val="en-GB"/>
        </w:rPr>
      </w:pPr>
    </w:p>
    <w:p w:rsidR="00402C7F" w:rsidRDefault="00402C7F"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Because the matter is dealt with on paper, </w:t>
      </w:r>
      <w:r w:rsidR="00063149">
        <w:rPr>
          <w:bCs/>
          <w:lang w:val="en-GB"/>
        </w:rPr>
        <w:t xml:space="preserve">and </w:t>
      </w:r>
      <w:r>
        <w:rPr>
          <w:bCs/>
          <w:lang w:val="en-GB"/>
        </w:rPr>
        <w:t xml:space="preserve">there is no time constraint (as in </w:t>
      </w:r>
      <w:r w:rsidR="00C602CD">
        <w:rPr>
          <w:bCs/>
          <w:lang w:val="en-GB"/>
        </w:rPr>
        <w:t xml:space="preserve">the case </w:t>
      </w:r>
      <w:r w:rsidR="00063149">
        <w:rPr>
          <w:bCs/>
          <w:lang w:val="en-GB"/>
        </w:rPr>
        <w:t>where there is an oral hearing)</w:t>
      </w:r>
      <w:r>
        <w:rPr>
          <w:bCs/>
          <w:lang w:val="en-GB"/>
        </w:rPr>
        <w:t>, the argument that the legal representative</w:t>
      </w:r>
      <w:r w:rsidR="00C602CD">
        <w:rPr>
          <w:bCs/>
          <w:lang w:val="en-GB"/>
        </w:rPr>
        <w:t xml:space="preserve">’s time could have been better spent on the Expert Directions Summons is a non-starter.  If necessary, the defendant could have requested this court to adjust the timetable on lodging submissions which was originally fixed without the Affirmation Summons in mind.  </w:t>
      </w:r>
      <w:r w:rsidR="00C16436">
        <w:rPr>
          <w:bCs/>
          <w:lang w:val="en-GB"/>
        </w:rPr>
        <w:t>Indeed, upon the receipt of the Affirmation Summons, this court had expressly invited the parties to consider whether the original timetable had to be adjusted, h</w:t>
      </w:r>
      <w:r w:rsidR="00C602CD">
        <w:rPr>
          <w:bCs/>
          <w:lang w:val="en-GB"/>
        </w:rPr>
        <w:t>owever, no such request had been made by the defendant.</w:t>
      </w:r>
    </w:p>
    <w:p w:rsidR="00C602CD" w:rsidRDefault="00C602CD" w:rsidP="00923B7C">
      <w:pPr>
        <w:tabs>
          <w:tab w:val="clear" w:pos="1440"/>
          <w:tab w:val="clear" w:pos="4320"/>
          <w:tab w:val="clear" w:pos="9072"/>
          <w:tab w:val="left" w:pos="2160"/>
        </w:tabs>
        <w:spacing w:line="360" w:lineRule="auto"/>
        <w:ind w:left="2160"/>
        <w:jc w:val="both"/>
        <w:rPr>
          <w:bCs/>
          <w:lang w:val="en-GB"/>
        </w:rPr>
      </w:pPr>
    </w:p>
    <w:p w:rsidR="00402C7F" w:rsidRDefault="00402C7F" w:rsidP="00923B7C">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Given the nature of the new evidence (being the Supplemental Report), it is doubtful what further evidence the defendant may file in response thereto.  Indeed, the defendant has not suggested in his submission what evidence he would file if he were given the time to do so.  </w:t>
      </w:r>
      <w:r w:rsidR="005A73F2">
        <w:rPr>
          <w:bCs/>
          <w:lang w:val="en-GB"/>
        </w:rPr>
        <w:t>As aforesaid, when the defendant answered the court’s enquiry, he did not say that any affirmation in opposition would be necessary.</w:t>
      </w:r>
    </w:p>
    <w:p w:rsidR="00973762" w:rsidRDefault="00973762" w:rsidP="00923B7C">
      <w:pPr>
        <w:pStyle w:val="ListParagraph"/>
        <w:spacing w:line="360" w:lineRule="auto"/>
        <w:rPr>
          <w:bCs/>
          <w:lang w:val="en-GB"/>
        </w:rPr>
      </w:pPr>
    </w:p>
    <w:p w:rsidR="006313A9" w:rsidRPr="00CF2888" w:rsidRDefault="00C602CD" w:rsidP="00923B7C">
      <w:pPr>
        <w:numPr>
          <w:ilvl w:val="0"/>
          <w:numId w:val="2"/>
        </w:numPr>
        <w:tabs>
          <w:tab w:val="clear" w:pos="360"/>
          <w:tab w:val="clear" w:pos="4320"/>
          <w:tab w:val="clear" w:pos="9072"/>
        </w:tabs>
        <w:spacing w:line="360" w:lineRule="auto"/>
        <w:jc w:val="both"/>
        <w:rPr>
          <w:bCs/>
          <w:lang w:val="en-GB"/>
        </w:rPr>
      </w:pPr>
      <w:r>
        <w:rPr>
          <w:bCs/>
          <w:lang w:val="en-GB"/>
        </w:rPr>
        <w:t>As</w:t>
      </w:r>
      <w:r w:rsidR="00CF2888">
        <w:rPr>
          <w:bCs/>
          <w:lang w:val="en-GB"/>
        </w:rPr>
        <w:t xml:space="preserve"> I take the view that there are</w:t>
      </w:r>
      <w:r w:rsidR="00CF2888" w:rsidRPr="00CF2888">
        <w:rPr>
          <w:bCs/>
          <w:lang w:val="en-GB"/>
        </w:rPr>
        <w:t xml:space="preserve"> </w:t>
      </w:r>
      <w:r w:rsidR="00CF2888" w:rsidRPr="00CF2888">
        <w:t xml:space="preserve">exceptional circumstances making it desirable </w:t>
      </w:r>
      <w:r w:rsidR="00327C10">
        <w:t>for</w:t>
      </w:r>
      <w:r w:rsidR="00CF2888" w:rsidRPr="00CF2888">
        <w:t xml:space="preserve"> </w:t>
      </w:r>
      <w:r w:rsidR="00CF2888">
        <w:t xml:space="preserve">the Supplemental Report </w:t>
      </w:r>
      <w:r w:rsidR="00327C10">
        <w:t>to</w:t>
      </w:r>
      <w:r w:rsidR="00CF2888" w:rsidRPr="00CF2888">
        <w:t xml:space="preserve"> be adduced</w:t>
      </w:r>
      <w:r>
        <w:t xml:space="preserve">, I would grant leave for the plaintiff to file and serve </w:t>
      </w:r>
      <w:r w:rsidR="00766590">
        <w:t xml:space="preserve">an affirmation which is identical to </w:t>
      </w:r>
      <w:r>
        <w:t xml:space="preserve">the plaintiff’s </w:t>
      </w:r>
      <w:r w:rsidR="00766590">
        <w:t>Supplemental</w:t>
      </w:r>
      <w:r>
        <w:t xml:space="preserve"> Affirmation which was affirmed on 4 January 2021</w:t>
      </w:r>
      <w:r w:rsidR="00327C10">
        <w:t xml:space="preserve"> within 14 days hereof</w:t>
      </w:r>
      <w:r>
        <w:t>.</w:t>
      </w:r>
      <w:r w:rsidR="00766590">
        <w:t xml:space="preserve"> </w:t>
      </w:r>
      <w:r w:rsidR="00327C10">
        <w:t xml:space="preserve"> </w:t>
      </w:r>
      <w:r w:rsidR="00766590">
        <w:t>However, to avoid confusion, it should be named as the plaintiff’s 4</w:t>
      </w:r>
      <w:r w:rsidR="00766590" w:rsidRPr="00766590">
        <w:rPr>
          <w:vertAlign w:val="superscript"/>
        </w:rPr>
        <w:t>th</w:t>
      </w:r>
      <w:r w:rsidR="00766590">
        <w:t xml:space="preserve"> Affirmation.</w:t>
      </w:r>
    </w:p>
    <w:p w:rsidR="008201D8" w:rsidRDefault="008201D8" w:rsidP="00923B7C">
      <w:pPr>
        <w:tabs>
          <w:tab w:val="clear" w:pos="4320"/>
          <w:tab w:val="clear" w:pos="9072"/>
        </w:tabs>
        <w:spacing w:line="360" w:lineRule="auto"/>
        <w:jc w:val="both"/>
        <w:rPr>
          <w:bCs/>
          <w:i/>
          <w:lang w:val="en-GB"/>
        </w:rPr>
      </w:pPr>
    </w:p>
    <w:p w:rsidR="005A73F2" w:rsidRPr="008201D8" w:rsidRDefault="005A73F2" w:rsidP="00923B7C">
      <w:pPr>
        <w:tabs>
          <w:tab w:val="clear" w:pos="4320"/>
          <w:tab w:val="clear" w:pos="9072"/>
        </w:tabs>
        <w:spacing w:line="360" w:lineRule="auto"/>
        <w:jc w:val="both"/>
        <w:rPr>
          <w:bCs/>
          <w:i/>
          <w:lang w:val="en-GB"/>
        </w:rPr>
      </w:pPr>
    </w:p>
    <w:p w:rsidR="008201D8" w:rsidRDefault="006B363C" w:rsidP="00923B7C">
      <w:pPr>
        <w:tabs>
          <w:tab w:val="clear" w:pos="1440"/>
          <w:tab w:val="clear" w:pos="4320"/>
          <w:tab w:val="clear" w:pos="9072"/>
          <w:tab w:val="left" w:pos="1418"/>
        </w:tabs>
        <w:snapToGrid/>
        <w:spacing w:line="360" w:lineRule="auto"/>
        <w:jc w:val="both"/>
        <w:rPr>
          <w:bCs/>
          <w:i/>
          <w:lang w:val="en-GB"/>
        </w:rPr>
      </w:pPr>
      <w:r>
        <w:rPr>
          <w:bCs/>
          <w:i/>
          <w:lang w:val="en-GB"/>
        </w:rPr>
        <w:t>THE EXPERT DIRECTIONS SUMMONS</w:t>
      </w:r>
    </w:p>
    <w:p w:rsidR="005F103C" w:rsidRDefault="005F103C" w:rsidP="00923B7C">
      <w:pPr>
        <w:tabs>
          <w:tab w:val="clear" w:pos="1440"/>
          <w:tab w:val="clear" w:pos="4320"/>
          <w:tab w:val="clear" w:pos="9072"/>
          <w:tab w:val="left" w:pos="1418"/>
        </w:tabs>
        <w:snapToGrid/>
        <w:spacing w:line="360" w:lineRule="auto"/>
        <w:jc w:val="both"/>
        <w:rPr>
          <w:bCs/>
          <w:i/>
          <w:lang w:val="en-GB"/>
        </w:rPr>
      </w:pPr>
    </w:p>
    <w:p w:rsidR="00BA520F" w:rsidRDefault="00BA520F" w:rsidP="00923B7C">
      <w:pPr>
        <w:tabs>
          <w:tab w:val="clear" w:pos="1440"/>
          <w:tab w:val="clear" w:pos="4320"/>
          <w:tab w:val="clear" w:pos="9072"/>
          <w:tab w:val="left" w:pos="1418"/>
        </w:tabs>
        <w:snapToGrid/>
        <w:spacing w:line="360" w:lineRule="auto"/>
        <w:jc w:val="both"/>
        <w:rPr>
          <w:bCs/>
          <w:i/>
          <w:lang w:val="en-GB"/>
        </w:rPr>
      </w:pPr>
      <w:r>
        <w:rPr>
          <w:bCs/>
          <w:i/>
          <w:lang w:val="en-GB"/>
        </w:rPr>
        <w:t xml:space="preserve">Legal principles </w:t>
      </w:r>
    </w:p>
    <w:p w:rsidR="00BA520F" w:rsidRPr="008201D8" w:rsidRDefault="00BA520F" w:rsidP="00923B7C">
      <w:pPr>
        <w:tabs>
          <w:tab w:val="clear" w:pos="1440"/>
          <w:tab w:val="clear" w:pos="4320"/>
          <w:tab w:val="clear" w:pos="9072"/>
          <w:tab w:val="left" w:pos="1418"/>
        </w:tabs>
        <w:snapToGrid/>
        <w:spacing w:line="360" w:lineRule="auto"/>
        <w:jc w:val="both"/>
        <w:rPr>
          <w:bCs/>
          <w:i/>
          <w:lang w:val="en-GB"/>
        </w:rPr>
      </w:pPr>
    </w:p>
    <w:p w:rsidR="00D3633B" w:rsidRPr="002C7468" w:rsidRDefault="00BA520F" w:rsidP="00923B7C">
      <w:pPr>
        <w:numPr>
          <w:ilvl w:val="0"/>
          <w:numId w:val="2"/>
        </w:numPr>
        <w:tabs>
          <w:tab w:val="clear" w:pos="360"/>
          <w:tab w:val="clear" w:pos="4320"/>
          <w:tab w:val="clear" w:pos="9072"/>
        </w:tabs>
        <w:spacing w:line="360" w:lineRule="auto"/>
        <w:jc w:val="both"/>
        <w:rPr>
          <w:bCs/>
          <w:lang w:val="en-GB"/>
        </w:rPr>
      </w:pPr>
      <w:r>
        <w:rPr>
          <w:bCs/>
          <w:lang w:val="en-GB"/>
        </w:rPr>
        <w:t xml:space="preserve">Parties agreed that the applicable legal principles have been set out in </w:t>
      </w:r>
      <w:r w:rsidRPr="00BA520F">
        <w:rPr>
          <w:bCs/>
          <w:i/>
          <w:lang w:val="en-GB"/>
        </w:rPr>
        <w:t>Fung Chun Man v Hospital Authority</w:t>
      </w:r>
      <w:r>
        <w:rPr>
          <w:bCs/>
          <w:lang w:val="en-GB"/>
        </w:rPr>
        <w:t xml:space="preserve"> </w:t>
      </w:r>
      <w:r>
        <w:rPr>
          <w:bCs/>
          <w:i/>
          <w:lang w:val="en-GB"/>
        </w:rPr>
        <w:t>and An</w:t>
      </w:r>
      <w:r w:rsidRPr="00BA520F">
        <w:rPr>
          <w:bCs/>
          <w:i/>
          <w:lang w:val="en-GB"/>
        </w:rPr>
        <w:t>o</w:t>
      </w:r>
      <w:r>
        <w:rPr>
          <w:bCs/>
          <w:i/>
          <w:lang w:val="en-GB"/>
        </w:rPr>
        <w:t>t</w:t>
      </w:r>
      <w:r w:rsidRPr="00BA520F">
        <w:rPr>
          <w:bCs/>
          <w:i/>
          <w:lang w:val="en-GB"/>
        </w:rPr>
        <w:t>her</w:t>
      </w:r>
      <w:r>
        <w:rPr>
          <w:bCs/>
          <w:lang w:val="en-GB"/>
        </w:rPr>
        <w:t xml:space="preserve"> (HCPI 1113/2006, unreported, 24 June 2011)</w:t>
      </w:r>
      <w:r w:rsidR="002C7468">
        <w:rPr>
          <w:bCs/>
          <w:lang w:val="en-GB"/>
        </w:rPr>
        <w:t xml:space="preserve">, in which </w:t>
      </w:r>
      <w:r w:rsidR="00D3633B" w:rsidRPr="002C7468">
        <w:rPr>
          <w:bCs/>
          <w:lang w:val="en-GB"/>
        </w:rPr>
        <w:t>Bharwaney J had the following to say:</w:t>
      </w:r>
    </w:p>
    <w:p w:rsidR="0015258B" w:rsidRDefault="0015258B" w:rsidP="00D3633B">
      <w:pPr>
        <w:tabs>
          <w:tab w:val="clear" w:pos="4320"/>
          <w:tab w:val="clear" w:pos="9072"/>
        </w:tabs>
        <w:ind w:left="1440" w:right="746"/>
        <w:jc w:val="both"/>
        <w:rPr>
          <w:bCs/>
          <w:sz w:val="24"/>
          <w:szCs w:val="24"/>
          <w:lang w:val="en-GB"/>
        </w:rPr>
      </w:pPr>
    </w:p>
    <w:p w:rsidR="00BA520F" w:rsidRPr="00D3633B" w:rsidRDefault="00BA520F" w:rsidP="00D3633B">
      <w:pPr>
        <w:tabs>
          <w:tab w:val="clear" w:pos="4320"/>
          <w:tab w:val="clear" w:pos="9072"/>
        </w:tabs>
        <w:ind w:left="1440" w:right="746"/>
        <w:jc w:val="both"/>
        <w:rPr>
          <w:sz w:val="24"/>
          <w:szCs w:val="24"/>
        </w:rPr>
      </w:pPr>
      <w:r w:rsidRPr="00D3633B">
        <w:rPr>
          <w:bCs/>
          <w:sz w:val="24"/>
          <w:szCs w:val="24"/>
          <w:lang w:val="en-GB"/>
        </w:rPr>
        <w:t>“9.</w:t>
      </w:r>
      <w:r w:rsidRPr="00D3633B">
        <w:rPr>
          <w:bCs/>
          <w:sz w:val="24"/>
          <w:szCs w:val="24"/>
          <w:lang w:val="en-GB"/>
        </w:rPr>
        <w:tab/>
      </w:r>
      <w:r w:rsidR="00327C10">
        <w:rPr>
          <w:bCs/>
          <w:sz w:val="24"/>
          <w:szCs w:val="24"/>
          <w:lang w:val="en-GB"/>
        </w:rPr>
        <w:tab/>
      </w:r>
      <w:r w:rsidRPr="00D3633B">
        <w:rPr>
          <w:sz w:val="24"/>
          <w:szCs w:val="24"/>
        </w:rPr>
        <w:t>The enactment of the CJR did not result in a change to O.38, r.36 of the Rules of the High Court (“RHC”).  However, after the enactment of the CJR, it is clear that the court’s discretion, whether or not to grant leave to a party to adduce expert evidence, is to be exercised within the ambit of the court’s management powers.  Those powers must be exercised in the light of the underlying objectives of the CJR, including the need to ensure the cost effectiveness of the proceedings; to ensure that the case is dealt with expeditiously; to ensure reasonable proportionality having regard to the amount of money involved, the importance of the case, the complexity of the issues, and the financial position of each party; to ensure procedural economy in the conduct of the proceedings; and to ensure fairness between the parties.</w:t>
      </w:r>
    </w:p>
    <w:p w:rsidR="00BA520F" w:rsidRPr="00D3633B" w:rsidRDefault="00BA520F" w:rsidP="00D3633B">
      <w:pPr>
        <w:tabs>
          <w:tab w:val="clear" w:pos="4320"/>
          <w:tab w:val="clear" w:pos="9072"/>
        </w:tabs>
        <w:ind w:left="1440" w:right="746"/>
        <w:jc w:val="both"/>
        <w:rPr>
          <w:sz w:val="24"/>
          <w:szCs w:val="24"/>
        </w:rPr>
      </w:pPr>
    </w:p>
    <w:p w:rsidR="00BA520F" w:rsidRPr="00D3633B" w:rsidRDefault="00BA520F" w:rsidP="00D3633B">
      <w:pPr>
        <w:tabs>
          <w:tab w:val="clear" w:pos="4320"/>
          <w:tab w:val="clear" w:pos="9072"/>
        </w:tabs>
        <w:ind w:left="1440" w:right="746"/>
        <w:jc w:val="both"/>
        <w:rPr>
          <w:sz w:val="24"/>
          <w:szCs w:val="24"/>
        </w:rPr>
      </w:pPr>
      <w:r w:rsidRPr="00D3633B">
        <w:rPr>
          <w:sz w:val="24"/>
          <w:szCs w:val="24"/>
        </w:rPr>
        <w:t>10.</w:t>
      </w:r>
      <w:r w:rsidRPr="00D3633B">
        <w:rPr>
          <w:sz w:val="24"/>
          <w:szCs w:val="24"/>
        </w:rPr>
        <w:tab/>
        <w:t> The courts recognise that the primary aim of its case management powers is to secure the just resolution of the dispute in accordance with the substantive rights of the parties.  However, the substantive rights of the parties to a personal injury action do not include a legal right to call experts of their choice.</w:t>
      </w:r>
    </w:p>
    <w:p w:rsidR="00BA520F" w:rsidRPr="00D3633B" w:rsidRDefault="00BA520F" w:rsidP="00D3633B">
      <w:pPr>
        <w:tabs>
          <w:tab w:val="clear" w:pos="4320"/>
          <w:tab w:val="clear" w:pos="9072"/>
        </w:tabs>
        <w:ind w:left="1440" w:right="746"/>
        <w:jc w:val="both"/>
        <w:rPr>
          <w:sz w:val="24"/>
          <w:szCs w:val="24"/>
        </w:rPr>
      </w:pPr>
    </w:p>
    <w:p w:rsidR="00BA520F" w:rsidRPr="00D3633B" w:rsidRDefault="00BA520F" w:rsidP="00D3633B">
      <w:pPr>
        <w:tabs>
          <w:tab w:val="clear" w:pos="4320"/>
          <w:tab w:val="clear" w:pos="9072"/>
        </w:tabs>
        <w:ind w:left="1440" w:right="746"/>
        <w:jc w:val="both"/>
        <w:rPr>
          <w:sz w:val="24"/>
          <w:szCs w:val="24"/>
        </w:rPr>
      </w:pPr>
      <w:r w:rsidRPr="00D3633B">
        <w:rPr>
          <w:sz w:val="24"/>
          <w:szCs w:val="24"/>
        </w:rPr>
        <w:t>11.</w:t>
      </w:r>
      <w:r w:rsidRPr="00D3633B">
        <w:rPr>
          <w:sz w:val="24"/>
          <w:szCs w:val="24"/>
        </w:rPr>
        <w:tab/>
        <w:t>The expert evidence can only be adduced with leave of the court and, in deciding whether or not to grant leave, the court must ensure that such evidence is admitted only if it is likely to be of real assistance to the determination of the issues, and that it is adduced in the most effective and economic way consistent with the objectives of the CJR.</w:t>
      </w:r>
    </w:p>
    <w:p w:rsidR="00BA520F" w:rsidRPr="00D3633B" w:rsidRDefault="00BA520F" w:rsidP="00D3633B">
      <w:pPr>
        <w:tabs>
          <w:tab w:val="clear" w:pos="4320"/>
          <w:tab w:val="clear" w:pos="9072"/>
        </w:tabs>
        <w:ind w:left="1440" w:right="746"/>
        <w:jc w:val="both"/>
        <w:rPr>
          <w:sz w:val="24"/>
          <w:szCs w:val="24"/>
        </w:rPr>
      </w:pPr>
    </w:p>
    <w:p w:rsidR="00BA520F" w:rsidRPr="00D3633B" w:rsidRDefault="00BA520F" w:rsidP="00D3633B">
      <w:pPr>
        <w:tabs>
          <w:tab w:val="clear" w:pos="4320"/>
          <w:tab w:val="clear" w:pos="9072"/>
        </w:tabs>
        <w:ind w:left="1440" w:right="746"/>
        <w:jc w:val="both"/>
        <w:rPr>
          <w:sz w:val="24"/>
          <w:szCs w:val="24"/>
        </w:rPr>
      </w:pPr>
      <w:r w:rsidRPr="00D3633B">
        <w:rPr>
          <w:sz w:val="24"/>
          <w:szCs w:val="24"/>
        </w:rPr>
        <w:t xml:space="preserve">12. </w:t>
      </w:r>
      <w:r w:rsidRPr="00D3633B">
        <w:rPr>
          <w:sz w:val="24"/>
          <w:szCs w:val="24"/>
        </w:rPr>
        <w:tab/>
        <w:t xml:space="preserve">In this regard, I echo the observations of </w:t>
      </w:r>
      <w:r w:rsidRPr="00D3633B">
        <w:rPr>
          <w:i/>
          <w:iCs/>
          <w:sz w:val="24"/>
          <w:szCs w:val="24"/>
        </w:rPr>
        <w:t>Evans-Lombe J in Barings PLC v Coopers &amp; Lybrand (No.2)</w:t>
      </w:r>
      <w:r w:rsidRPr="00D3633B">
        <w:rPr>
          <w:sz w:val="24"/>
          <w:szCs w:val="24"/>
        </w:rPr>
        <w:t xml:space="preserve"> [2001] Lloyds Report Bank 85:</w:t>
      </w:r>
    </w:p>
    <w:p w:rsidR="00BA520F" w:rsidRPr="00D3633B" w:rsidRDefault="00BA520F" w:rsidP="00D3633B">
      <w:pPr>
        <w:tabs>
          <w:tab w:val="clear" w:pos="4320"/>
          <w:tab w:val="clear" w:pos="9072"/>
        </w:tabs>
        <w:ind w:left="1440" w:right="746"/>
        <w:jc w:val="both"/>
        <w:rPr>
          <w:sz w:val="24"/>
          <w:szCs w:val="24"/>
        </w:rPr>
      </w:pPr>
    </w:p>
    <w:p w:rsidR="00BA520F" w:rsidRPr="00D3633B" w:rsidRDefault="00D3633B" w:rsidP="00D3633B">
      <w:pPr>
        <w:tabs>
          <w:tab w:val="clear" w:pos="1440"/>
          <w:tab w:val="clear" w:pos="4320"/>
          <w:tab w:val="clear" w:pos="9072"/>
          <w:tab w:val="left" w:pos="1980"/>
        </w:tabs>
        <w:ind w:left="1980" w:right="1286"/>
        <w:jc w:val="both"/>
        <w:rPr>
          <w:sz w:val="24"/>
          <w:szCs w:val="24"/>
        </w:rPr>
      </w:pPr>
      <w:r>
        <w:rPr>
          <w:sz w:val="24"/>
          <w:szCs w:val="24"/>
        </w:rPr>
        <w:t>‘</w:t>
      </w:r>
      <w:r w:rsidR="00BA520F" w:rsidRPr="00D3633B">
        <w:rPr>
          <w:sz w:val="24"/>
          <w:szCs w:val="24"/>
        </w:rPr>
        <w:t xml:space="preserve">45. Expert evidence is admissible …. in any case where the court accepts there exists a recognised expertise governed by recognised standards and rules of conduct capable of influencing the court’s decision on any of the issues which it has to decide and the witness to be called satisfies the court that he has a sufficient familiarity with and knowledge of the expertise in question to render his opinion potentially of value in resolving any of those issues. Evidence meeting this test can still be excluded by the court if the court takes the view that calling it will not be helpful to the court in resolving any issue in the case justly. Such evidence will not be helpful where the issue to be decided is one of law or is otherwise one on which the court is able to come to a fully informed decision </w:t>
      </w:r>
      <w:r>
        <w:rPr>
          <w:sz w:val="24"/>
          <w:szCs w:val="24"/>
        </w:rPr>
        <w:t>without hearing such evidence.’</w:t>
      </w:r>
    </w:p>
    <w:p w:rsidR="00BA520F" w:rsidRPr="00D3633B" w:rsidRDefault="00BA520F" w:rsidP="00D3633B">
      <w:pPr>
        <w:tabs>
          <w:tab w:val="clear" w:pos="4320"/>
          <w:tab w:val="clear" w:pos="9072"/>
        </w:tabs>
        <w:ind w:left="1440" w:right="746"/>
        <w:jc w:val="both"/>
        <w:rPr>
          <w:sz w:val="24"/>
          <w:szCs w:val="24"/>
        </w:rPr>
      </w:pPr>
    </w:p>
    <w:p w:rsidR="00BA520F" w:rsidRPr="00D3633B" w:rsidRDefault="00BA520F" w:rsidP="0015258B">
      <w:pPr>
        <w:tabs>
          <w:tab w:val="clear" w:pos="4320"/>
          <w:tab w:val="clear" w:pos="9072"/>
        </w:tabs>
        <w:ind w:left="1440" w:right="746"/>
        <w:jc w:val="both"/>
        <w:rPr>
          <w:sz w:val="24"/>
          <w:szCs w:val="24"/>
        </w:rPr>
      </w:pPr>
      <w:r w:rsidRPr="00D3633B">
        <w:rPr>
          <w:bCs/>
          <w:sz w:val="24"/>
          <w:szCs w:val="24"/>
          <w:lang w:val="en-GB"/>
        </w:rPr>
        <w:t xml:space="preserve">13. </w:t>
      </w:r>
      <w:r w:rsidRPr="00D3633B">
        <w:rPr>
          <w:bCs/>
          <w:sz w:val="24"/>
          <w:szCs w:val="24"/>
          <w:lang w:val="en-GB"/>
        </w:rPr>
        <w:tab/>
      </w:r>
      <w:r w:rsidRPr="00D3633B">
        <w:rPr>
          <w:sz w:val="24"/>
          <w:szCs w:val="24"/>
        </w:rPr>
        <w:t xml:space="preserve">The Court of Appeal in </w:t>
      </w:r>
      <w:r w:rsidRPr="00D3633B">
        <w:rPr>
          <w:i/>
          <w:iCs/>
          <w:sz w:val="24"/>
          <w:szCs w:val="24"/>
        </w:rPr>
        <w:t>Mann v Messrs. Chetty &amp; Patel (a firm)</w:t>
      </w:r>
      <w:r w:rsidRPr="00D3633B">
        <w:rPr>
          <w:sz w:val="24"/>
          <w:szCs w:val="24"/>
        </w:rPr>
        <w:t xml:space="preserve"> [2000] EWCA CIV 267 proposed 3 questions that ought to be asked before de</w:t>
      </w:r>
      <w:r w:rsidR="00621147">
        <w:rPr>
          <w:sz w:val="24"/>
          <w:szCs w:val="24"/>
        </w:rPr>
        <w:t>ciding to allow expert evidence</w:t>
      </w:r>
      <w:r w:rsidRPr="00D3633B">
        <w:rPr>
          <w:sz w:val="24"/>
          <w:szCs w:val="24"/>
        </w:rPr>
        <w:t>:</w:t>
      </w:r>
    </w:p>
    <w:p w:rsidR="00BA520F" w:rsidRPr="00D3633B" w:rsidRDefault="00BA520F" w:rsidP="0015258B">
      <w:pPr>
        <w:tabs>
          <w:tab w:val="clear" w:pos="4320"/>
          <w:tab w:val="clear" w:pos="9072"/>
        </w:tabs>
        <w:ind w:left="1440" w:right="746"/>
        <w:jc w:val="both"/>
        <w:rPr>
          <w:sz w:val="24"/>
          <w:szCs w:val="24"/>
        </w:rPr>
      </w:pPr>
    </w:p>
    <w:p w:rsidR="00D3633B" w:rsidRDefault="00D3633B" w:rsidP="0015258B">
      <w:pPr>
        <w:tabs>
          <w:tab w:val="clear" w:pos="1440"/>
          <w:tab w:val="clear" w:pos="4320"/>
          <w:tab w:val="clear" w:pos="9072"/>
        </w:tabs>
        <w:snapToGrid/>
        <w:ind w:left="1980" w:right="1286"/>
        <w:jc w:val="both"/>
        <w:rPr>
          <w:rFonts w:eastAsia="Times New Roman"/>
          <w:sz w:val="24"/>
          <w:szCs w:val="24"/>
        </w:rPr>
      </w:pPr>
      <w:r>
        <w:rPr>
          <w:rFonts w:eastAsia="Times New Roman"/>
          <w:sz w:val="24"/>
          <w:szCs w:val="24"/>
        </w:rPr>
        <w:t>‘</w:t>
      </w:r>
      <w:r w:rsidRPr="00D3633B">
        <w:rPr>
          <w:rFonts w:eastAsia="Times New Roman"/>
          <w:sz w:val="24"/>
          <w:szCs w:val="24"/>
        </w:rPr>
        <w:t>(a) how cogent the proposed expert evidence will be;</w:t>
      </w:r>
    </w:p>
    <w:p w:rsidR="0015258B" w:rsidRPr="00D3633B" w:rsidRDefault="0015258B" w:rsidP="0015258B">
      <w:pPr>
        <w:tabs>
          <w:tab w:val="clear" w:pos="1440"/>
          <w:tab w:val="clear" w:pos="4320"/>
          <w:tab w:val="clear" w:pos="9072"/>
        </w:tabs>
        <w:snapToGrid/>
        <w:ind w:left="1980" w:right="1286"/>
        <w:jc w:val="both"/>
        <w:rPr>
          <w:rFonts w:eastAsia="Times New Roman"/>
          <w:sz w:val="24"/>
          <w:szCs w:val="24"/>
        </w:rPr>
      </w:pPr>
    </w:p>
    <w:p w:rsidR="00D3633B" w:rsidRDefault="00D3633B" w:rsidP="0015258B">
      <w:pPr>
        <w:tabs>
          <w:tab w:val="clear" w:pos="1440"/>
          <w:tab w:val="clear" w:pos="4320"/>
          <w:tab w:val="clear" w:pos="9072"/>
        </w:tabs>
        <w:snapToGrid/>
        <w:ind w:left="1980" w:right="1286"/>
        <w:jc w:val="both"/>
        <w:rPr>
          <w:rFonts w:eastAsia="Times New Roman"/>
          <w:sz w:val="24"/>
          <w:szCs w:val="24"/>
        </w:rPr>
      </w:pPr>
      <w:r w:rsidRPr="00D3633B">
        <w:rPr>
          <w:rFonts w:eastAsia="Times New Roman"/>
          <w:sz w:val="24"/>
          <w:szCs w:val="24"/>
        </w:rPr>
        <w:t>(b) how helpful it will be in resolving any of the issues in the case; and</w:t>
      </w:r>
    </w:p>
    <w:p w:rsidR="0015258B" w:rsidRPr="00D3633B" w:rsidRDefault="0015258B" w:rsidP="0015258B">
      <w:pPr>
        <w:tabs>
          <w:tab w:val="clear" w:pos="1440"/>
          <w:tab w:val="clear" w:pos="4320"/>
          <w:tab w:val="clear" w:pos="9072"/>
        </w:tabs>
        <w:snapToGrid/>
        <w:ind w:left="1980" w:right="1286"/>
        <w:jc w:val="both"/>
        <w:rPr>
          <w:rFonts w:eastAsia="Times New Roman"/>
          <w:sz w:val="24"/>
          <w:szCs w:val="24"/>
        </w:rPr>
      </w:pPr>
    </w:p>
    <w:p w:rsidR="00D3633B" w:rsidRPr="00D3633B" w:rsidRDefault="00D3633B" w:rsidP="0015258B">
      <w:pPr>
        <w:tabs>
          <w:tab w:val="clear" w:pos="4320"/>
          <w:tab w:val="clear" w:pos="9072"/>
        </w:tabs>
        <w:ind w:left="1980" w:right="1286"/>
        <w:jc w:val="both"/>
        <w:rPr>
          <w:rFonts w:eastAsia="Times New Roman"/>
          <w:sz w:val="24"/>
          <w:szCs w:val="24"/>
        </w:rPr>
      </w:pPr>
      <w:r w:rsidRPr="00D3633B">
        <w:rPr>
          <w:rFonts w:eastAsia="Times New Roman"/>
          <w:sz w:val="24"/>
          <w:szCs w:val="24"/>
        </w:rPr>
        <w:t xml:space="preserve">(c) how much it will cost and the relationship of </w:t>
      </w:r>
      <w:r>
        <w:rPr>
          <w:rFonts w:eastAsia="Times New Roman"/>
          <w:sz w:val="24"/>
          <w:szCs w:val="24"/>
        </w:rPr>
        <w:t>that cost to the sums at stake.’</w:t>
      </w:r>
    </w:p>
    <w:p w:rsidR="00D3633B" w:rsidRPr="00D3633B" w:rsidRDefault="00D3633B" w:rsidP="0015258B">
      <w:pPr>
        <w:tabs>
          <w:tab w:val="clear" w:pos="4320"/>
          <w:tab w:val="clear" w:pos="9072"/>
        </w:tabs>
        <w:ind w:left="1440" w:right="746"/>
        <w:jc w:val="both"/>
        <w:rPr>
          <w:sz w:val="24"/>
          <w:szCs w:val="24"/>
        </w:rPr>
      </w:pPr>
    </w:p>
    <w:p w:rsidR="00BA520F" w:rsidRPr="00D3633B" w:rsidRDefault="00BA520F" w:rsidP="0015258B">
      <w:pPr>
        <w:tabs>
          <w:tab w:val="clear" w:pos="4320"/>
          <w:tab w:val="clear" w:pos="9072"/>
        </w:tabs>
        <w:ind w:left="1440" w:right="746"/>
        <w:jc w:val="both"/>
        <w:rPr>
          <w:sz w:val="24"/>
          <w:szCs w:val="24"/>
        </w:rPr>
      </w:pPr>
      <w:r w:rsidRPr="00D3633B">
        <w:rPr>
          <w:sz w:val="24"/>
          <w:szCs w:val="24"/>
        </w:rPr>
        <w:t>14.</w:t>
      </w:r>
      <w:r w:rsidRPr="00D3633B">
        <w:rPr>
          <w:sz w:val="24"/>
          <w:szCs w:val="24"/>
        </w:rPr>
        <w:tab/>
        <w:t xml:space="preserve">Chu J, as she then was, referred to </w:t>
      </w:r>
      <w:r w:rsidRPr="00D3633B">
        <w:rPr>
          <w:i/>
          <w:iCs/>
          <w:sz w:val="24"/>
          <w:szCs w:val="24"/>
        </w:rPr>
        <w:t>Barings PLC v Coopers &amp; Lybrand</w:t>
      </w:r>
      <w:r w:rsidRPr="00D3633B">
        <w:rPr>
          <w:sz w:val="24"/>
          <w:szCs w:val="24"/>
        </w:rPr>
        <w:t xml:space="preserve"> and concluded, in </w:t>
      </w:r>
      <w:r w:rsidRPr="00D3633B">
        <w:rPr>
          <w:i/>
          <w:iCs/>
          <w:sz w:val="24"/>
          <w:szCs w:val="24"/>
        </w:rPr>
        <w:t>Wong Hoi Fung v. American Assurance Co. (Bermuda) Ltd.</w:t>
      </w:r>
      <w:r w:rsidRPr="00D3633B">
        <w:rPr>
          <w:sz w:val="24"/>
          <w:szCs w:val="24"/>
        </w:rPr>
        <w:t xml:space="preserve"> [2002] 3 HKLRD 507, that the expert evidence must be reasonably required to resolve the issues before the court before leave would be granted to adduce it.</w:t>
      </w:r>
    </w:p>
    <w:p w:rsidR="00BA520F" w:rsidRPr="00D3633B" w:rsidRDefault="00BA520F" w:rsidP="00D3633B">
      <w:pPr>
        <w:tabs>
          <w:tab w:val="clear" w:pos="4320"/>
          <w:tab w:val="clear" w:pos="9072"/>
        </w:tabs>
        <w:ind w:left="1440" w:right="746"/>
        <w:jc w:val="both"/>
        <w:rPr>
          <w:sz w:val="24"/>
          <w:szCs w:val="24"/>
        </w:rPr>
      </w:pPr>
    </w:p>
    <w:p w:rsidR="002C7468" w:rsidRDefault="00BA520F" w:rsidP="00D3633B">
      <w:pPr>
        <w:tabs>
          <w:tab w:val="clear" w:pos="4320"/>
          <w:tab w:val="clear" w:pos="9072"/>
        </w:tabs>
        <w:ind w:left="1440" w:right="746"/>
        <w:jc w:val="both"/>
        <w:rPr>
          <w:sz w:val="24"/>
          <w:szCs w:val="24"/>
        </w:rPr>
      </w:pPr>
      <w:r w:rsidRPr="00D3633B">
        <w:rPr>
          <w:sz w:val="24"/>
          <w:szCs w:val="24"/>
        </w:rPr>
        <w:t>15.</w:t>
      </w:r>
      <w:r w:rsidRPr="00D3633B">
        <w:rPr>
          <w:sz w:val="24"/>
          <w:szCs w:val="24"/>
        </w:rPr>
        <w:tab/>
        <w:t>In summary, the expert evidence must be in a recognised discipline, reasonably required to enable the court to resolve the issues in dispute, and proportionate.</w:t>
      </w:r>
    </w:p>
    <w:p w:rsidR="002C7468" w:rsidRDefault="002C7468" w:rsidP="00D3633B">
      <w:pPr>
        <w:tabs>
          <w:tab w:val="clear" w:pos="4320"/>
          <w:tab w:val="clear" w:pos="9072"/>
        </w:tabs>
        <w:ind w:left="1440" w:right="746"/>
        <w:jc w:val="both"/>
        <w:rPr>
          <w:sz w:val="24"/>
          <w:szCs w:val="24"/>
        </w:rPr>
      </w:pPr>
    </w:p>
    <w:p w:rsidR="00BA520F" w:rsidRPr="002C7468" w:rsidRDefault="002C7468" w:rsidP="00D3633B">
      <w:pPr>
        <w:tabs>
          <w:tab w:val="clear" w:pos="4320"/>
          <w:tab w:val="clear" w:pos="9072"/>
        </w:tabs>
        <w:ind w:left="1440" w:right="746"/>
        <w:jc w:val="both"/>
        <w:rPr>
          <w:bCs/>
          <w:sz w:val="24"/>
          <w:szCs w:val="24"/>
          <w:lang w:val="en-GB"/>
        </w:rPr>
      </w:pPr>
      <w:r w:rsidRPr="002C7468">
        <w:rPr>
          <w:sz w:val="24"/>
          <w:szCs w:val="24"/>
        </w:rPr>
        <w:t>16.</w:t>
      </w:r>
      <w:r w:rsidRPr="002C7468">
        <w:rPr>
          <w:sz w:val="24"/>
          <w:szCs w:val="24"/>
        </w:rPr>
        <w:tab/>
        <w:t xml:space="preserve">However, even if a </w:t>
      </w:r>
      <w:r w:rsidRPr="002C7468">
        <w:rPr>
          <w:i/>
          <w:sz w:val="24"/>
          <w:szCs w:val="24"/>
        </w:rPr>
        <w:t>prima facie</w:t>
      </w:r>
      <w:r w:rsidRPr="002C7468">
        <w:rPr>
          <w:sz w:val="24"/>
          <w:szCs w:val="24"/>
        </w:rPr>
        <w:t xml:space="preserve"> case is made out for the admission of expert evidence, in every case, the court must also have regard to other relevant circumstances, such as the potential disruption to the trial, the prejudice to the other parties, and the explanation offered by the applicant in cases where a late application is made for expert evidence to be adduced.  These matters have to be considered and weighed in the light of and against the underlying objectives of the CJR: to ensure cost effectiveness and economy, expedition, proportionality, and fairness between the parties.  Ultimately, the court strives to do justice between the parties and, in cases where the court permits the parties to call expert evidence, the court strives to ensure a level playing field with fair access to proper experts for all parties.</w:t>
      </w:r>
      <w:r w:rsidRPr="002C7468">
        <w:rPr>
          <w:spacing w:val="40"/>
          <w:sz w:val="24"/>
          <w:szCs w:val="24"/>
        </w:rPr>
        <w:t>’</w:t>
      </w:r>
      <w:r w:rsidRPr="002C7468">
        <w:rPr>
          <w:sz w:val="24"/>
          <w:szCs w:val="24"/>
        </w:rPr>
        <w:t>”</w:t>
      </w:r>
    </w:p>
    <w:p w:rsidR="008201D8" w:rsidRPr="008201D8" w:rsidRDefault="008201D8" w:rsidP="0022469B">
      <w:pPr>
        <w:tabs>
          <w:tab w:val="clear" w:pos="1440"/>
          <w:tab w:val="clear" w:pos="4320"/>
          <w:tab w:val="clear" w:pos="9072"/>
          <w:tab w:val="left" w:pos="1418"/>
        </w:tabs>
        <w:snapToGrid/>
        <w:spacing w:line="360" w:lineRule="auto"/>
        <w:jc w:val="both"/>
        <w:rPr>
          <w:bCs/>
          <w:i/>
          <w:lang w:val="en-GB"/>
        </w:rPr>
      </w:pPr>
    </w:p>
    <w:p w:rsidR="008201D8" w:rsidRDefault="00621147" w:rsidP="003B2B03">
      <w:pPr>
        <w:numPr>
          <w:ilvl w:val="0"/>
          <w:numId w:val="2"/>
        </w:numPr>
        <w:tabs>
          <w:tab w:val="clear" w:pos="360"/>
          <w:tab w:val="clear" w:pos="4320"/>
          <w:tab w:val="clear" w:pos="9072"/>
        </w:tabs>
        <w:snapToGrid/>
        <w:spacing w:line="360" w:lineRule="auto"/>
        <w:jc w:val="both"/>
        <w:rPr>
          <w:bCs/>
          <w:lang w:val="en-GB"/>
        </w:rPr>
      </w:pPr>
      <w:r>
        <w:rPr>
          <w:bCs/>
          <w:lang w:val="en-GB"/>
        </w:rPr>
        <w:t>In dealing with the specific question of whether expert evidence from clinical psychologists or psychiatrists should be allowed to be adduced, his Lordship stated that:</w:t>
      </w:r>
    </w:p>
    <w:p w:rsidR="00621147" w:rsidRDefault="00621147" w:rsidP="00621147">
      <w:pPr>
        <w:tabs>
          <w:tab w:val="clear" w:pos="4320"/>
          <w:tab w:val="clear" w:pos="9072"/>
        </w:tabs>
        <w:snapToGrid/>
        <w:spacing w:line="360" w:lineRule="auto"/>
        <w:jc w:val="both"/>
        <w:rPr>
          <w:bCs/>
          <w:lang w:val="en-GB"/>
        </w:rPr>
      </w:pPr>
    </w:p>
    <w:p w:rsidR="00621147" w:rsidRPr="00621147" w:rsidRDefault="00621147" w:rsidP="00621147">
      <w:pPr>
        <w:tabs>
          <w:tab w:val="clear" w:pos="4320"/>
          <w:tab w:val="clear" w:pos="9072"/>
        </w:tabs>
        <w:snapToGrid/>
        <w:ind w:left="1440" w:right="746"/>
        <w:jc w:val="both"/>
        <w:rPr>
          <w:sz w:val="24"/>
          <w:szCs w:val="24"/>
        </w:rPr>
      </w:pPr>
      <w:r w:rsidRPr="00621147">
        <w:rPr>
          <w:bCs/>
          <w:sz w:val="24"/>
          <w:szCs w:val="24"/>
          <w:lang w:val="en-GB"/>
        </w:rPr>
        <w:t>“23.</w:t>
      </w:r>
      <w:r w:rsidRPr="00621147">
        <w:rPr>
          <w:bCs/>
          <w:sz w:val="24"/>
          <w:szCs w:val="24"/>
          <w:lang w:val="en-GB"/>
        </w:rPr>
        <w:tab/>
      </w:r>
      <w:r w:rsidRPr="00621147">
        <w:rPr>
          <w:sz w:val="24"/>
          <w:szCs w:val="24"/>
        </w:rPr>
        <w:t>There appears to be a misconception that the courts will not readily grant leave for evidence from a psychiatrist or a psychologist to be adduced.  The law of negligence does not provide a remedy for distress which does not amount to a recognised psychiatric illness, unless the distress, anxiety or fear is accompanied by a physical injury.</w:t>
      </w:r>
      <w:r>
        <w:rPr>
          <w:sz w:val="24"/>
          <w:szCs w:val="24"/>
        </w:rPr>
        <w:t xml:space="preserve">  </w:t>
      </w:r>
      <w:r w:rsidRPr="00621147">
        <w:rPr>
          <w:sz w:val="24"/>
          <w:szCs w:val="24"/>
        </w:rPr>
        <w:t>The courts award damages where a party has suffered a recognisable psychiatric illness over and above emotional distress and disquiet.  The court will almost invariably require expert evidence to determine whether or not this is the case.  Even where it is not disputed that the plaintiff suffers from psychiatric illness, there may be a dispute as to causation: was the psychiatric illness caused or contributed to by the tort complained of.  A trial judge who has to determine this issue of causation may need assistance from an expert in this field.</w:t>
      </w:r>
    </w:p>
    <w:p w:rsidR="00621147" w:rsidRPr="00621147" w:rsidRDefault="00621147" w:rsidP="00621147">
      <w:pPr>
        <w:tabs>
          <w:tab w:val="clear" w:pos="4320"/>
          <w:tab w:val="clear" w:pos="9072"/>
        </w:tabs>
        <w:snapToGrid/>
        <w:ind w:left="1440" w:right="746"/>
        <w:jc w:val="both"/>
        <w:rPr>
          <w:sz w:val="24"/>
          <w:szCs w:val="24"/>
        </w:rPr>
      </w:pPr>
    </w:p>
    <w:p w:rsidR="00621147" w:rsidRPr="00621147" w:rsidRDefault="00621147" w:rsidP="00621147">
      <w:pPr>
        <w:tabs>
          <w:tab w:val="clear" w:pos="4320"/>
          <w:tab w:val="clear" w:pos="9072"/>
        </w:tabs>
        <w:snapToGrid/>
        <w:ind w:left="1440" w:right="746"/>
        <w:jc w:val="both"/>
        <w:rPr>
          <w:sz w:val="24"/>
          <w:szCs w:val="24"/>
        </w:rPr>
      </w:pPr>
      <w:r w:rsidRPr="00621147">
        <w:rPr>
          <w:sz w:val="24"/>
          <w:szCs w:val="24"/>
        </w:rPr>
        <w:t>24.</w:t>
      </w:r>
      <w:r w:rsidRPr="00621147">
        <w:rPr>
          <w:sz w:val="24"/>
          <w:szCs w:val="24"/>
        </w:rPr>
        <w:tab/>
        <w:t>Indeed, in most cases, the need for psychiatric treatment or psychological counselling is apparent long before the commencement of proceedings. Inappropriate conduct or speech is noted by family members or recorded on the hospital records.  Prolonged sadness, excessive anxiety, unusual irritability and temper tantrums are all indicia of possible psychiatric illness.  These are often recognised by treating doctors and nurses and the patient referred to a psychiatric unit, whether in-patient or out-patient, for assessment and treatment.  Even if the hospital records or treating doctors and nurses make no mention of a plaintiff’s psychiatric illness or possible psychiatric illness, orthopaedic or neurological experts examining a plaintiff in order to prepare expert medical reports on his physical condition will often recognise the presence of a psychological or psychiatric component and recommend that reports be obtained from relevant experts in that field.  Each case must depend on its own facts and a mere recommendation without supporting reasons by an expert from another field may be insufficient, but where the need for psychiatric or psychological evidence is clear and obvious, there can hardly be any realistic challenge to a request for relevant expert examination and reporting.</w:t>
      </w:r>
    </w:p>
    <w:p w:rsidR="00621147" w:rsidRPr="00621147" w:rsidRDefault="00621147" w:rsidP="00621147">
      <w:pPr>
        <w:tabs>
          <w:tab w:val="clear" w:pos="4320"/>
          <w:tab w:val="clear" w:pos="9072"/>
        </w:tabs>
        <w:snapToGrid/>
        <w:ind w:left="1440" w:right="746"/>
        <w:jc w:val="both"/>
        <w:rPr>
          <w:sz w:val="24"/>
          <w:szCs w:val="24"/>
        </w:rPr>
      </w:pPr>
    </w:p>
    <w:p w:rsidR="00621147" w:rsidRPr="00621147" w:rsidRDefault="00621147" w:rsidP="00621147">
      <w:pPr>
        <w:tabs>
          <w:tab w:val="clear" w:pos="4320"/>
          <w:tab w:val="clear" w:pos="9072"/>
        </w:tabs>
        <w:snapToGrid/>
        <w:ind w:left="1440" w:right="746"/>
        <w:jc w:val="both"/>
        <w:rPr>
          <w:sz w:val="24"/>
          <w:szCs w:val="24"/>
        </w:rPr>
      </w:pPr>
      <w:r w:rsidRPr="00621147">
        <w:rPr>
          <w:sz w:val="24"/>
          <w:szCs w:val="24"/>
        </w:rPr>
        <w:t>25.</w:t>
      </w:r>
      <w:r w:rsidRPr="00621147">
        <w:rPr>
          <w:sz w:val="24"/>
          <w:szCs w:val="24"/>
        </w:rPr>
        <w:tab/>
        <w:t>In other cases, where there is no apparent indicia of a psychological component in addition to the physical injuries suffered by the plaintiff, the request for leave to adduce evidence from a psychiatrist or a psychologist will need to be properly justified. Such justification may be provided by submitting a written note from the intended expert setting out brief reasons explaining why the expert opinion is necessary in the particular case. However, for the reasons set out in §§18 and 19 above, a full medical examination and report should not be commissioned without agreement from the other party or leave of court.</w:t>
      </w:r>
    </w:p>
    <w:p w:rsidR="00621147" w:rsidRPr="00621147" w:rsidRDefault="00621147" w:rsidP="00621147">
      <w:pPr>
        <w:tabs>
          <w:tab w:val="clear" w:pos="4320"/>
          <w:tab w:val="clear" w:pos="9072"/>
        </w:tabs>
        <w:snapToGrid/>
        <w:ind w:left="1440" w:right="746"/>
        <w:jc w:val="both"/>
        <w:rPr>
          <w:sz w:val="24"/>
          <w:szCs w:val="24"/>
        </w:rPr>
      </w:pPr>
    </w:p>
    <w:p w:rsidR="00621147" w:rsidRPr="00621147" w:rsidRDefault="00621147" w:rsidP="00621147">
      <w:pPr>
        <w:tabs>
          <w:tab w:val="clear" w:pos="4320"/>
          <w:tab w:val="clear" w:pos="9072"/>
        </w:tabs>
        <w:snapToGrid/>
        <w:ind w:left="1440" w:right="746"/>
        <w:jc w:val="both"/>
        <w:rPr>
          <w:bCs/>
          <w:sz w:val="24"/>
          <w:szCs w:val="24"/>
          <w:lang w:val="en-GB"/>
        </w:rPr>
      </w:pPr>
      <w:r w:rsidRPr="00621147">
        <w:rPr>
          <w:sz w:val="24"/>
          <w:szCs w:val="24"/>
        </w:rPr>
        <w:t>26.</w:t>
      </w:r>
      <w:r w:rsidRPr="00621147">
        <w:rPr>
          <w:sz w:val="24"/>
          <w:szCs w:val="24"/>
        </w:rPr>
        <w:tab/>
        <w:t xml:space="preserve">If the request is made late in the day, or close to the commencement of trial, it is likely to be refused even if justified. As Brooke LJ explained in </w:t>
      </w:r>
      <w:r w:rsidRPr="00621147">
        <w:rPr>
          <w:i/>
          <w:iCs/>
          <w:sz w:val="24"/>
          <w:szCs w:val="24"/>
        </w:rPr>
        <w:t>Baron v. Lovell</w:t>
      </w:r>
      <w:r w:rsidRPr="00621147">
        <w:rPr>
          <w:sz w:val="24"/>
          <w:szCs w:val="24"/>
        </w:rPr>
        <w:t xml:space="preserve"> [2000] PIQR P20, each party is afforded an opportunity by the rules to make a well informed valuation of the claim and a well informed Part 36 offer (or, in Hong Kong, a sanctioned offer).  The regime simply will not work if the former latitude in serving late evidence is allowed to persist.  It is quite wrong for a trial to be delayed, and for the possibility of making an effective Part 36 offer (or, in Hong Kong, a sanctioned offer) to be rendered nugatory, because of the late service of an expert’s report.”</w:t>
      </w:r>
    </w:p>
    <w:p w:rsidR="00923B7C" w:rsidRDefault="00923B7C" w:rsidP="006928EE">
      <w:pPr>
        <w:tabs>
          <w:tab w:val="clear" w:pos="4320"/>
          <w:tab w:val="clear" w:pos="9072"/>
        </w:tabs>
        <w:snapToGrid/>
        <w:spacing w:line="360" w:lineRule="auto"/>
        <w:jc w:val="both"/>
        <w:rPr>
          <w:bCs/>
          <w:lang w:val="en-GB"/>
        </w:rPr>
      </w:pPr>
    </w:p>
    <w:p w:rsidR="00621147" w:rsidRPr="00AB181A" w:rsidRDefault="00AB181A" w:rsidP="00923B7C">
      <w:pPr>
        <w:tabs>
          <w:tab w:val="clear" w:pos="4320"/>
          <w:tab w:val="clear" w:pos="9072"/>
        </w:tabs>
        <w:snapToGrid/>
        <w:spacing w:line="360" w:lineRule="auto"/>
        <w:jc w:val="both"/>
        <w:rPr>
          <w:bCs/>
          <w:i/>
          <w:lang w:val="en-GB"/>
        </w:rPr>
      </w:pPr>
      <w:r w:rsidRPr="00AB181A">
        <w:rPr>
          <w:bCs/>
          <w:i/>
          <w:lang w:val="en-GB"/>
        </w:rPr>
        <w:t xml:space="preserve">Relevance of psychiatric </w:t>
      </w:r>
      <w:r>
        <w:rPr>
          <w:bCs/>
          <w:i/>
          <w:lang w:val="en-GB"/>
        </w:rPr>
        <w:t xml:space="preserve">expert </w:t>
      </w:r>
      <w:r w:rsidRPr="00AB181A">
        <w:rPr>
          <w:bCs/>
          <w:i/>
          <w:lang w:val="en-GB"/>
        </w:rPr>
        <w:t>report</w:t>
      </w:r>
    </w:p>
    <w:p w:rsidR="00621147" w:rsidRPr="008201D8" w:rsidRDefault="00621147" w:rsidP="00923B7C">
      <w:pPr>
        <w:tabs>
          <w:tab w:val="clear" w:pos="4320"/>
          <w:tab w:val="clear" w:pos="9072"/>
        </w:tabs>
        <w:snapToGrid/>
        <w:spacing w:line="360" w:lineRule="auto"/>
        <w:jc w:val="both"/>
        <w:rPr>
          <w:bCs/>
          <w:lang w:val="en-GB"/>
        </w:rPr>
      </w:pPr>
    </w:p>
    <w:p w:rsidR="00660DFC" w:rsidRDefault="00E85568"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It is the plaintiff’s case that expert evidence by specialists </w:t>
      </w:r>
      <w:r w:rsidR="00F377D4">
        <w:rPr>
          <w:bCs/>
          <w:lang w:val="en-GB"/>
        </w:rPr>
        <w:t xml:space="preserve">in psychiatry </w:t>
      </w:r>
      <w:r>
        <w:rPr>
          <w:bCs/>
          <w:lang w:val="en-GB"/>
        </w:rPr>
        <w:t xml:space="preserve">is required in the present case because of his psychiatric conditions.  </w:t>
      </w:r>
      <w:r w:rsidR="00660DFC">
        <w:rPr>
          <w:bCs/>
          <w:lang w:val="en-GB"/>
        </w:rPr>
        <w:t xml:space="preserve">In this regard, he </w:t>
      </w:r>
      <w:r>
        <w:rPr>
          <w:bCs/>
          <w:lang w:val="en-GB"/>
        </w:rPr>
        <w:t>referred this court</w:t>
      </w:r>
      <w:r w:rsidR="00F23821">
        <w:rPr>
          <w:bCs/>
          <w:lang w:val="en-GB"/>
        </w:rPr>
        <w:t>, among other things,</w:t>
      </w:r>
      <w:r>
        <w:rPr>
          <w:bCs/>
          <w:lang w:val="en-GB"/>
        </w:rPr>
        <w:t xml:space="preserve"> to</w:t>
      </w:r>
      <w:r w:rsidR="00660DFC">
        <w:rPr>
          <w:bCs/>
          <w:lang w:val="en-GB"/>
        </w:rPr>
        <w:t>:</w:t>
      </w:r>
    </w:p>
    <w:p w:rsidR="00037C13" w:rsidRDefault="00037C13" w:rsidP="00923B7C">
      <w:pPr>
        <w:tabs>
          <w:tab w:val="clear" w:pos="1440"/>
          <w:tab w:val="clear" w:pos="4320"/>
          <w:tab w:val="clear" w:pos="9072"/>
          <w:tab w:val="left" w:pos="2160"/>
        </w:tabs>
        <w:snapToGrid/>
        <w:spacing w:line="360" w:lineRule="auto"/>
        <w:ind w:left="2160"/>
        <w:jc w:val="both"/>
        <w:rPr>
          <w:bCs/>
          <w:lang w:val="en-GB"/>
        </w:rPr>
      </w:pPr>
    </w:p>
    <w:p w:rsidR="00E85568" w:rsidRDefault="00E85568"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 Patient Referral Form dated 19 June 2019 issued by Dr Clarence Lee </w:t>
      </w:r>
      <w:r w:rsidR="00016BE3">
        <w:rPr>
          <w:bCs/>
          <w:lang w:val="en-GB"/>
        </w:rPr>
        <w:t xml:space="preserve">(a specialist in respiratory medicine) </w:t>
      </w:r>
      <w:r>
        <w:rPr>
          <w:bCs/>
          <w:lang w:val="en-GB"/>
        </w:rPr>
        <w:t>in which it was stated that the plaintiff was diagnosed as suffering from post-traumatic stress disorder, having depressive symptoms with chronic ins</w:t>
      </w:r>
      <w:r w:rsidR="00660DFC">
        <w:rPr>
          <w:bCs/>
          <w:lang w:val="en-GB"/>
        </w:rPr>
        <w:t>omnia and vague suicidal thoughts;</w:t>
      </w:r>
    </w:p>
    <w:p w:rsidR="00037C13" w:rsidRDefault="00037C13" w:rsidP="00923B7C">
      <w:pPr>
        <w:tabs>
          <w:tab w:val="clear" w:pos="1440"/>
          <w:tab w:val="clear" w:pos="4320"/>
          <w:tab w:val="clear" w:pos="9072"/>
          <w:tab w:val="left" w:pos="2160"/>
        </w:tabs>
        <w:snapToGrid/>
        <w:spacing w:line="360" w:lineRule="auto"/>
        <w:ind w:left="2160"/>
        <w:jc w:val="both"/>
        <w:rPr>
          <w:bCs/>
          <w:lang w:val="en-GB"/>
        </w:rPr>
      </w:pPr>
    </w:p>
    <w:p w:rsidR="00660DFC" w:rsidRDefault="00660DFC"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single joint expert report dated 16 December 2019</w:t>
      </w:r>
      <w:r w:rsidRPr="00660DFC">
        <w:rPr>
          <w:bCs/>
          <w:lang w:val="en-GB"/>
        </w:rPr>
        <w:t xml:space="preserve"> </w:t>
      </w:r>
      <w:r w:rsidR="00016BE3">
        <w:rPr>
          <w:bCs/>
          <w:lang w:val="en-GB"/>
        </w:rPr>
        <w:t>prepared by Dr Henry Cheung (</w:t>
      </w:r>
      <w:r>
        <w:rPr>
          <w:bCs/>
          <w:lang w:val="en-GB"/>
        </w:rPr>
        <w:t>a specialist in cardiothoracic surgery</w:t>
      </w:r>
      <w:r w:rsidR="00016BE3">
        <w:rPr>
          <w:bCs/>
          <w:lang w:val="en-GB"/>
        </w:rPr>
        <w:t>)</w:t>
      </w:r>
      <w:r>
        <w:rPr>
          <w:bCs/>
          <w:lang w:val="en-GB"/>
        </w:rPr>
        <w:t xml:space="preserve"> in which it was stated that the plaintiff has begun to exhibit symptoms of depression with chronic insomnia, depressive symptoms and thoughts of suicide;</w:t>
      </w:r>
    </w:p>
    <w:p w:rsidR="00037C13" w:rsidRDefault="00037C13" w:rsidP="00923B7C">
      <w:pPr>
        <w:tabs>
          <w:tab w:val="clear" w:pos="1440"/>
          <w:tab w:val="clear" w:pos="4320"/>
          <w:tab w:val="clear" w:pos="9072"/>
          <w:tab w:val="left" w:pos="2160"/>
        </w:tabs>
        <w:snapToGrid/>
        <w:spacing w:line="360" w:lineRule="auto"/>
        <w:ind w:left="2160"/>
        <w:jc w:val="both"/>
        <w:rPr>
          <w:bCs/>
          <w:lang w:val="en-GB"/>
        </w:rPr>
      </w:pPr>
    </w:p>
    <w:p w:rsidR="00660DFC" w:rsidRDefault="00660DFC"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his treatments received </w:t>
      </w:r>
      <w:r w:rsidR="00F23821">
        <w:rPr>
          <w:bCs/>
          <w:lang w:val="en-GB"/>
        </w:rPr>
        <w:t>at the West Kowloon Psychiatric Centre of Princess Margaret Hospital on 23 March 2020, 18 May 2020 and 10 August 2020;</w:t>
      </w:r>
    </w:p>
    <w:p w:rsidR="00037C13" w:rsidRDefault="00037C13" w:rsidP="00923B7C">
      <w:pPr>
        <w:tabs>
          <w:tab w:val="clear" w:pos="1440"/>
          <w:tab w:val="clear" w:pos="4320"/>
          <w:tab w:val="clear" w:pos="9072"/>
          <w:tab w:val="left" w:pos="2160"/>
        </w:tabs>
        <w:snapToGrid/>
        <w:spacing w:line="360" w:lineRule="auto"/>
        <w:ind w:left="2160"/>
        <w:jc w:val="both"/>
        <w:rPr>
          <w:bCs/>
          <w:lang w:val="en-GB"/>
        </w:rPr>
      </w:pPr>
    </w:p>
    <w:p w:rsidR="00F23821" w:rsidRDefault="00F23821"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 medical report dated 22 June 2020 by Dr Yan Kam Sun </w:t>
      </w:r>
      <w:r w:rsidR="00E267E6">
        <w:rPr>
          <w:bCs/>
          <w:lang w:val="en-GB"/>
        </w:rPr>
        <w:t xml:space="preserve">(who held a Postgraduate Diploma in Community Psychological Medicine) </w:t>
      </w:r>
      <w:r>
        <w:rPr>
          <w:bCs/>
          <w:lang w:val="en-GB"/>
        </w:rPr>
        <w:t xml:space="preserve">who </w:t>
      </w:r>
      <w:r w:rsidR="00E267E6">
        <w:rPr>
          <w:bCs/>
          <w:lang w:val="en-GB"/>
        </w:rPr>
        <w:t>took the tentative view that the plaintiff was suffering from post-traumatic stress disorder;</w:t>
      </w:r>
      <w:r w:rsidR="008775B4">
        <w:rPr>
          <w:bCs/>
          <w:lang w:val="en-GB"/>
        </w:rPr>
        <w:t xml:space="preserve"> </w:t>
      </w:r>
    </w:p>
    <w:p w:rsidR="00037C13" w:rsidRDefault="00037C13" w:rsidP="00923B7C">
      <w:pPr>
        <w:tabs>
          <w:tab w:val="clear" w:pos="1440"/>
          <w:tab w:val="clear" w:pos="4320"/>
          <w:tab w:val="clear" w:pos="9072"/>
          <w:tab w:val="left" w:pos="2160"/>
        </w:tabs>
        <w:snapToGrid/>
        <w:spacing w:line="360" w:lineRule="auto"/>
        <w:ind w:left="2160"/>
        <w:jc w:val="both"/>
        <w:rPr>
          <w:bCs/>
          <w:lang w:val="en-GB"/>
        </w:rPr>
      </w:pPr>
    </w:p>
    <w:p w:rsidR="00E267E6" w:rsidRDefault="00E267E6"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medical report dated 21 June 2020</w:t>
      </w:r>
      <w:r w:rsidR="008775B4">
        <w:rPr>
          <w:bCs/>
          <w:lang w:val="en-GB"/>
        </w:rPr>
        <w:t xml:space="preserve"> </w:t>
      </w:r>
      <w:r>
        <w:rPr>
          <w:bCs/>
          <w:lang w:val="en-GB"/>
        </w:rPr>
        <w:t>by Dr Tsang, who opined that the plaintiff was suffering from Major Depressive Disorder</w:t>
      </w:r>
      <w:r w:rsidR="00037C13">
        <w:rPr>
          <w:bCs/>
          <w:lang w:val="en-GB"/>
        </w:rPr>
        <w:t xml:space="preserve"> and that this mental problem is likely to be caused by the injury suffered as a result of the accident</w:t>
      </w:r>
      <w:r w:rsidR="008775B4">
        <w:rPr>
          <w:bCs/>
          <w:lang w:val="en-GB"/>
        </w:rPr>
        <w:t>; and</w:t>
      </w:r>
    </w:p>
    <w:p w:rsidR="008775B4" w:rsidRDefault="008775B4" w:rsidP="00923B7C">
      <w:pPr>
        <w:pStyle w:val="ListParagraph"/>
        <w:spacing w:line="360" w:lineRule="auto"/>
        <w:rPr>
          <w:bCs/>
          <w:lang w:val="en-GB"/>
        </w:rPr>
      </w:pPr>
    </w:p>
    <w:p w:rsidR="008775B4" w:rsidRDefault="008775B4"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 medical report dated 24 December 2020 by Dr Tsang, who opined that </w:t>
      </w:r>
      <w:r w:rsidR="00B74B76">
        <w:rPr>
          <w:bCs/>
          <w:lang w:val="en-GB"/>
        </w:rPr>
        <w:t>the plaintiff was still suffering from depressive disorder and the prognosis was not as optimistic as before.</w:t>
      </w:r>
    </w:p>
    <w:p w:rsidR="00E85568" w:rsidRDefault="00E85568" w:rsidP="00923B7C">
      <w:pPr>
        <w:tabs>
          <w:tab w:val="clear" w:pos="4320"/>
          <w:tab w:val="clear" w:pos="9072"/>
        </w:tabs>
        <w:snapToGrid/>
        <w:spacing w:line="360" w:lineRule="auto"/>
        <w:jc w:val="both"/>
        <w:rPr>
          <w:bCs/>
          <w:lang w:val="en-GB"/>
        </w:rPr>
      </w:pPr>
    </w:p>
    <w:p w:rsidR="00AB181A" w:rsidRDefault="00AB181A"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Ms Yu submitted that the </w:t>
      </w:r>
      <w:r w:rsidR="00F801BC">
        <w:rPr>
          <w:bCs/>
          <w:lang w:val="en-GB"/>
        </w:rPr>
        <w:t xml:space="preserve">causal link between the accident and the psychiatric illness appears to be tenuous and that the </w:t>
      </w:r>
      <w:r>
        <w:rPr>
          <w:bCs/>
          <w:lang w:val="en-GB"/>
        </w:rPr>
        <w:t>plaintiff has failed to demonstrate that the proposed psychiatric expert evidence is relevant, necessary and of probative value, because:</w:t>
      </w:r>
    </w:p>
    <w:p w:rsidR="00AB181A" w:rsidRDefault="00AB181A" w:rsidP="00923B7C">
      <w:pPr>
        <w:tabs>
          <w:tab w:val="clear" w:pos="4320"/>
          <w:tab w:val="clear" w:pos="9072"/>
        </w:tabs>
        <w:snapToGrid/>
        <w:spacing w:line="360" w:lineRule="auto"/>
        <w:jc w:val="both"/>
        <w:rPr>
          <w:bCs/>
          <w:lang w:val="en-GB"/>
        </w:rPr>
      </w:pPr>
    </w:p>
    <w:p w:rsidR="00AB181A" w:rsidRPr="00E85568" w:rsidRDefault="00AB181A"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there was nothing which suggested that the plaintiff has suffered from any psychiatric illness shortly after the accident on 18 February 2016, and the first time when </w:t>
      </w:r>
      <w:r w:rsidR="00E85568">
        <w:rPr>
          <w:bCs/>
          <w:lang w:val="en-GB"/>
        </w:rPr>
        <w:t xml:space="preserve">“psychiatric illness” </w:t>
      </w:r>
      <w:r>
        <w:rPr>
          <w:bCs/>
          <w:lang w:val="en-GB"/>
        </w:rPr>
        <w:t>was mentioned was in the referral letter prepared by Dr Clarence Lee dated 16 June 2019</w:t>
      </w:r>
      <w:r w:rsidR="00E85568">
        <w:rPr>
          <w:bCs/>
          <w:lang w:val="en-GB"/>
        </w:rPr>
        <w:t>.  A</w:t>
      </w:r>
      <w:r w:rsidRPr="00E85568">
        <w:rPr>
          <w:bCs/>
          <w:lang w:val="en-GB"/>
        </w:rPr>
        <w:t xml:space="preserve">s </w:t>
      </w:r>
      <w:r w:rsidR="009B1989" w:rsidRPr="00E85568">
        <w:rPr>
          <w:bCs/>
          <w:lang w:val="en-GB"/>
        </w:rPr>
        <w:t>mentioned</w:t>
      </w:r>
      <w:r w:rsidRPr="00E85568">
        <w:rPr>
          <w:bCs/>
          <w:lang w:val="en-GB"/>
        </w:rPr>
        <w:t xml:space="preserve"> by Bharwaney J in</w:t>
      </w:r>
      <w:r w:rsidR="003B2AE4" w:rsidRPr="00E85568">
        <w:rPr>
          <w:bCs/>
          <w:i/>
          <w:lang w:val="en-GB"/>
        </w:rPr>
        <w:t xml:space="preserve"> Fung Chun Man</w:t>
      </w:r>
      <w:r w:rsidRPr="00E85568">
        <w:rPr>
          <w:bCs/>
          <w:lang w:val="en-GB"/>
        </w:rPr>
        <w:t xml:space="preserve"> </w:t>
      </w:r>
      <w:r w:rsidR="003B2AE4" w:rsidRPr="00E85568">
        <w:rPr>
          <w:bCs/>
          <w:lang w:val="en-GB"/>
        </w:rPr>
        <w:t xml:space="preserve">as quoted above, </w:t>
      </w:r>
      <w:r w:rsidRPr="00E85568">
        <w:rPr>
          <w:bCs/>
          <w:lang w:val="en-GB"/>
        </w:rPr>
        <w:t xml:space="preserve">in most cases the need for psychiatric treatment would be apparent long before the commencement of the proceedings, and indicia </w:t>
      </w:r>
      <w:r w:rsidR="003B2AE4" w:rsidRPr="00E85568">
        <w:rPr>
          <w:bCs/>
          <w:lang w:val="en-GB"/>
        </w:rPr>
        <w:t>of possible psychiatric illness would often be recognised by treating doctors for assessment and treatment;</w:t>
      </w:r>
    </w:p>
    <w:p w:rsidR="003B2AE4" w:rsidRDefault="003B2AE4" w:rsidP="00923B7C">
      <w:pPr>
        <w:tabs>
          <w:tab w:val="clear" w:pos="1440"/>
          <w:tab w:val="clear" w:pos="4320"/>
          <w:tab w:val="clear" w:pos="9072"/>
          <w:tab w:val="left" w:pos="2160"/>
        </w:tabs>
        <w:snapToGrid/>
        <w:spacing w:line="360" w:lineRule="auto"/>
        <w:ind w:left="2160"/>
        <w:jc w:val="both"/>
        <w:rPr>
          <w:bCs/>
          <w:lang w:val="en-GB"/>
        </w:rPr>
      </w:pPr>
    </w:p>
    <w:p w:rsidR="00AB181A" w:rsidRDefault="00AB181A"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it was agreed by the orthopaedic experts in their report dated 24 August 2017 that examination by other sp</w:t>
      </w:r>
      <w:r w:rsidR="003B2AE4">
        <w:rPr>
          <w:bCs/>
          <w:lang w:val="en-GB"/>
        </w:rPr>
        <w:t>ecialists would not be required;</w:t>
      </w:r>
    </w:p>
    <w:p w:rsidR="003B2AE4" w:rsidRDefault="003B2AE4" w:rsidP="00923B7C">
      <w:pPr>
        <w:tabs>
          <w:tab w:val="clear" w:pos="1440"/>
          <w:tab w:val="clear" w:pos="4320"/>
          <w:tab w:val="clear" w:pos="9072"/>
          <w:tab w:val="left" w:pos="2160"/>
        </w:tabs>
        <w:snapToGrid/>
        <w:spacing w:line="360" w:lineRule="auto"/>
        <w:ind w:left="2160"/>
        <w:jc w:val="both"/>
        <w:rPr>
          <w:bCs/>
          <w:lang w:val="en-GB"/>
        </w:rPr>
      </w:pPr>
    </w:p>
    <w:p w:rsidR="003B2AE4" w:rsidRDefault="003B2AE4"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Dr Henry Cheung’s opinion that the plaintiff’s apparent signs and symptoms of depression were likely to be caused by the accident is unsupported by any explanation;</w:t>
      </w:r>
    </w:p>
    <w:p w:rsidR="003B2AE4" w:rsidRDefault="003B2AE4" w:rsidP="00923B7C">
      <w:pPr>
        <w:tabs>
          <w:tab w:val="clear" w:pos="1440"/>
          <w:tab w:val="clear" w:pos="4320"/>
          <w:tab w:val="clear" w:pos="9072"/>
          <w:tab w:val="left" w:pos="2160"/>
        </w:tabs>
        <w:snapToGrid/>
        <w:spacing w:line="360" w:lineRule="auto"/>
        <w:ind w:left="2160"/>
        <w:jc w:val="both"/>
        <w:rPr>
          <w:bCs/>
          <w:lang w:val="en-GB"/>
        </w:rPr>
      </w:pPr>
    </w:p>
    <w:p w:rsidR="003B2AE4" w:rsidRDefault="003B2AE4"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Dr Tsang’s assertion that the plaintiff’s mental problem is likely to be </w:t>
      </w:r>
      <w:r w:rsidR="003F27FF">
        <w:rPr>
          <w:bCs/>
          <w:lang w:val="en-GB"/>
        </w:rPr>
        <w:t>caused</w:t>
      </w:r>
      <w:r>
        <w:rPr>
          <w:bCs/>
          <w:lang w:val="en-GB"/>
        </w:rPr>
        <w:t xml:space="preserve"> by the injury suffered in the accident is based on the wrong premise that the plaintiff’s mental symptoms appeared shortly after the injury and insufficient information. </w:t>
      </w:r>
    </w:p>
    <w:p w:rsidR="008201D8" w:rsidRPr="008201D8" w:rsidRDefault="008201D8" w:rsidP="00923B7C">
      <w:pPr>
        <w:tabs>
          <w:tab w:val="clear" w:pos="4320"/>
          <w:tab w:val="clear" w:pos="9072"/>
        </w:tabs>
        <w:snapToGrid/>
        <w:spacing w:line="360" w:lineRule="auto"/>
        <w:jc w:val="both"/>
        <w:rPr>
          <w:bCs/>
          <w:lang w:val="en-GB"/>
        </w:rPr>
      </w:pPr>
    </w:p>
    <w:p w:rsidR="008201D8" w:rsidRPr="00B30EA5" w:rsidRDefault="008201D8" w:rsidP="00923B7C">
      <w:pPr>
        <w:numPr>
          <w:ilvl w:val="0"/>
          <w:numId w:val="2"/>
        </w:numPr>
        <w:tabs>
          <w:tab w:val="clear" w:pos="360"/>
          <w:tab w:val="clear" w:pos="4320"/>
          <w:tab w:val="clear" w:pos="9072"/>
        </w:tabs>
        <w:snapToGrid/>
        <w:spacing w:line="360" w:lineRule="auto"/>
        <w:jc w:val="both"/>
        <w:rPr>
          <w:bCs/>
          <w:lang w:val="en-GB"/>
        </w:rPr>
      </w:pPr>
      <w:r w:rsidRPr="008201D8">
        <w:rPr>
          <w:bCs/>
          <w:lang w:val="en-GB"/>
        </w:rPr>
        <w:t xml:space="preserve"> </w:t>
      </w:r>
      <w:r w:rsidR="00067F7C">
        <w:rPr>
          <w:bCs/>
          <w:lang w:val="en-GB"/>
        </w:rPr>
        <w:t xml:space="preserve">In </w:t>
      </w:r>
      <w:r w:rsidR="00B30EA5">
        <w:rPr>
          <w:bCs/>
          <w:lang w:val="en-GB"/>
        </w:rPr>
        <w:t>the present case</w:t>
      </w:r>
      <w:r w:rsidR="00067F7C">
        <w:rPr>
          <w:bCs/>
          <w:lang w:val="en-GB"/>
        </w:rPr>
        <w:t xml:space="preserve">, </w:t>
      </w:r>
      <w:r w:rsidR="00B30EA5">
        <w:rPr>
          <w:bCs/>
          <w:lang w:val="en-GB"/>
        </w:rPr>
        <w:t>the first question</w:t>
      </w:r>
      <w:r w:rsidR="00FD2ADF">
        <w:rPr>
          <w:bCs/>
          <w:lang w:val="en-GB"/>
        </w:rPr>
        <w:t xml:space="preserve"> we need to ask</w:t>
      </w:r>
      <w:r w:rsidR="00B30EA5">
        <w:rPr>
          <w:bCs/>
          <w:lang w:val="en-GB"/>
        </w:rPr>
        <w:t xml:space="preserve"> is whether </w:t>
      </w:r>
      <w:r w:rsidR="00067F7C">
        <w:rPr>
          <w:bCs/>
          <w:lang w:val="en-GB"/>
        </w:rPr>
        <w:t xml:space="preserve">psychiatric expert evidence </w:t>
      </w:r>
      <w:r w:rsidR="00B30EA5">
        <w:rPr>
          <w:bCs/>
          <w:lang w:val="en-GB"/>
        </w:rPr>
        <w:t>is reasonably required to enable the court to resolve the issues in dispute.  It is just another way to express the same consideration: whether psychiatric expert evidence</w:t>
      </w:r>
      <w:r w:rsidR="00B30EA5">
        <w:t xml:space="preserve"> is likely to be of real assistance to the determination of the issues</w:t>
      </w:r>
      <w:r w:rsidR="00067F7C">
        <w:rPr>
          <w:bCs/>
          <w:lang w:val="en-GB"/>
        </w:rPr>
        <w:t xml:space="preserve"> </w:t>
      </w:r>
      <w:r w:rsidR="00B30EA5">
        <w:rPr>
          <w:bCs/>
          <w:lang w:val="en-GB"/>
        </w:rPr>
        <w:t xml:space="preserve">before the court.  </w:t>
      </w:r>
      <w:r w:rsidR="00B30EA5">
        <w:t>Such evidence will not be helpful, and needs not be adduced, where the issue to be decided is one on which the court is able to come to a fully informed decision without hearing such evidence.</w:t>
      </w:r>
    </w:p>
    <w:p w:rsidR="00B30EA5" w:rsidRPr="00B30EA5" w:rsidRDefault="00B30EA5" w:rsidP="00923B7C">
      <w:pPr>
        <w:tabs>
          <w:tab w:val="clear" w:pos="4320"/>
          <w:tab w:val="clear" w:pos="9072"/>
        </w:tabs>
        <w:snapToGrid/>
        <w:spacing w:line="360" w:lineRule="auto"/>
        <w:jc w:val="both"/>
        <w:rPr>
          <w:bCs/>
          <w:lang w:val="en-GB"/>
        </w:rPr>
      </w:pPr>
    </w:p>
    <w:p w:rsidR="00B30EA5" w:rsidRDefault="004E7EBF"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In my view, this court </w:t>
      </w:r>
      <w:r w:rsidR="002D47CA">
        <w:rPr>
          <w:bCs/>
          <w:lang w:val="en-GB"/>
        </w:rPr>
        <w:t xml:space="preserve">should only give </w:t>
      </w:r>
      <w:r>
        <w:rPr>
          <w:bCs/>
          <w:lang w:val="en-GB"/>
        </w:rPr>
        <w:t>negative answer</w:t>
      </w:r>
      <w:r w:rsidR="002D47CA">
        <w:rPr>
          <w:bCs/>
          <w:lang w:val="en-GB"/>
        </w:rPr>
        <w:t>s</w:t>
      </w:r>
      <w:r>
        <w:rPr>
          <w:bCs/>
          <w:lang w:val="en-GB"/>
        </w:rPr>
        <w:t xml:space="preserve"> to the aforesaid questions if </w:t>
      </w:r>
      <w:r w:rsidR="00F377D4">
        <w:rPr>
          <w:bCs/>
          <w:lang w:val="en-GB"/>
        </w:rPr>
        <w:t>it can be concluded</w:t>
      </w:r>
      <w:r>
        <w:rPr>
          <w:bCs/>
          <w:lang w:val="en-GB"/>
        </w:rPr>
        <w:t xml:space="preserve"> at this stage and with the materials placed before the court that the plaintiff will not be able to establish, on the balance of probabilities, that his psychiatric illness (if any) is caused by the accident on 18 February 2016.</w:t>
      </w:r>
    </w:p>
    <w:p w:rsidR="007B7CC4" w:rsidRDefault="007B7CC4" w:rsidP="00923B7C">
      <w:pPr>
        <w:pStyle w:val="ListParagraph"/>
        <w:spacing w:line="360" w:lineRule="auto"/>
        <w:rPr>
          <w:bCs/>
          <w:lang w:val="en-GB"/>
        </w:rPr>
      </w:pPr>
    </w:p>
    <w:p w:rsidR="007B7CC4" w:rsidRDefault="002D47CA" w:rsidP="00923B7C">
      <w:pPr>
        <w:numPr>
          <w:ilvl w:val="0"/>
          <w:numId w:val="2"/>
        </w:numPr>
        <w:tabs>
          <w:tab w:val="clear" w:pos="360"/>
          <w:tab w:val="clear" w:pos="4320"/>
          <w:tab w:val="clear" w:pos="9072"/>
        </w:tabs>
        <w:snapToGrid/>
        <w:spacing w:line="360" w:lineRule="auto"/>
        <w:jc w:val="both"/>
        <w:rPr>
          <w:bCs/>
          <w:lang w:val="en-GB"/>
        </w:rPr>
      </w:pPr>
      <w:r>
        <w:rPr>
          <w:bCs/>
          <w:lang w:val="en-GB"/>
        </w:rPr>
        <w:t>I do not think I can</w:t>
      </w:r>
      <w:r w:rsidR="007B7CC4">
        <w:rPr>
          <w:bCs/>
          <w:lang w:val="en-GB"/>
        </w:rPr>
        <w:t xml:space="preserve"> come to that conclusion.</w:t>
      </w:r>
    </w:p>
    <w:p w:rsidR="007B7CC4" w:rsidRDefault="007B7CC4" w:rsidP="00923B7C">
      <w:pPr>
        <w:pStyle w:val="ListParagraph"/>
        <w:spacing w:line="360" w:lineRule="auto"/>
        <w:rPr>
          <w:bCs/>
          <w:lang w:val="en-GB"/>
        </w:rPr>
      </w:pPr>
    </w:p>
    <w:p w:rsidR="00FB14F5" w:rsidRDefault="007B7CC4"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It is true that </w:t>
      </w:r>
      <w:r w:rsidR="002D47CA">
        <w:rPr>
          <w:bCs/>
          <w:lang w:val="en-GB"/>
        </w:rPr>
        <w:t xml:space="preserve">the plaintiff’s alleged psychiatric illness </w:t>
      </w:r>
      <w:r w:rsidR="00DE2559">
        <w:rPr>
          <w:bCs/>
          <w:lang w:val="en-GB"/>
        </w:rPr>
        <w:t xml:space="preserve">was not </w:t>
      </w:r>
      <w:r w:rsidR="006E0703">
        <w:rPr>
          <w:bCs/>
          <w:lang w:val="en-GB"/>
        </w:rPr>
        <w:t xml:space="preserve">diagnosed </w:t>
      </w:r>
      <w:r w:rsidR="002D47CA">
        <w:rPr>
          <w:bCs/>
          <w:lang w:val="en-GB"/>
        </w:rPr>
        <w:t xml:space="preserve">until Dr Clarence Lee referred to it in </w:t>
      </w:r>
      <w:r w:rsidR="00F377D4">
        <w:rPr>
          <w:bCs/>
          <w:lang w:val="en-GB"/>
        </w:rPr>
        <w:t>the Patient R</w:t>
      </w:r>
      <w:r w:rsidR="002D47CA">
        <w:rPr>
          <w:bCs/>
          <w:lang w:val="en-GB"/>
        </w:rPr>
        <w:t xml:space="preserve">eferral </w:t>
      </w:r>
      <w:r w:rsidR="00F377D4">
        <w:rPr>
          <w:bCs/>
          <w:lang w:val="en-GB"/>
        </w:rPr>
        <w:t>F</w:t>
      </w:r>
      <w:r w:rsidR="002D47CA">
        <w:rPr>
          <w:bCs/>
          <w:lang w:val="en-GB"/>
        </w:rPr>
        <w:t xml:space="preserve">orm dated 19 June 2019.  By then, it was already 3 years and 4 months since the date of the accident.  </w:t>
      </w:r>
      <w:r w:rsidR="00FB14F5">
        <w:rPr>
          <w:bCs/>
          <w:lang w:val="en-GB"/>
        </w:rPr>
        <w:t xml:space="preserve">However, there is a question </w:t>
      </w:r>
      <w:r w:rsidR="00D00DD4">
        <w:rPr>
          <w:bCs/>
          <w:lang w:val="en-GB"/>
        </w:rPr>
        <w:t xml:space="preserve">mark </w:t>
      </w:r>
      <w:r w:rsidR="00FB14F5">
        <w:rPr>
          <w:bCs/>
          <w:lang w:val="en-GB"/>
        </w:rPr>
        <w:t>as to whether it is rea</w:t>
      </w:r>
      <w:r w:rsidR="00D00DD4">
        <w:rPr>
          <w:bCs/>
          <w:lang w:val="en-GB"/>
        </w:rPr>
        <w:t>lly the case that the plaintiff’</w:t>
      </w:r>
      <w:r w:rsidR="004008DF">
        <w:rPr>
          <w:bCs/>
          <w:lang w:val="en-GB"/>
        </w:rPr>
        <w:t>s</w:t>
      </w:r>
      <w:r w:rsidR="00FB14F5">
        <w:rPr>
          <w:bCs/>
          <w:lang w:val="en-GB"/>
        </w:rPr>
        <w:t xml:space="preserve"> mental illness symptoms </w:t>
      </w:r>
      <w:r w:rsidR="00D00DD4">
        <w:rPr>
          <w:bCs/>
          <w:lang w:val="en-GB"/>
        </w:rPr>
        <w:t xml:space="preserve">had never been mentioned in medical records </w:t>
      </w:r>
      <w:r w:rsidR="00FB14F5">
        <w:rPr>
          <w:bCs/>
          <w:lang w:val="en-GB"/>
        </w:rPr>
        <w:t>at all until June 2019</w:t>
      </w:r>
      <w:r w:rsidR="00EB62EC">
        <w:rPr>
          <w:bCs/>
          <w:lang w:val="en-GB"/>
        </w:rPr>
        <w:t xml:space="preserve"> (as alleged by the defendant)</w:t>
      </w:r>
      <w:r w:rsidR="0002789C">
        <w:rPr>
          <w:bCs/>
          <w:lang w:val="en-GB"/>
        </w:rPr>
        <w:t>, because it can be seen that</w:t>
      </w:r>
      <w:r w:rsidR="00FB14F5">
        <w:rPr>
          <w:bCs/>
          <w:lang w:val="en-GB"/>
        </w:rPr>
        <w:t>:</w:t>
      </w:r>
    </w:p>
    <w:p w:rsidR="00FB14F5" w:rsidRDefault="00FB14F5" w:rsidP="00923B7C">
      <w:pPr>
        <w:pStyle w:val="ListParagraph"/>
        <w:spacing w:line="360" w:lineRule="auto"/>
        <w:rPr>
          <w:bCs/>
          <w:lang w:val="en-GB"/>
        </w:rPr>
      </w:pPr>
    </w:p>
    <w:p w:rsidR="00FB14F5" w:rsidRDefault="00C779F5"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In the triage assessment record of the A &amp; E Department of Princess Margaret Hospital dated 7 October 2016, the plaintiff’s “condition on arrival” was described as “distress”;</w:t>
      </w:r>
    </w:p>
    <w:p w:rsidR="0002789C" w:rsidRDefault="0002789C" w:rsidP="00923B7C">
      <w:pPr>
        <w:tabs>
          <w:tab w:val="clear" w:pos="1440"/>
          <w:tab w:val="clear" w:pos="4320"/>
          <w:tab w:val="clear" w:pos="9072"/>
          <w:tab w:val="left" w:pos="2160"/>
        </w:tabs>
        <w:snapToGrid/>
        <w:spacing w:line="360" w:lineRule="auto"/>
        <w:ind w:left="2160"/>
        <w:jc w:val="both"/>
        <w:rPr>
          <w:bCs/>
          <w:lang w:val="en-GB"/>
        </w:rPr>
      </w:pPr>
    </w:p>
    <w:p w:rsidR="00C779F5" w:rsidRDefault="00C779F5"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In the triage assessment record of the A &amp; E Department of Princess Margaret Hospital dated 16 November 2016, </w:t>
      </w:r>
      <w:r w:rsidR="0002789C">
        <w:rPr>
          <w:bCs/>
          <w:lang w:val="en-GB"/>
        </w:rPr>
        <w:t xml:space="preserve">the plaintiff’s “condition on arrival” was described as “distress”, and </w:t>
      </w:r>
      <w:r>
        <w:rPr>
          <w:bCs/>
          <w:lang w:val="en-GB"/>
        </w:rPr>
        <w:t>it was recorded</w:t>
      </w:r>
      <w:r w:rsidR="0002789C">
        <w:rPr>
          <w:bCs/>
          <w:lang w:val="en-GB"/>
        </w:rPr>
        <w:t xml:space="preserve"> “sleep disturbed occasionally”</w:t>
      </w:r>
      <w:r w:rsidR="004008DF">
        <w:rPr>
          <w:bCs/>
          <w:lang w:val="en-GB"/>
        </w:rPr>
        <w:t>.</w:t>
      </w:r>
    </w:p>
    <w:p w:rsidR="00FB14F5" w:rsidRDefault="00FB14F5" w:rsidP="00923B7C">
      <w:pPr>
        <w:pStyle w:val="ListParagraph"/>
        <w:spacing w:line="360" w:lineRule="auto"/>
        <w:rPr>
          <w:bCs/>
          <w:lang w:val="en-GB"/>
        </w:rPr>
      </w:pPr>
    </w:p>
    <w:p w:rsidR="0002789C" w:rsidRDefault="0002789C"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When the plaintiff consulted Dr Tsang on 25 May 2020, he told the doctor that, shortly after the injury, he was unable to get to sleep, that he had excessive worries, </w:t>
      </w:r>
      <w:r w:rsidR="009005B4">
        <w:rPr>
          <w:bCs/>
          <w:lang w:val="en-GB"/>
        </w:rPr>
        <w:t xml:space="preserve">and </w:t>
      </w:r>
      <w:r>
        <w:rPr>
          <w:bCs/>
          <w:lang w:val="en-GB"/>
        </w:rPr>
        <w:t xml:space="preserve">became very irritable and hot tempered.  He also stated that he was very unhappy and unable to cheer up.  It was on this basis that Dr Tsang gave his medical opinion. </w:t>
      </w:r>
    </w:p>
    <w:p w:rsidR="0002789C" w:rsidRDefault="0002789C" w:rsidP="00923B7C">
      <w:pPr>
        <w:tabs>
          <w:tab w:val="clear" w:pos="4320"/>
          <w:tab w:val="clear" w:pos="9072"/>
        </w:tabs>
        <w:snapToGrid/>
        <w:spacing w:line="360" w:lineRule="auto"/>
        <w:jc w:val="both"/>
        <w:rPr>
          <w:bCs/>
          <w:lang w:val="en-GB"/>
        </w:rPr>
      </w:pPr>
    </w:p>
    <w:p w:rsidR="0002789C" w:rsidRDefault="009005B4"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In the light of the aforesaid triage assessment records, </w:t>
      </w:r>
      <w:r w:rsidR="0002789C">
        <w:rPr>
          <w:bCs/>
          <w:lang w:val="en-GB"/>
        </w:rPr>
        <w:t xml:space="preserve">I do not think I can </w:t>
      </w:r>
      <w:r>
        <w:rPr>
          <w:bCs/>
          <w:lang w:val="en-GB"/>
        </w:rPr>
        <w:t xml:space="preserve">reject </w:t>
      </w:r>
      <w:r w:rsidR="0002789C">
        <w:rPr>
          <w:bCs/>
          <w:lang w:val="en-GB"/>
        </w:rPr>
        <w:t xml:space="preserve">Dr Tsang’s </w:t>
      </w:r>
      <w:r>
        <w:rPr>
          <w:bCs/>
          <w:lang w:val="en-GB"/>
        </w:rPr>
        <w:t xml:space="preserve">opinion outright </w:t>
      </w:r>
      <w:r w:rsidR="0002789C">
        <w:rPr>
          <w:bCs/>
          <w:lang w:val="en-GB"/>
        </w:rPr>
        <w:t xml:space="preserve">on the basis of </w:t>
      </w:r>
      <w:r>
        <w:rPr>
          <w:bCs/>
          <w:lang w:val="en-GB"/>
        </w:rPr>
        <w:t xml:space="preserve">his acceptance </w:t>
      </w:r>
      <w:r w:rsidR="0002789C">
        <w:rPr>
          <w:bCs/>
          <w:lang w:val="en-GB"/>
        </w:rPr>
        <w:t xml:space="preserve">that </w:t>
      </w:r>
      <w:r w:rsidR="001737DE">
        <w:rPr>
          <w:bCs/>
          <w:lang w:val="en-GB"/>
        </w:rPr>
        <w:t>the plaintiff’s mental symptoms appeared shortly after the injury</w:t>
      </w:r>
      <w:r w:rsidR="000B3F74">
        <w:rPr>
          <w:bCs/>
          <w:lang w:val="en-GB"/>
        </w:rPr>
        <w:t>.</w:t>
      </w:r>
    </w:p>
    <w:p w:rsidR="001737DE" w:rsidRDefault="001737DE" w:rsidP="00923B7C">
      <w:pPr>
        <w:tabs>
          <w:tab w:val="clear" w:pos="4320"/>
          <w:tab w:val="clear" w:pos="9072"/>
        </w:tabs>
        <w:snapToGrid/>
        <w:spacing w:line="360" w:lineRule="auto"/>
        <w:jc w:val="both"/>
        <w:rPr>
          <w:bCs/>
          <w:lang w:val="en-GB"/>
        </w:rPr>
      </w:pPr>
    </w:p>
    <w:p w:rsidR="007B7CC4" w:rsidRDefault="001737DE" w:rsidP="00923B7C">
      <w:pPr>
        <w:numPr>
          <w:ilvl w:val="0"/>
          <w:numId w:val="2"/>
        </w:numPr>
        <w:tabs>
          <w:tab w:val="clear" w:pos="360"/>
          <w:tab w:val="clear" w:pos="4320"/>
          <w:tab w:val="clear" w:pos="9072"/>
        </w:tabs>
        <w:snapToGrid/>
        <w:spacing w:line="360" w:lineRule="auto"/>
        <w:jc w:val="both"/>
        <w:rPr>
          <w:bCs/>
          <w:lang w:val="en-GB"/>
        </w:rPr>
      </w:pPr>
      <w:r>
        <w:rPr>
          <w:bCs/>
          <w:lang w:val="en-GB"/>
        </w:rPr>
        <w:t>Even if the mental illness symptoms only appeared 3 years and 4 months after the accident</w:t>
      </w:r>
      <w:r w:rsidR="002D47CA">
        <w:rPr>
          <w:bCs/>
          <w:lang w:val="en-GB"/>
        </w:rPr>
        <w:t>, I</w:t>
      </w:r>
      <w:r>
        <w:rPr>
          <w:bCs/>
          <w:lang w:val="en-GB"/>
        </w:rPr>
        <w:t xml:space="preserve"> still</w:t>
      </w:r>
      <w:r w:rsidR="002D47CA">
        <w:rPr>
          <w:bCs/>
          <w:lang w:val="en-GB"/>
        </w:rPr>
        <w:t xml:space="preserve"> cannot come to the conclusion that the alleged psychiatric illness must be unrelated to the accident</w:t>
      </w:r>
      <w:r w:rsidR="00FB14F5">
        <w:rPr>
          <w:bCs/>
          <w:lang w:val="en-GB"/>
        </w:rPr>
        <w:t xml:space="preserve"> by reason of the lapse of time</w:t>
      </w:r>
      <w:r w:rsidR="002D47CA">
        <w:rPr>
          <w:bCs/>
          <w:lang w:val="en-GB"/>
        </w:rPr>
        <w:t xml:space="preserve">.  </w:t>
      </w:r>
      <w:r w:rsidR="00FB14F5">
        <w:rPr>
          <w:bCs/>
          <w:lang w:val="en-GB"/>
        </w:rPr>
        <w:t xml:space="preserve">I have no basis to make that finding without expert evidence.  </w:t>
      </w:r>
    </w:p>
    <w:p w:rsidR="001737DE" w:rsidRDefault="001737DE" w:rsidP="00923B7C">
      <w:pPr>
        <w:pStyle w:val="ListParagraph"/>
        <w:spacing w:line="360" w:lineRule="auto"/>
        <w:rPr>
          <w:bCs/>
          <w:lang w:val="en-GB"/>
        </w:rPr>
      </w:pPr>
    </w:p>
    <w:p w:rsidR="001737DE" w:rsidRPr="00CA35F3" w:rsidRDefault="009005B4"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Furthermore, </w:t>
      </w:r>
      <w:r w:rsidR="001737DE">
        <w:rPr>
          <w:bCs/>
          <w:lang w:val="en-GB"/>
        </w:rPr>
        <w:t xml:space="preserve">Ms Yu’s reliance on what Bharwaney J said in </w:t>
      </w:r>
      <w:r w:rsidR="001737DE" w:rsidRPr="00E85568">
        <w:rPr>
          <w:bCs/>
          <w:i/>
          <w:lang w:val="en-GB"/>
        </w:rPr>
        <w:t>Fung Chun Man</w:t>
      </w:r>
      <w:r w:rsidR="001737DE" w:rsidRPr="00E85568">
        <w:rPr>
          <w:bCs/>
          <w:lang w:val="en-GB"/>
        </w:rPr>
        <w:t xml:space="preserve"> as quoted above, </w:t>
      </w:r>
      <w:r w:rsidR="001737DE">
        <w:rPr>
          <w:bCs/>
          <w:lang w:val="en-GB"/>
        </w:rPr>
        <w:t>with respect, is misconcei</w:t>
      </w:r>
      <w:r w:rsidR="000B3F74">
        <w:rPr>
          <w:bCs/>
          <w:lang w:val="en-GB"/>
        </w:rPr>
        <w:t>ved, as I do not think</w:t>
      </w:r>
      <w:r w:rsidR="001737DE">
        <w:rPr>
          <w:bCs/>
          <w:lang w:val="en-GB"/>
        </w:rPr>
        <w:t xml:space="preserve"> his Lordship </w:t>
      </w:r>
      <w:r w:rsidR="000B3F74">
        <w:rPr>
          <w:bCs/>
          <w:lang w:val="en-GB"/>
        </w:rPr>
        <w:t>was mi</w:t>
      </w:r>
      <w:r w:rsidR="00D00DD4">
        <w:rPr>
          <w:bCs/>
          <w:lang w:val="en-GB"/>
        </w:rPr>
        <w:t xml:space="preserve">nded to lay down any principle </w:t>
      </w:r>
      <w:r w:rsidR="000B3F74">
        <w:rPr>
          <w:bCs/>
          <w:lang w:val="en-GB"/>
        </w:rPr>
        <w:t xml:space="preserve">as such.  </w:t>
      </w:r>
      <w:r w:rsidR="00D00DD4">
        <w:rPr>
          <w:bCs/>
          <w:lang w:val="en-GB"/>
        </w:rPr>
        <w:t>As his Lo</w:t>
      </w:r>
      <w:r w:rsidR="00D00DD4" w:rsidRPr="00D00DD4">
        <w:rPr>
          <w:bCs/>
          <w:lang w:val="en-GB"/>
        </w:rPr>
        <w:t>rdship pointed out, e</w:t>
      </w:r>
      <w:r w:rsidR="00D00DD4" w:rsidRPr="00D00DD4">
        <w:t>ach case must depend on its own facts</w:t>
      </w:r>
      <w:r w:rsidR="00D00DD4">
        <w:t>.</w:t>
      </w:r>
    </w:p>
    <w:p w:rsidR="00CA35F3" w:rsidRDefault="00CA35F3" w:rsidP="00923B7C">
      <w:pPr>
        <w:pStyle w:val="ListParagraph"/>
        <w:spacing w:line="360" w:lineRule="auto"/>
        <w:rPr>
          <w:bCs/>
          <w:lang w:val="en-GB"/>
        </w:rPr>
      </w:pPr>
    </w:p>
    <w:p w:rsidR="00CA35F3" w:rsidRPr="00D00DD4" w:rsidRDefault="00CA35F3"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Neither do I think the orthopaedic experts’ view that examination by other specialists would not be required should be regarded as conclusive.  In any event, such a view may have to be revisited in the light of Dr Tsang’s opinion. </w:t>
      </w:r>
    </w:p>
    <w:p w:rsidR="009005B4" w:rsidRDefault="009005B4" w:rsidP="00923B7C">
      <w:pPr>
        <w:pStyle w:val="ListParagraph"/>
        <w:spacing w:line="360" w:lineRule="auto"/>
        <w:rPr>
          <w:bCs/>
          <w:lang w:val="en-GB"/>
        </w:rPr>
      </w:pPr>
    </w:p>
    <w:p w:rsidR="009005B4" w:rsidRDefault="00B8590B" w:rsidP="00923B7C">
      <w:pPr>
        <w:numPr>
          <w:ilvl w:val="0"/>
          <w:numId w:val="2"/>
        </w:numPr>
        <w:tabs>
          <w:tab w:val="clear" w:pos="360"/>
          <w:tab w:val="clear" w:pos="4320"/>
          <w:tab w:val="clear" w:pos="9072"/>
        </w:tabs>
        <w:snapToGrid/>
        <w:spacing w:line="360" w:lineRule="auto"/>
        <w:jc w:val="both"/>
        <w:rPr>
          <w:bCs/>
          <w:lang w:val="en-GB"/>
        </w:rPr>
      </w:pPr>
      <w:r>
        <w:rPr>
          <w:bCs/>
          <w:lang w:val="en-GB"/>
        </w:rPr>
        <w:t>For the above reasons, I hold the view that</w:t>
      </w:r>
      <w:r w:rsidR="009D2514">
        <w:rPr>
          <w:bCs/>
          <w:lang w:val="en-GB"/>
        </w:rPr>
        <w:t xml:space="preserve"> the plaintiff has overcome the first hurdle in satisfying this court that psychiatric expert evidence i</w:t>
      </w:r>
      <w:r w:rsidR="008E6918">
        <w:rPr>
          <w:bCs/>
          <w:lang w:val="en-GB"/>
        </w:rPr>
        <w:t xml:space="preserve">s relevant, necessary and of probative value </w:t>
      </w:r>
      <w:r w:rsidR="009D2514">
        <w:rPr>
          <w:bCs/>
          <w:lang w:val="en-GB"/>
        </w:rPr>
        <w:t xml:space="preserve">in the circumstances of the present case.  </w:t>
      </w:r>
    </w:p>
    <w:p w:rsidR="009D2514" w:rsidRDefault="009D2514" w:rsidP="00923B7C">
      <w:pPr>
        <w:pStyle w:val="ListParagraph"/>
        <w:spacing w:line="360" w:lineRule="auto"/>
        <w:rPr>
          <w:bCs/>
          <w:lang w:val="en-GB"/>
        </w:rPr>
      </w:pPr>
    </w:p>
    <w:p w:rsidR="009D2514" w:rsidRPr="009D2514" w:rsidRDefault="009D2514" w:rsidP="00923B7C">
      <w:pPr>
        <w:tabs>
          <w:tab w:val="clear" w:pos="4320"/>
          <w:tab w:val="clear" w:pos="9072"/>
        </w:tabs>
        <w:snapToGrid/>
        <w:spacing w:line="360" w:lineRule="auto"/>
        <w:jc w:val="both"/>
        <w:rPr>
          <w:bCs/>
          <w:i/>
          <w:lang w:val="en-GB"/>
        </w:rPr>
      </w:pPr>
      <w:r w:rsidRPr="009D2514">
        <w:rPr>
          <w:bCs/>
          <w:i/>
          <w:lang w:val="en-GB"/>
        </w:rPr>
        <w:t>Other discretionary considerations</w:t>
      </w:r>
    </w:p>
    <w:p w:rsidR="00FB14F5" w:rsidRDefault="00FB14F5" w:rsidP="00923B7C">
      <w:pPr>
        <w:pStyle w:val="ListParagraph"/>
        <w:spacing w:line="360" w:lineRule="auto"/>
        <w:rPr>
          <w:bCs/>
          <w:lang w:val="en-GB"/>
        </w:rPr>
      </w:pPr>
    </w:p>
    <w:p w:rsidR="00414A63" w:rsidRDefault="008E6918"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Ms Yu submitted that </w:t>
      </w:r>
      <w:r w:rsidR="00414A63">
        <w:rPr>
          <w:bCs/>
          <w:lang w:val="en-GB"/>
        </w:rPr>
        <w:t>in any event the court should not exercise its discretion in granting leave for the plaintiff to adduce psychiatric expert evidence because:</w:t>
      </w:r>
    </w:p>
    <w:p w:rsidR="00414A63" w:rsidRDefault="00414A63" w:rsidP="00923B7C">
      <w:pPr>
        <w:tabs>
          <w:tab w:val="clear" w:pos="1440"/>
          <w:tab w:val="clear" w:pos="4320"/>
          <w:tab w:val="clear" w:pos="9072"/>
          <w:tab w:val="left" w:pos="2160"/>
        </w:tabs>
        <w:snapToGrid/>
        <w:spacing w:line="360" w:lineRule="auto"/>
        <w:ind w:left="2160"/>
        <w:jc w:val="both"/>
        <w:rPr>
          <w:bCs/>
          <w:lang w:val="en-GB"/>
        </w:rPr>
      </w:pPr>
    </w:p>
    <w:p w:rsidR="00414A63" w:rsidRDefault="008E6918"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if the plaintiff was aware of his psychiatric illness by 16 June 2019, he should have sought expert directions much earlier, for example, at the Checklist Review hearing on 3 September 2019, rather than waiting until June 2020</w:t>
      </w:r>
      <w:r w:rsidR="00414A63">
        <w:rPr>
          <w:bCs/>
          <w:lang w:val="en-GB"/>
        </w:rPr>
        <w:t>;</w:t>
      </w:r>
    </w:p>
    <w:p w:rsidR="00414A63" w:rsidRDefault="00414A63" w:rsidP="00923B7C">
      <w:pPr>
        <w:tabs>
          <w:tab w:val="clear" w:pos="1440"/>
          <w:tab w:val="clear" w:pos="4320"/>
          <w:tab w:val="clear" w:pos="9072"/>
          <w:tab w:val="left" w:pos="2160"/>
        </w:tabs>
        <w:snapToGrid/>
        <w:spacing w:line="360" w:lineRule="auto"/>
        <w:ind w:left="2160"/>
        <w:jc w:val="both"/>
        <w:rPr>
          <w:bCs/>
          <w:lang w:val="en-GB"/>
        </w:rPr>
      </w:pPr>
    </w:p>
    <w:p w:rsidR="00414A63" w:rsidRDefault="00414A63"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the plaintiff had given no explanation on the said delay;</w:t>
      </w:r>
    </w:p>
    <w:p w:rsidR="00414A63" w:rsidRDefault="00414A63" w:rsidP="00923B7C">
      <w:pPr>
        <w:tabs>
          <w:tab w:val="clear" w:pos="1440"/>
          <w:tab w:val="clear" w:pos="4320"/>
          <w:tab w:val="clear" w:pos="9072"/>
          <w:tab w:val="left" w:pos="2160"/>
        </w:tabs>
        <w:snapToGrid/>
        <w:spacing w:line="360" w:lineRule="auto"/>
        <w:ind w:left="2160"/>
        <w:jc w:val="both"/>
        <w:rPr>
          <w:bCs/>
          <w:lang w:val="en-GB"/>
        </w:rPr>
      </w:pPr>
    </w:p>
    <w:p w:rsidR="00414A63" w:rsidRDefault="00414A63"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allowing the plaintiff’s application would increase costs and make the speedy resolution of the present action impossible given Dr Tsang’s opinion that ideally the examination by psychiatric experts cannot take place until 12 months after Dr Tsang’s report</w:t>
      </w:r>
      <w:r w:rsidR="00D14CC1">
        <w:rPr>
          <w:bCs/>
          <w:lang w:val="en-GB"/>
        </w:rPr>
        <w:t xml:space="preserve"> (dated 21 June 2020)</w:t>
      </w:r>
      <w:r>
        <w:rPr>
          <w:bCs/>
          <w:lang w:val="en-GB"/>
        </w:rPr>
        <w:t>.</w:t>
      </w:r>
    </w:p>
    <w:p w:rsidR="00FB14F5" w:rsidRDefault="00FB14F5" w:rsidP="00923B7C">
      <w:pPr>
        <w:tabs>
          <w:tab w:val="clear" w:pos="1440"/>
          <w:tab w:val="clear" w:pos="4320"/>
          <w:tab w:val="clear" w:pos="9072"/>
          <w:tab w:val="left" w:pos="2160"/>
        </w:tabs>
        <w:snapToGrid/>
        <w:spacing w:line="360" w:lineRule="auto"/>
        <w:ind w:left="2160"/>
        <w:jc w:val="both"/>
        <w:rPr>
          <w:bCs/>
          <w:lang w:val="en-GB"/>
        </w:rPr>
      </w:pPr>
    </w:p>
    <w:p w:rsidR="00FB14F5" w:rsidRDefault="001756C2"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It is evident that the plaintiff’s solicitors had, by virtue of their letter dated 18 December 2019, proposed to the defendant’s solicitors, on the strength of Dr Clarence Lee’s Patient Referral Letter dated 19 June 2019 and Dr Henry Cheung’s expert report dated 16 December 2019, that psychiatric expert report(s) be obtained.  However, the defendant’s solicitors did not give any reply to this letter at all.  </w:t>
      </w:r>
    </w:p>
    <w:p w:rsidR="001756C2" w:rsidRDefault="001756C2" w:rsidP="00923B7C">
      <w:pPr>
        <w:tabs>
          <w:tab w:val="clear" w:pos="4320"/>
          <w:tab w:val="clear" w:pos="9072"/>
        </w:tabs>
        <w:snapToGrid/>
        <w:spacing w:line="360" w:lineRule="auto"/>
        <w:jc w:val="both"/>
        <w:rPr>
          <w:bCs/>
          <w:lang w:val="en-GB"/>
        </w:rPr>
      </w:pPr>
    </w:p>
    <w:p w:rsidR="001756C2" w:rsidRDefault="001756C2" w:rsidP="00923B7C">
      <w:pPr>
        <w:numPr>
          <w:ilvl w:val="0"/>
          <w:numId w:val="2"/>
        </w:numPr>
        <w:tabs>
          <w:tab w:val="clear" w:pos="360"/>
          <w:tab w:val="clear" w:pos="4320"/>
          <w:tab w:val="clear" w:pos="9072"/>
        </w:tabs>
        <w:snapToGrid/>
        <w:spacing w:line="360" w:lineRule="auto"/>
        <w:jc w:val="both"/>
        <w:rPr>
          <w:bCs/>
          <w:lang w:val="en-GB"/>
        </w:rPr>
      </w:pPr>
      <w:r>
        <w:rPr>
          <w:bCs/>
          <w:lang w:val="en-GB"/>
        </w:rPr>
        <w:t>The plaintiff did not take out any summons for expert directions im</w:t>
      </w:r>
      <w:r w:rsidR="008B19F3">
        <w:rPr>
          <w:bCs/>
          <w:lang w:val="en-GB"/>
        </w:rPr>
        <w:t>mediately thereafter.  He</w:t>
      </w:r>
      <w:r>
        <w:rPr>
          <w:bCs/>
          <w:lang w:val="en-GB"/>
        </w:rPr>
        <w:t xml:space="preserve"> only did so after he had </w:t>
      </w:r>
      <w:r w:rsidR="008B753F">
        <w:rPr>
          <w:bCs/>
          <w:lang w:val="en-GB"/>
        </w:rPr>
        <w:t>attend</w:t>
      </w:r>
      <w:r w:rsidR="00D14CC1">
        <w:rPr>
          <w:bCs/>
          <w:lang w:val="en-GB"/>
        </w:rPr>
        <w:t>ed</w:t>
      </w:r>
      <w:r w:rsidR="008B753F">
        <w:rPr>
          <w:bCs/>
          <w:lang w:val="en-GB"/>
        </w:rPr>
        <w:t xml:space="preserve"> the first appointment at the Psychiatric Unit of the Princess Margaret Hospital on 23 March 2020</w:t>
      </w:r>
      <w:r w:rsidR="00042BB4">
        <w:rPr>
          <w:rStyle w:val="FootnoteReference"/>
          <w:bCs/>
          <w:lang w:val="en-GB"/>
        </w:rPr>
        <w:footnoteReference w:id="8"/>
      </w:r>
      <w:r w:rsidR="008B753F">
        <w:rPr>
          <w:bCs/>
          <w:lang w:val="en-GB"/>
        </w:rPr>
        <w:t xml:space="preserve"> and consulted another specialist in Dr Tsang on 25 May 2020.  </w:t>
      </w:r>
    </w:p>
    <w:p w:rsidR="008B753F" w:rsidRDefault="008B753F" w:rsidP="00923B7C">
      <w:pPr>
        <w:pStyle w:val="ListParagraph"/>
        <w:spacing w:line="360" w:lineRule="auto"/>
        <w:rPr>
          <w:bCs/>
          <w:lang w:val="en-GB"/>
        </w:rPr>
      </w:pPr>
    </w:p>
    <w:p w:rsidR="00D14CC1" w:rsidRDefault="00D14CC1" w:rsidP="00923B7C">
      <w:pPr>
        <w:numPr>
          <w:ilvl w:val="0"/>
          <w:numId w:val="2"/>
        </w:numPr>
        <w:tabs>
          <w:tab w:val="clear" w:pos="360"/>
          <w:tab w:val="clear" w:pos="4320"/>
          <w:tab w:val="clear" w:pos="9072"/>
        </w:tabs>
        <w:snapToGrid/>
        <w:spacing w:line="360" w:lineRule="auto"/>
        <w:jc w:val="both"/>
        <w:rPr>
          <w:bCs/>
          <w:lang w:val="en-GB"/>
        </w:rPr>
      </w:pPr>
      <w:r>
        <w:rPr>
          <w:bCs/>
          <w:lang w:val="en-GB"/>
        </w:rPr>
        <w:t>I am of the view that the plaintiff, at most, can only be blamed for not bringing up this matter at the Checklist Review hearing in September 2019.  He only did so in December 2019 by solicitors’ co</w:t>
      </w:r>
      <w:r w:rsidR="00EB62EC">
        <w:rPr>
          <w:bCs/>
          <w:lang w:val="en-GB"/>
        </w:rPr>
        <w:t xml:space="preserve">rrespondence.  There was thus </w:t>
      </w:r>
      <w:r>
        <w:rPr>
          <w:bCs/>
          <w:lang w:val="en-GB"/>
        </w:rPr>
        <w:t xml:space="preserve">at most a 6-month delay.  </w:t>
      </w:r>
      <w:r w:rsidR="00714812">
        <w:rPr>
          <w:bCs/>
          <w:lang w:val="en-GB"/>
        </w:rPr>
        <w:t>I do not think the plaintiff’s application should be dismissed for this reason alone.</w:t>
      </w:r>
    </w:p>
    <w:p w:rsidR="00D14CC1" w:rsidRDefault="00D14CC1" w:rsidP="00923B7C">
      <w:pPr>
        <w:pStyle w:val="ListParagraph"/>
        <w:spacing w:line="360" w:lineRule="auto"/>
        <w:rPr>
          <w:bCs/>
          <w:lang w:val="en-GB"/>
        </w:rPr>
      </w:pPr>
    </w:p>
    <w:p w:rsidR="00F11898" w:rsidRDefault="00247CA5" w:rsidP="00923B7C">
      <w:pPr>
        <w:numPr>
          <w:ilvl w:val="0"/>
          <w:numId w:val="2"/>
        </w:numPr>
        <w:tabs>
          <w:tab w:val="clear" w:pos="360"/>
          <w:tab w:val="clear" w:pos="4320"/>
          <w:tab w:val="clear" w:pos="9072"/>
        </w:tabs>
        <w:snapToGrid/>
        <w:spacing w:line="360" w:lineRule="auto"/>
        <w:jc w:val="both"/>
        <w:rPr>
          <w:bCs/>
          <w:lang w:val="en-GB"/>
        </w:rPr>
      </w:pPr>
      <w:r>
        <w:rPr>
          <w:bCs/>
          <w:lang w:val="en-GB"/>
        </w:rPr>
        <w:t>T</w:t>
      </w:r>
      <w:r w:rsidR="00042BB4">
        <w:rPr>
          <w:bCs/>
          <w:lang w:val="en-GB"/>
        </w:rPr>
        <w:t xml:space="preserve">he plaintiff </w:t>
      </w:r>
      <w:r>
        <w:rPr>
          <w:bCs/>
          <w:lang w:val="en-GB"/>
        </w:rPr>
        <w:t xml:space="preserve">should </w:t>
      </w:r>
      <w:r w:rsidR="00042BB4">
        <w:rPr>
          <w:bCs/>
          <w:lang w:val="en-GB"/>
        </w:rPr>
        <w:t xml:space="preserve">not be blamed for not taking out a summons </w:t>
      </w:r>
      <w:r w:rsidR="00714812">
        <w:rPr>
          <w:bCs/>
          <w:lang w:val="en-GB"/>
        </w:rPr>
        <w:t>immediately after he has sent his solicitors’ letter in December 2019</w:t>
      </w:r>
      <w:r w:rsidR="00042BB4">
        <w:rPr>
          <w:bCs/>
          <w:lang w:val="en-GB"/>
        </w:rPr>
        <w:t xml:space="preserve">.  If the defendant was minded to give consent to the plaintiff’s proposed expert directions as </w:t>
      </w:r>
      <w:r w:rsidR="002A712F">
        <w:rPr>
          <w:bCs/>
          <w:lang w:val="en-GB"/>
        </w:rPr>
        <w:t>suggested</w:t>
      </w:r>
      <w:r w:rsidR="00042BB4">
        <w:rPr>
          <w:bCs/>
          <w:lang w:val="en-GB"/>
        </w:rPr>
        <w:t xml:space="preserve"> in December 2019, the defendant would have done so</w:t>
      </w:r>
      <w:r w:rsidR="002A712F">
        <w:rPr>
          <w:bCs/>
          <w:lang w:val="en-GB"/>
        </w:rPr>
        <w:t xml:space="preserve"> there and then</w:t>
      </w:r>
      <w:r w:rsidR="00042BB4">
        <w:rPr>
          <w:bCs/>
          <w:lang w:val="en-GB"/>
        </w:rPr>
        <w:t xml:space="preserve">, rather than </w:t>
      </w:r>
      <w:r w:rsidR="002A712F">
        <w:rPr>
          <w:bCs/>
          <w:lang w:val="en-GB"/>
        </w:rPr>
        <w:t xml:space="preserve">choosing to </w:t>
      </w:r>
      <w:r w:rsidR="00042BB4">
        <w:rPr>
          <w:bCs/>
          <w:lang w:val="en-GB"/>
        </w:rPr>
        <w:t>giv</w:t>
      </w:r>
      <w:r w:rsidR="002A712F">
        <w:rPr>
          <w:bCs/>
          <w:lang w:val="en-GB"/>
        </w:rPr>
        <w:t>e</w:t>
      </w:r>
      <w:r w:rsidR="00042BB4">
        <w:rPr>
          <w:bCs/>
          <w:lang w:val="en-GB"/>
        </w:rPr>
        <w:t xml:space="preserve"> no reply at all.  Facing such a situation, a prudent litigant would have waited to gather more evidential support before incurring further costs</w:t>
      </w:r>
      <w:r w:rsidR="00F11898">
        <w:rPr>
          <w:bCs/>
          <w:lang w:val="en-GB"/>
        </w:rPr>
        <w:t xml:space="preserve"> on applying for expert directions. </w:t>
      </w:r>
      <w:r w:rsidR="00042BB4">
        <w:rPr>
          <w:bCs/>
          <w:lang w:val="en-GB"/>
        </w:rPr>
        <w:t xml:space="preserve"> </w:t>
      </w:r>
      <w:r w:rsidR="00714812">
        <w:rPr>
          <w:bCs/>
          <w:lang w:val="en-GB"/>
        </w:rPr>
        <w:t xml:space="preserve">It can be seen that the plaintiff has taken out the Expert Directions Summons around a month after he has obtained Dr Tsang’s report dated 21 June 2020.  </w:t>
      </w:r>
      <w:r w:rsidR="008B19F3">
        <w:rPr>
          <w:bCs/>
          <w:lang w:val="en-GB"/>
        </w:rPr>
        <w:t>The time taken is acceptable.</w:t>
      </w:r>
    </w:p>
    <w:p w:rsidR="00F11898" w:rsidRDefault="00F11898" w:rsidP="00923B7C">
      <w:pPr>
        <w:pStyle w:val="ListParagraph"/>
        <w:spacing w:line="360" w:lineRule="auto"/>
        <w:rPr>
          <w:bCs/>
          <w:lang w:val="en-GB"/>
        </w:rPr>
      </w:pPr>
    </w:p>
    <w:p w:rsidR="008B753F" w:rsidRDefault="00F11898" w:rsidP="00923B7C">
      <w:pPr>
        <w:numPr>
          <w:ilvl w:val="0"/>
          <w:numId w:val="2"/>
        </w:numPr>
        <w:tabs>
          <w:tab w:val="clear" w:pos="360"/>
          <w:tab w:val="clear" w:pos="4320"/>
          <w:tab w:val="clear" w:pos="9072"/>
        </w:tabs>
        <w:snapToGrid/>
        <w:spacing w:line="360" w:lineRule="auto"/>
        <w:jc w:val="both"/>
        <w:rPr>
          <w:bCs/>
          <w:lang w:val="en-GB"/>
        </w:rPr>
      </w:pPr>
      <w:r>
        <w:rPr>
          <w:bCs/>
          <w:lang w:val="en-GB"/>
        </w:rPr>
        <w:t>In relation to the defendant’s argument that allowing further expert evidence would increase costs, I think the point to consider is whether the costs to be incurred would be proportionate</w:t>
      </w:r>
      <w:r w:rsidR="000C08F6">
        <w:rPr>
          <w:bCs/>
          <w:lang w:val="en-GB"/>
        </w:rPr>
        <w:t xml:space="preserve"> in the circumstances.  In this regard, I agree with Mr Wong’s argument that, taking into account the potential amount of damages which the plaintiff may be able </w:t>
      </w:r>
      <w:r w:rsidR="00783256">
        <w:rPr>
          <w:bCs/>
          <w:lang w:val="en-GB"/>
        </w:rPr>
        <w:t xml:space="preserve">to </w:t>
      </w:r>
      <w:r w:rsidR="000C08F6">
        <w:rPr>
          <w:bCs/>
          <w:lang w:val="en-GB"/>
        </w:rPr>
        <w:t>claim, the further costs to be incurred on psychiatric expert evidence would be proportionate.</w:t>
      </w:r>
    </w:p>
    <w:p w:rsidR="00FB14F5" w:rsidRDefault="00FB14F5" w:rsidP="00923B7C">
      <w:pPr>
        <w:pStyle w:val="ListParagraph"/>
        <w:spacing w:line="360" w:lineRule="auto"/>
        <w:rPr>
          <w:bCs/>
          <w:lang w:val="en-GB"/>
        </w:rPr>
      </w:pPr>
    </w:p>
    <w:p w:rsidR="00CA7C67" w:rsidRDefault="000C08F6"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 have not lost sight of the fact that </w:t>
      </w:r>
      <w:r w:rsidR="008B21A9">
        <w:rPr>
          <w:bCs/>
          <w:lang w:val="en-GB"/>
        </w:rPr>
        <w:t xml:space="preserve">giving leave for the parties to adduce psychiatric expert evidence would necessarily mean that there will be further delay caused to the progress of the present case, which, according to Ms Yu, would otherwise be ready to be set down for trial.  </w:t>
      </w:r>
    </w:p>
    <w:p w:rsidR="00CA7C67" w:rsidRDefault="00CA7C67" w:rsidP="00923B7C">
      <w:pPr>
        <w:pStyle w:val="ListParagraph"/>
        <w:spacing w:line="360" w:lineRule="auto"/>
        <w:rPr>
          <w:bCs/>
          <w:lang w:val="en-GB"/>
        </w:rPr>
      </w:pPr>
    </w:p>
    <w:p w:rsidR="00CA7C67" w:rsidRDefault="00CA7C67"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It should be mentioned at this point that according to </w:t>
      </w:r>
      <w:r w:rsidR="005905EE">
        <w:rPr>
          <w:bCs/>
          <w:lang w:val="en-GB"/>
        </w:rPr>
        <w:t>the Supplemental Report, the plaintiff’s psychiatric condition has become static in the last quarter of 2020.  In other words, Dr Tsang’s initial recommendation that the plaintiff should only be assessed in June 2021 seems to be no longer valid.</w:t>
      </w:r>
    </w:p>
    <w:p w:rsidR="00CA7C67" w:rsidRDefault="00CA7C67" w:rsidP="00923B7C">
      <w:pPr>
        <w:pStyle w:val="ListParagraph"/>
        <w:spacing w:line="360" w:lineRule="auto"/>
        <w:rPr>
          <w:bCs/>
          <w:lang w:val="en-GB"/>
        </w:rPr>
      </w:pPr>
    </w:p>
    <w:p w:rsidR="00FB14F5" w:rsidRPr="0028795D" w:rsidRDefault="00CA7C67" w:rsidP="00923B7C">
      <w:pPr>
        <w:numPr>
          <w:ilvl w:val="0"/>
          <w:numId w:val="2"/>
        </w:numPr>
        <w:tabs>
          <w:tab w:val="clear" w:pos="360"/>
          <w:tab w:val="clear" w:pos="4320"/>
          <w:tab w:val="clear" w:pos="9072"/>
        </w:tabs>
        <w:snapToGrid/>
        <w:spacing w:line="360" w:lineRule="auto"/>
        <w:jc w:val="both"/>
        <w:rPr>
          <w:bCs/>
          <w:lang w:val="en-GB"/>
        </w:rPr>
      </w:pPr>
      <w:r w:rsidRPr="0028795D">
        <w:rPr>
          <w:bCs/>
          <w:lang w:val="en-GB"/>
        </w:rPr>
        <w:t>Further</w:t>
      </w:r>
      <w:r w:rsidR="005905EE" w:rsidRPr="0028795D">
        <w:rPr>
          <w:bCs/>
          <w:lang w:val="en-GB"/>
        </w:rPr>
        <w:t>more</w:t>
      </w:r>
      <w:r w:rsidRPr="0028795D">
        <w:rPr>
          <w:bCs/>
          <w:lang w:val="en-GB"/>
        </w:rPr>
        <w:t xml:space="preserve">, </w:t>
      </w:r>
      <w:r w:rsidR="008B21A9" w:rsidRPr="0028795D">
        <w:rPr>
          <w:bCs/>
          <w:lang w:val="en-GB"/>
        </w:rPr>
        <w:t>delay to the progress of the case is just one of the matters to be considered.  I also have to bear in mind fair administration</w:t>
      </w:r>
      <w:r w:rsidR="0028795D">
        <w:rPr>
          <w:bCs/>
          <w:lang w:val="en-GB"/>
        </w:rPr>
        <w:t xml:space="preserve"> of justice between the parties and</w:t>
      </w:r>
      <w:r w:rsidR="008B21A9" w:rsidRPr="0028795D">
        <w:rPr>
          <w:bCs/>
          <w:lang w:val="en-GB"/>
        </w:rPr>
        <w:t xml:space="preserve"> </w:t>
      </w:r>
      <w:r w:rsidR="0028795D">
        <w:rPr>
          <w:bCs/>
          <w:lang w:val="en-GB"/>
        </w:rPr>
        <w:t>t</w:t>
      </w:r>
      <w:r w:rsidR="0028795D" w:rsidRPr="00783256">
        <w:t xml:space="preserve">he </w:t>
      </w:r>
      <w:r w:rsidR="002A712F">
        <w:t xml:space="preserve">fact that the </w:t>
      </w:r>
      <w:r w:rsidR="0028795D" w:rsidRPr="00783256">
        <w:t>primary aim of the court’s case management powers is to secure the just resolution of the dispute in accordance with the substantive rights of the parties.</w:t>
      </w:r>
      <w:r w:rsidR="0028795D">
        <w:t xml:space="preserve">  </w:t>
      </w:r>
      <w:r w:rsidR="008B21A9" w:rsidRPr="0028795D">
        <w:rPr>
          <w:bCs/>
          <w:lang w:val="en-GB"/>
        </w:rPr>
        <w:t xml:space="preserve">In my view, if I do not allow psychiatric expert evidence to be adduced, the prejudice to the plaintiff would be far greater than that </w:t>
      </w:r>
      <w:r w:rsidRPr="0028795D">
        <w:rPr>
          <w:bCs/>
          <w:lang w:val="en-GB"/>
        </w:rPr>
        <w:t xml:space="preserve">which will be </w:t>
      </w:r>
      <w:r w:rsidR="008B21A9" w:rsidRPr="0028795D">
        <w:rPr>
          <w:bCs/>
          <w:lang w:val="en-GB"/>
        </w:rPr>
        <w:t xml:space="preserve">caused to the defendant by reason of the delay in the final resolution of disputes.  </w:t>
      </w:r>
    </w:p>
    <w:p w:rsidR="00783256" w:rsidRPr="00783256" w:rsidRDefault="00783256" w:rsidP="00923B7C">
      <w:pPr>
        <w:pStyle w:val="ListParagraph"/>
        <w:spacing w:line="360" w:lineRule="auto"/>
        <w:rPr>
          <w:bCs/>
          <w:lang w:val="en-GB"/>
        </w:rPr>
      </w:pPr>
    </w:p>
    <w:p w:rsidR="00783256" w:rsidRPr="00783256" w:rsidRDefault="0028795D" w:rsidP="00923B7C">
      <w:pPr>
        <w:numPr>
          <w:ilvl w:val="0"/>
          <w:numId w:val="2"/>
        </w:numPr>
        <w:tabs>
          <w:tab w:val="clear" w:pos="360"/>
          <w:tab w:val="clear" w:pos="4320"/>
          <w:tab w:val="clear" w:pos="9072"/>
        </w:tabs>
        <w:snapToGrid/>
        <w:spacing w:line="360" w:lineRule="auto"/>
        <w:jc w:val="both"/>
        <w:rPr>
          <w:bCs/>
          <w:lang w:val="en-GB"/>
        </w:rPr>
      </w:pPr>
      <w:r w:rsidRPr="0028795D">
        <w:rPr>
          <w:bCs/>
          <w:lang w:val="en-GB"/>
        </w:rPr>
        <w:t>I</w:t>
      </w:r>
      <w:r>
        <w:rPr>
          <w:bCs/>
          <w:lang w:val="en-GB"/>
        </w:rPr>
        <w:t>t is also noted that no milestone date has been fixed in the present case</w:t>
      </w:r>
      <w:r w:rsidRPr="0028795D">
        <w:rPr>
          <w:bCs/>
          <w:lang w:val="en-GB"/>
        </w:rPr>
        <w:t>.</w:t>
      </w:r>
    </w:p>
    <w:p w:rsidR="00CA7C67" w:rsidRPr="00783256" w:rsidRDefault="00CA7C67" w:rsidP="00923B7C">
      <w:pPr>
        <w:pStyle w:val="ListParagraph"/>
        <w:spacing w:line="360" w:lineRule="auto"/>
        <w:rPr>
          <w:bCs/>
          <w:lang w:val="en-GB"/>
        </w:rPr>
      </w:pPr>
    </w:p>
    <w:p w:rsidR="004E7EBF" w:rsidRDefault="008B21A9" w:rsidP="00923B7C">
      <w:pPr>
        <w:numPr>
          <w:ilvl w:val="0"/>
          <w:numId w:val="2"/>
        </w:numPr>
        <w:tabs>
          <w:tab w:val="clear" w:pos="360"/>
          <w:tab w:val="clear" w:pos="4320"/>
          <w:tab w:val="clear" w:pos="9072"/>
        </w:tabs>
        <w:snapToGrid/>
        <w:spacing w:line="360" w:lineRule="auto"/>
        <w:jc w:val="both"/>
        <w:rPr>
          <w:bCs/>
          <w:lang w:val="en-GB"/>
        </w:rPr>
      </w:pPr>
      <w:r w:rsidRPr="00783256">
        <w:rPr>
          <w:bCs/>
          <w:lang w:val="en-GB"/>
        </w:rPr>
        <w:t xml:space="preserve">I will </w:t>
      </w:r>
      <w:r w:rsidR="0028795D">
        <w:rPr>
          <w:bCs/>
          <w:lang w:val="en-GB"/>
        </w:rPr>
        <w:t>ther</w:t>
      </w:r>
      <w:r w:rsidRPr="00783256">
        <w:rPr>
          <w:bCs/>
          <w:lang w:val="en-GB"/>
        </w:rPr>
        <w:t>efore exercise my discretion in giving leave for the parties to add</w:t>
      </w:r>
      <w:r>
        <w:rPr>
          <w:bCs/>
          <w:lang w:val="en-GB"/>
        </w:rPr>
        <w:t>uce psychiatric expert evidence.</w:t>
      </w:r>
    </w:p>
    <w:p w:rsidR="008B21A9" w:rsidRDefault="008B21A9" w:rsidP="00923B7C">
      <w:pPr>
        <w:pStyle w:val="ListParagraph"/>
        <w:spacing w:line="360" w:lineRule="auto"/>
        <w:rPr>
          <w:bCs/>
          <w:lang w:val="en-GB"/>
        </w:rPr>
      </w:pPr>
    </w:p>
    <w:p w:rsidR="008B21A9" w:rsidRDefault="008B21A9" w:rsidP="00923B7C">
      <w:pPr>
        <w:tabs>
          <w:tab w:val="clear" w:pos="4320"/>
          <w:tab w:val="clear" w:pos="9072"/>
        </w:tabs>
        <w:snapToGrid/>
        <w:spacing w:line="360" w:lineRule="auto"/>
        <w:jc w:val="both"/>
        <w:rPr>
          <w:bCs/>
          <w:i/>
          <w:lang w:val="en-GB"/>
        </w:rPr>
      </w:pPr>
      <w:r w:rsidRPr="00CA7C67">
        <w:rPr>
          <w:bCs/>
          <w:i/>
          <w:lang w:val="en-GB"/>
        </w:rPr>
        <w:t>Expert directions</w:t>
      </w:r>
    </w:p>
    <w:p w:rsidR="00CA7C67" w:rsidRPr="00CA7C67" w:rsidRDefault="00CA7C67" w:rsidP="00923B7C">
      <w:pPr>
        <w:tabs>
          <w:tab w:val="clear" w:pos="4320"/>
          <w:tab w:val="clear" w:pos="9072"/>
        </w:tabs>
        <w:snapToGrid/>
        <w:spacing w:line="360" w:lineRule="auto"/>
        <w:jc w:val="both"/>
        <w:rPr>
          <w:bCs/>
          <w:i/>
          <w:lang w:val="en-GB"/>
        </w:rPr>
      </w:pPr>
    </w:p>
    <w:p w:rsidR="00B30EA5" w:rsidRDefault="00DC45A7" w:rsidP="00923B7C">
      <w:pPr>
        <w:numPr>
          <w:ilvl w:val="0"/>
          <w:numId w:val="2"/>
        </w:numPr>
        <w:tabs>
          <w:tab w:val="clear" w:pos="360"/>
          <w:tab w:val="clear" w:pos="4320"/>
          <w:tab w:val="clear" w:pos="9072"/>
        </w:tabs>
        <w:snapToGrid/>
        <w:spacing w:line="360" w:lineRule="auto"/>
        <w:jc w:val="both"/>
        <w:rPr>
          <w:bCs/>
          <w:lang w:val="en-GB"/>
        </w:rPr>
      </w:pPr>
      <w:r>
        <w:rPr>
          <w:bCs/>
          <w:lang w:val="en-GB"/>
        </w:rPr>
        <w:t xml:space="preserve">Parties are directed to discuss between themselves on the precise expert directions to be obtained, having regard to the availability of the two experts nominated by the parties </w:t>
      </w:r>
      <w:r w:rsidR="0028795D">
        <w:rPr>
          <w:bCs/>
          <w:lang w:val="en-GB"/>
        </w:rPr>
        <w:t xml:space="preserve">(Dr Wong Chung Kwong and Dr Peter Yu </w:t>
      </w:r>
      <w:r>
        <w:rPr>
          <w:bCs/>
          <w:lang w:val="en-GB"/>
        </w:rPr>
        <w:t>respectively</w:t>
      </w:r>
      <w:r w:rsidR="0028795D">
        <w:rPr>
          <w:bCs/>
          <w:lang w:val="en-GB"/>
        </w:rPr>
        <w:t>)</w:t>
      </w:r>
      <w:r w:rsidR="005905EE">
        <w:rPr>
          <w:bCs/>
          <w:lang w:val="en-GB"/>
        </w:rPr>
        <w:t>.</w:t>
      </w:r>
      <w:r>
        <w:rPr>
          <w:bCs/>
          <w:lang w:val="en-GB"/>
        </w:rPr>
        <w:t xml:space="preserve">  </w:t>
      </w:r>
      <w:r w:rsidR="00D72524">
        <w:rPr>
          <w:bCs/>
          <w:lang w:val="en-GB"/>
        </w:rPr>
        <w:t>They shall inform this</w:t>
      </w:r>
      <w:r>
        <w:rPr>
          <w:bCs/>
          <w:lang w:val="en-GB"/>
        </w:rPr>
        <w:t xml:space="preserve"> court </w:t>
      </w:r>
      <w:r w:rsidR="00D72524">
        <w:rPr>
          <w:bCs/>
          <w:lang w:val="en-GB"/>
        </w:rPr>
        <w:t xml:space="preserve">within 14 days of this </w:t>
      </w:r>
      <w:r w:rsidR="0028795D">
        <w:rPr>
          <w:bCs/>
          <w:lang w:val="en-GB"/>
        </w:rPr>
        <w:t>D</w:t>
      </w:r>
      <w:r w:rsidR="00D72524">
        <w:rPr>
          <w:bCs/>
          <w:lang w:val="en-GB"/>
        </w:rPr>
        <w:t>ecision their agreed directions by a joint letter for approval.  In the event they cannot agree on such directions, they shall each propose their respective directions in writing within 21 days hereof</w:t>
      </w:r>
      <w:r w:rsidR="00333E91">
        <w:rPr>
          <w:bCs/>
          <w:lang w:val="en-GB"/>
        </w:rPr>
        <w:t xml:space="preserve"> for the court’s consideration</w:t>
      </w:r>
      <w:r w:rsidR="00D72524">
        <w:rPr>
          <w:bCs/>
          <w:lang w:val="en-GB"/>
        </w:rPr>
        <w:t xml:space="preserve">. </w:t>
      </w:r>
      <w:r w:rsidR="00333E91">
        <w:rPr>
          <w:bCs/>
          <w:lang w:val="en-GB"/>
        </w:rPr>
        <w:t xml:space="preserve"> </w:t>
      </w:r>
    </w:p>
    <w:p w:rsidR="00D72524" w:rsidRDefault="00D72524" w:rsidP="00923B7C">
      <w:pPr>
        <w:tabs>
          <w:tab w:val="clear" w:pos="4320"/>
          <w:tab w:val="clear" w:pos="9072"/>
        </w:tabs>
        <w:snapToGrid/>
        <w:spacing w:line="360" w:lineRule="auto"/>
        <w:jc w:val="both"/>
        <w:rPr>
          <w:bCs/>
          <w:lang w:val="en-GB"/>
        </w:rPr>
      </w:pPr>
    </w:p>
    <w:p w:rsidR="008201D8" w:rsidRPr="00D72524" w:rsidRDefault="00D72524" w:rsidP="00923B7C">
      <w:pPr>
        <w:tabs>
          <w:tab w:val="clear" w:pos="4320"/>
          <w:tab w:val="clear" w:pos="9072"/>
        </w:tabs>
        <w:snapToGrid/>
        <w:spacing w:line="360" w:lineRule="auto"/>
        <w:jc w:val="both"/>
        <w:rPr>
          <w:bCs/>
          <w:i/>
          <w:lang w:val="en-GB"/>
        </w:rPr>
      </w:pPr>
      <w:r w:rsidRPr="00D72524">
        <w:rPr>
          <w:bCs/>
          <w:i/>
          <w:lang w:val="en-GB"/>
        </w:rPr>
        <w:t>COSTS</w:t>
      </w:r>
    </w:p>
    <w:p w:rsidR="008201D8" w:rsidRPr="008201D8" w:rsidRDefault="008201D8" w:rsidP="00923B7C">
      <w:pPr>
        <w:tabs>
          <w:tab w:val="clear" w:pos="4320"/>
          <w:tab w:val="clear" w:pos="9072"/>
        </w:tabs>
        <w:snapToGrid/>
        <w:spacing w:line="360" w:lineRule="auto"/>
        <w:jc w:val="both"/>
        <w:rPr>
          <w:bCs/>
          <w:lang w:val="en-GB"/>
        </w:rPr>
      </w:pPr>
    </w:p>
    <w:p w:rsidR="002F7BCA" w:rsidRDefault="00774BEC" w:rsidP="00923B7C">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T</w:t>
      </w:r>
      <w:r w:rsidR="002F7BCA">
        <w:rPr>
          <w:bCs/>
          <w:lang w:val="en-GB"/>
        </w:rPr>
        <w:t>he defendant should bear the plaintiff’s costs of both summonses because he has failed to resist both of them, subject to the followings:</w:t>
      </w:r>
    </w:p>
    <w:p w:rsidR="001D1200" w:rsidRDefault="001D1200" w:rsidP="00923B7C">
      <w:pPr>
        <w:tabs>
          <w:tab w:val="clear" w:pos="1440"/>
          <w:tab w:val="clear" w:pos="4320"/>
          <w:tab w:val="clear" w:pos="9072"/>
          <w:tab w:val="left" w:pos="2160"/>
        </w:tabs>
        <w:snapToGrid/>
        <w:spacing w:line="360" w:lineRule="auto"/>
        <w:ind w:left="2160"/>
        <w:jc w:val="both"/>
        <w:rPr>
          <w:bCs/>
          <w:lang w:val="en-GB"/>
        </w:rPr>
      </w:pPr>
    </w:p>
    <w:p w:rsidR="002F7BCA" w:rsidRDefault="002F7BCA"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the costs of the non-agreed bundle should not be allowed because </w:t>
      </w:r>
      <w:r w:rsidR="00071E6E">
        <w:rPr>
          <w:bCs/>
          <w:lang w:val="en-GB"/>
        </w:rPr>
        <w:t>the only document which was referred to</w:t>
      </w:r>
      <w:r w:rsidR="00333E91">
        <w:rPr>
          <w:bCs/>
          <w:lang w:val="en-GB"/>
        </w:rPr>
        <w:t xml:space="preserve"> in this bundle (which comprises</w:t>
      </w:r>
      <w:r w:rsidR="00071E6E">
        <w:rPr>
          <w:bCs/>
          <w:lang w:val="en-GB"/>
        </w:rPr>
        <w:t xml:space="preserve"> 213 pages) by the plaintiff’s counsel was a letter dated 18 December 2019 issued by the plaintiff’s former solicitors to the defendant’s solicitors, which should have been exhibited to the plaintiff’s </w:t>
      </w:r>
      <w:r w:rsidR="00333E91">
        <w:rPr>
          <w:bCs/>
          <w:lang w:val="en-GB"/>
        </w:rPr>
        <w:t>1</w:t>
      </w:r>
      <w:r w:rsidR="00333E91" w:rsidRPr="00333E91">
        <w:rPr>
          <w:bCs/>
          <w:vertAlign w:val="superscript"/>
          <w:lang w:val="en-GB"/>
        </w:rPr>
        <w:t>st</w:t>
      </w:r>
      <w:r w:rsidR="00333E91">
        <w:rPr>
          <w:bCs/>
          <w:lang w:val="en-GB"/>
        </w:rPr>
        <w:t xml:space="preserve"> A</w:t>
      </w:r>
      <w:r w:rsidR="00071E6E">
        <w:rPr>
          <w:bCs/>
          <w:lang w:val="en-GB"/>
        </w:rPr>
        <w:t xml:space="preserve">ffirmation (and included in the agreed bundle as an exhibit) as this letter was expressly referred to therein. </w:t>
      </w:r>
    </w:p>
    <w:p w:rsidR="001D1200" w:rsidRDefault="001D1200" w:rsidP="00923B7C">
      <w:pPr>
        <w:tabs>
          <w:tab w:val="clear" w:pos="1440"/>
          <w:tab w:val="clear" w:pos="4320"/>
          <w:tab w:val="clear" w:pos="9072"/>
          <w:tab w:val="left" w:pos="2160"/>
        </w:tabs>
        <w:snapToGrid/>
        <w:spacing w:line="360" w:lineRule="auto"/>
        <w:ind w:left="2160"/>
        <w:jc w:val="both"/>
        <w:rPr>
          <w:bCs/>
          <w:lang w:val="en-GB"/>
        </w:rPr>
      </w:pPr>
    </w:p>
    <w:p w:rsidR="00071E6E" w:rsidRDefault="00060FE2"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Only 85% of the costs of the plaintiff’s 1</w:t>
      </w:r>
      <w:r w:rsidRPr="00060FE2">
        <w:rPr>
          <w:bCs/>
          <w:vertAlign w:val="superscript"/>
          <w:lang w:val="en-GB"/>
        </w:rPr>
        <w:t>st</w:t>
      </w:r>
      <w:r>
        <w:rPr>
          <w:bCs/>
          <w:lang w:val="en-GB"/>
        </w:rPr>
        <w:t xml:space="preserve"> Affirmation filed on 30 June 2020 should be allowed because paragraphs 17 and 19 thereof are repetition of what he had already stated in paragraphs 7 to 9 of the same </w:t>
      </w:r>
      <w:r w:rsidR="001D1200">
        <w:rPr>
          <w:bCs/>
          <w:lang w:val="en-GB"/>
        </w:rPr>
        <w:t>affirmatio</w:t>
      </w:r>
      <w:r>
        <w:rPr>
          <w:bCs/>
          <w:lang w:val="en-GB"/>
        </w:rPr>
        <w:t>n;</w:t>
      </w:r>
    </w:p>
    <w:p w:rsidR="001D1200" w:rsidRDefault="001D1200" w:rsidP="00923B7C">
      <w:pPr>
        <w:tabs>
          <w:tab w:val="clear" w:pos="1440"/>
          <w:tab w:val="clear" w:pos="4320"/>
          <w:tab w:val="clear" w:pos="9072"/>
          <w:tab w:val="left" w:pos="2160"/>
        </w:tabs>
        <w:snapToGrid/>
        <w:spacing w:line="360" w:lineRule="auto"/>
        <w:ind w:left="2160"/>
        <w:jc w:val="both"/>
        <w:rPr>
          <w:bCs/>
          <w:lang w:val="en-GB"/>
        </w:rPr>
      </w:pPr>
    </w:p>
    <w:p w:rsidR="00071E6E" w:rsidRDefault="00071E6E" w:rsidP="00923B7C">
      <w:pPr>
        <w:numPr>
          <w:ilvl w:val="2"/>
          <w:numId w:val="2"/>
        </w:numPr>
        <w:tabs>
          <w:tab w:val="clear" w:pos="1440"/>
          <w:tab w:val="clear" w:pos="4320"/>
          <w:tab w:val="clear" w:pos="9072"/>
          <w:tab w:val="left" w:pos="2160"/>
        </w:tabs>
        <w:snapToGrid/>
        <w:spacing w:line="360" w:lineRule="auto"/>
        <w:ind w:left="2160" w:hanging="720"/>
        <w:jc w:val="both"/>
        <w:rPr>
          <w:bCs/>
          <w:lang w:val="en-GB"/>
        </w:rPr>
      </w:pPr>
      <w:r>
        <w:rPr>
          <w:bCs/>
          <w:lang w:val="en-GB"/>
        </w:rPr>
        <w:t xml:space="preserve">Only </w:t>
      </w:r>
      <w:r w:rsidR="00060FE2">
        <w:rPr>
          <w:bCs/>
          <w:lang w:val="en-GB"/>
        </w:rPr>
        <w:t>20</w:t>
      </w:r>
      <w:r w:rsidR="00D43454">
        <w:rPr>
          <w:bCs/>
          <w:lang w:val="en-GB"/>
        </w:rPr>
        <w:t>% of the costs of the plaintiff’s 2</w:t>
      </w:r>
      <w:r w:rsidR="00D43454" w:rsidRPr="00D43454">
        <w:rPr>
          <w:bCs/>
          <w:vertAlign w:val="superscript"/>
          <w:lang w:val="en-GB"/>
        </w:rPr>
        <w:t>nd</w:t>
      </w:r>
      <w:r w:rsidR="00D43454">
        <w:rPr>
          <w:bCs/>
          <w:lang w:val="en-GB"/>
        </w:rPr>
        <w:t xml:space="preserve"> Affirmation filed on 19 August 2020 should </w:t>
      </w:r>
      <w:r w:rsidR="00060FE2">
        <w:rPr>
          <w:bCs/>
          <w:lang w:val="en-GB"/>
        </w:rPr>
        <w:t xml:space="preserve">be </w:t>
      </w:r>
      <w:r w:rsidR="00D43454">
        <w:rPr>
          <w:bCs/>
          <w:lang w:val="en-GB"/>
        </w:rPr>
        <w:t>allowed because:</w:t>
      </w:r>
    </w:p>
    <w:p w:rsidR="001D1200" w:rsidRDefault="001D1200" w:rsidP="00923B7C">
      <w:pPr>
        <w:tabs>
          <w:tab w:val="clear" w:pos="1440"/>
          <w:tab w:val="clear" w:pos="4320"/>
          <w:tab w:val="clear" w:pos="9072"/>
          <w:tab w:val="left" w:pos="2880"/>
        </w:tabs>
        <w:snapToGrid/>
        <w:spacing w:line="360" w:lineRule="auto"/>
        <w:ind w:left="2880"/>
        <w:jc w:val="both"/>
        <w:rPr>
          <w:bCs/>
          <w:lang w:val="en-GB"/>
        </w:rPr>
      </w:pPr>
    </w:p>
    <w:p w:rsidR="00D43454" w:rsidRDefault="00D43454" w:rsidP="00923B7C">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 xml:space="preserve">Paragraphs 3 to 12 are basically repetition of what he had already stated in </w:t>
      </w:r>
      <w:r w:rsidR="00060FE2">
        <w:rPr>
          <w:bCs/>
          <w:lang w:val="en-GB"/>
        </w:rPr>
        <w:t xml:space="preserve">paragraphs 3, 7 to 9 and 17 to 19 of </w:t>
      </w:r>
      <w:r>
        <w:rPr>
          <w:bCs/>
          <w:lang w:val="en-GB"/>
        </w:rPr>
        <w:t>his 1</w:t>
      </w:r>
      <w:r w:rsidRPr="00D43454">
        <w:rPr>
          <w:bCs/>
          <w:vertAlign w:val="superscript"/>
          <w:lang w:val="en-GB"/>
        </w:rPr>
        <w:t>st</w:t>
      </w:r>
      <w:r>
        <w:rPr>
          <w:bCs/>
          <w:lang w:val="en-GB"/>
        </w:rPr>
        <w:t xml:space="preserve"> Affirmation;</w:t>
      </w:r>
    </w:p>
    <w:p w:rsidR="001D1200" w:rsidRDefault="001D1200" w:rsidP="00923B7C">
      <w:pPr>
        <w:tabs>
          <w:tab w:val="clear" w:pos="1440"/>
          <w:tab w:val="clear" w:pos="4320"/>
          <w:tab w:val="clear" w:pos="9072"/>
          <w:tab w:val="left" w:pos="2880"/>
        </w:tabs>
        <w:snapToGrid/>
        <w:spacing w:line="360" w:lineRule="auto"/>
        <w:ind w:left="2880"/>
        <w:jc w:val="both"/>
        <w:rPr>
          <w:bCs/>
          <w:lang w:val="en-GB"/>
        </w:rPr>
      </w:pPr>
    </w:p>
    <w:p w:rsidR="00D43454" w:rsidRDefault="00D43454" w:rsidP="00923B7C">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Around 2/3 of the very long paragraph 18 is a repetition of paragraphs 4 to 6 of the same affirmation, which in turn, as aforesaid, are matters which have already been covered in the plaintiff’s 1</w:t>
      </w:r>
      <w:r w:rsidRPr="00D43454">
        <w:rPr>
          <w:bCs/>
          <w:vertAlign w:val="superscript"/>
          <w:lang w:val="en-GB"/>
        </w:rPr>
        <w:t>st</w:t>
      </w:r>
      <w:r>
        <w:rPr>
          <w:bCs/>
          <w:lang w:val="en-GB"/>
        </w:rPr>
        <w:t xml:space="preserve"> Affirmation;</w:t>
      </w:r>
    </w:p>
    <w:p w:rsidR="001D1200" w:rsidRDefault="001D1200" w:rsidP="00923B7C">
      <w:pPr>
        <w:tabs>
          <w:tab w:val="clear" w:pos="1440"/>
          <w:tab w:val="clear" w:pos="4320"/>
          <w:tab w:val="clear" w:pos="9072"/>
          <w:tab w:val="left" w:pos="2880"/>
        </w:tabs>
        <w:snapToGrid/>
        <w:spacing w:line="360" w:lineRule="auto"/>
        <w:ind w:left="2880"/>
        <w:jc w:val="both"/>
        <w:rPr>
          <w:bCs/>
          <w:lang w:val="en-GB"/>
        </w:rPr>
      </w:pPr>
    </w:p>
    <w:p w:rsidR="00D43454" w:rsidRDefault="00D43454" w:rsidP="00923B7C">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Paragraphs 19 to 25 are nearly identical to paragraphs 22 to 26 and 10 to 11 of the plaintiff’s 1</w:t>
      </w:r>
      <w:r w:rsidRPr="00D43454">
        <w:rPr>
          <w:bCs/>
          <w:vertAlign w:val="superscript"/>
          <w:lang w:val="en-GB"/>
        </w:rPr>
        <w:t>st</w:t>
      </w:r>
      <w:r>
        <w:rPr>
          <w:bCs/>
          <w:lang w:val="en-GB"/>
        </w:rPr>
        <w:t xml:space="preserve"> </w:t>
      </w:r>
      <w:r w:rsidR="001D1200">
        <w:rPr>
          <w:bCs/>
          <w:lang w:val="en-GB"/>
        </w:rPr>
        <w:t>Affirmation;</w:t>
      </w:r>
      <w:r>
        <w:rPr>
          <w:bCs/>
          <w:lang w:val="en-GB"/>
        </w:rPr>
        <w:t xml:space="preserve">  </w:t>
      </w:r>
    </w:p>
    <w:p w:rsidR="001D1200" w:rsidRDefault="001D1200" w:rsidP="00923B7C">
      <w:pPr>
        <w:tabs>
          <w:tab w:val="clear" w:pos="1440"/>
          <w:tab w:val="clear" w:pos="4320"/>
          <w:tab w:val="clear" w:pos="9072"/>
          <w:tab w:val="left" w:pos="2880"/>
        </w:tabs>
        <w:snapToGrid/>
        <w:spacing w:line="360" w:lineRule="auto"/>
        <w:ind w:left="2880"/>
        <w:jc w:val="both"/>
        <w:rPr>
          <w:bCs/>
          <w:lang w:val="en-GB"/>
        </w:rPr>
      </w:pPr>
    </w:p>
    <w:p w:rsidR="00D43454" w:rsidRDefault="00D43454" w:rsidP="00923B7C">
      <w:pPr>
        <w:numPr>
          <w:ilvl w:val="3"/>
          <w:numId w:val="2"/>
        </w:numPr>
        <w:tabs>
          <w:tab w:val="clear" w:pos="1440"/>
          <w:tab w:val="clear" w:pos="4320"/>
          <w:tab w:val="clear" w:pos="9072"/>
          <w:tab w:val="left" w:pos="2880"/>
        </w:tabs>
        <w:snapToGrid/>
        <w:spacing w:line="360" w:lineRule="auto"/>
        <w:ind w:left="2880"/>
        <w:jc w:val="both"/>
        <w:rPr>
          <w:bCs/>
          <w:lang w:val="en-GB"/>
        </w:rPr>
      </w:pPr>
      <w:r>
        <w:rPr>
          <w:bCs/>
          <w:lang w:val="en-GB"/>
        </w:rPr>
        <w:t>In other words, only slightly more than 5 paragraphs in this affirmation should have been included.</w:t>
      </w:r>
    </w:p>
    <w:p w:rsidR="001D1200" w:rsidRDefault="001D1200" w:rsidP="00923B7C">
      <w:pPr>
        <w:tabs>
          <w:tab w:val="clear" w:pos="1440"/>
          <w:tab w:val="clear" w:pos="4320"/>
          <w:tab w:val="clear" w:pos="9072"/>
          <w:tab w:val="left" w:pos="1418"/>
        </w:tabs>
        <w:snapToGrid/>
        <w:spacing w:line="360" w:lineRule="auto"/>
        <w:jc w:val="both"/>
        <w:rPr>
          <w:bCs/>
          <w:lang w:val="en-GB"/>
        </w:rPr>
      </w:pPr>
    </w:p>
    <w:p w:rsidR="00A56C45" w:rsidRDefault="008201D8" w:rsidP="00923B7C">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I </w:t>
      </w:r>
      <w:r w:rsidR="001D1200">
        <w:rPr>
          <w:bCs/>
          <w:lang w:val="en-GB"/>
        </w:rPr>
        <w:t xml:space="preserve">therefore </w:t>
      </w:r>
      <w:r w:rsidRPr="008201D8">
        <w:rPr>
          <w:bCs/>
          <w:lang w:val="en-GB"/>
        </w:rPr>
        <w:t xml:space="preserve">make a cost order </w:t>
      </w:r>
      <w:r w:rsidRPr="008201D8">
        <w:rPr>
          <w:bCs/>
          <w:i/>
          <w:lang w:val="en-GB"/>
        </w:rPr>
        <w:t>nisi</w:t>
      </w:r>
      <w:r w:rsidRPr="008201D8">
        <w:rPr>
          <w:bCs/>
          <w:lang w:val="en-GB"/>
        </w:rPr>
        <w:t xml:space="preserve"> that the </w:t>
      </w:r>
      <w:r w:rsidR="00C602CD">
        <w:rPr>
          <w:bCs/>
          <w:lang w:val="en-GB"/>
        </w:rPr>
        <w:t xml:space="preserve">defendant </w:t>
      </w:r>
      <w:r w:rsidRPr="008201D8">
        <w:rPr>
          <w:bCs/>
          <w:lang w:val="en-GB"/>
        </w:rPr>
        <w:t xml:space="preserve">shall bear the </w:t>
      </w:r>
      <w:r w:rsidR="00C602CD">
        <w:rPr>
          <w:bCs/>
          <w:lang w:val="en-GB"/>
        </w:rPr>
        <w:t xml:space="preserve">plaintiff’s </w:t>
      </w:r>
      <w:r w:rsidRPr="008201D8">
        <w:rPr>
          <w:bCs/>
          <w:lang w:val="en-GB"/>
        </w:rPr>
        <w:t xml:space="preserve">costs of the </w:t>
      </w:r>
      <w:r w:rsidR="00C602CD">
        <w:rPr>
          <w:bCs/>
          <w:lang w:val="en-GB"/>
        </w:rPr>
        <w:t xml:space="preserve">Affirmation Summons and of the Expert Directions Summons, with certificate for </w:t>
      </w:r>
      <w:r w:rsidRPr="008201D8">
        <w:rPr>
          <w:bCs/>
          <w:lang w:val="en-GB"/>
        </w:rPr>
        <w:t>counsel, to be taxed if not agreed</w:t>
      </w:r>
      <w:r w:rsidR="001D1200">
        <w:rPr>
          <w:bCs/>
          <w:lang w:val="en-GB"/>
        </w:rPr>
        <w:t>, subject to the deductions mentioned in the preceding paragraph</w:t>
      </w:r>
      <w:r w:rsidRPr="008201D8">
        <w:rPr>
          <w:bCs/>
          <w:lang w:val="en-GB"/>
        </w:rPr>
        <w:t xml:space="preserve">.  </w:t>
      </w:r>
    </w:p>
    <w:p w:rsidR="00774BEC" w:rsidRDefault="00774BEC" w:rsidP="00923B7C">
      <w:pPr>
        <w:tabs>
          <w:tab w:val="clear" w:pos="1440"/>
          <w:tab w:val="clear" w:pos="4320"/>
          <w:tab w:val="clear" w:pos="9072"/>
          <w:tab w:val="left" w:pos="1418"/>
        </w:tabs>
        <w:snapToGrid/>
        <w:spacing w:line="360" w:lineRule="auto"/>
        <w:jc w:val="both"/>
        <w:rPr>
          <w:bCs/>
          <w:lang w:val="en-GB"/>
        </w:rPr>
      </w:pPr>
    </w:p>
    <w:p w:rsidR="00074B2C" w:rsidRDefault="00074B2C" w:rsidP="00923B7C">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For the avoidance of doubt, the costs of the psychiatric expert evidence to be obtained shall be in the cause</w:t>
      </w:r>
      <w:r w:rsidR="00774BEC">
        <w:rPr>
          <w:bCs/>
          <w:lang w:val="en-GB"/>
        </w:rPr>
        <w:t xml:space="preserve"> of the action</w:t>
      </w:r>
      <w:r>
        <w:rPr>
          <w:bCs/>
          <w:lang w:val="en-GB"/>
        </w:rPr>
        <w:t>.</w:t>
      </w:r>
    </w:p>
    <w:p w:rsidR="00A56C45" w:rsidRDefault="00A56C45" w:rsidP="00923B7C">
      <w:pPr>
        <w:tabs>
          <w:tab w:val="clear" w:pos="1440"/>
          <w:tab w:val="clear" w:pos="4320"/>
          <w:tab w:val="clear" w:pos="9072"/>
          <w:tab w:val="left" w:pos="1418"/>
        </w:tabs>
        <w:snapToGrid/>
        <w:spacing w:line="360" w:lineRule="auto"/>
        <w:jc w:val="both"/>
        <w:rPr>
          <w:bCs/>
          <w:lang w:val="en-GB"/>
        </w:rPr>
      </w:pPr>
    </w:p>
    <w:p w:rsidR="00A56C45" w:rsidRDefault="008201D8" w:rsidP="00923B7C">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The </w:t>
      </w:r>
      <w:r w:rsidR="00C602CD">
        <w:rPr>
          <w:bCs/>
          <w:lang w:val="en-GB"/>
        </w:rPr>
        <w:t>plaintiff</w:t>
      </w:r>
      <w:r w:rsidRPr="008201D8">
        <w:rPr>
          <w:bCs/>
          <w:lang w:val="en-GB"/>
        </w:rPr>
        <w:t xml:space="preserve">’s own costs shall be taxed in accordance with the Legal Aid Regulations.  </w:t>
      </w:r>
    </w:p>
    <w:p w:rsidR="00A56C45" w:rsidRDefault="00A56C45" w:rsidP="00923B7C">
      <w:pPr>
        <w:pStyle w:val="ListParagraph"/>
        <w:spacing w:line="360" w:lineRule="auto"/>
        <w:rPr>
          <w:bCs/>
          <w:lang w:val="en-GB"/>
        </w:rPr>
      </w:pPr>
    </w:p>
    <w:p w:rsidR="008201D8" w:rsidRPr="008201D8" w:rsidRDefault="008201D8" w:rsidP="00923B7C">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The above order </w:t>
      </w:r>
      <w:r w:rsidRPr="008201D8">
        <w:rPr>
          <w:bCs/>
          <w:i/>
          <w:lang w:val="en-GB"/>
        </w:rPr>
        <w:t>nisi</w:t>
      </w:r>
      <w:r w:rsidRPr="008201D8">
        <w:rPr>
          <w:bCs/>
          <w:lang w:val="en-GB"/>
        </w:rPr>
        <w:t xml:space="preserve"> shall become absolute in the absence of application to vary within 14 days hereof.</w:t>
      </w:r>
    </w:p>
    <w:p w:rsidR="00DC1620" w:rsidRPr="008201D8" w:rsidRDefault="00DC1620" w:rsidP="00CE6686">
      <w:pPr>
        <w:tabs>
          <w:tab w:val="clear" w:pos="1440"/>
          <w:tab w:val="clear" w:pos="4320"/>
          <w:tab w:val="clear" w:pos="9072"/>
          <w:tab w:val="left" w:pos="1418"/>
        </w:tabs>
        <w:snapToGrid/>
        <w:spacing w:line="360" w:lineRule="auto"/>
        <w:jc w:val="both"/>
        <w:rPr>
          <w:bCs/>
          <w:lang w:val="en-GB"/>
        </w:rPr>
      </w:pP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w:t>
      </w:r>
      <w:r w:rsidR="00DC1620">
        <w:rPr>
          <w:bCs/>
          <w:lang w:val="en-GB"/>
        </w:rPr>
        <w:t xml:space="preserve"> </w:t>
      </w:r>
      <w:r w:rsidR="00766DE9" w:rsidRPr="008201D8">
        <w:rPr>
          <w:bCs/>
          <w:lang w:val="en-GB"/>
        </w:rPr>
        <w:t>H</w:t>
      </w:r>
      <w:r w:rsidR="00766DE9">
        <w:rPr>
          <w:bCs/>
          <w:lang w:val="en-GB"/>
        </w:rPr>
        <w:t>.</w:t>
      </w:r>
      <w:r w:rsidR="00766DE9" w:rsidRPr="008201D8">
        <w:rPr>
          <w:bCs/>
          <w:lang w:val="en-GB"/>
        </w:rPr>
        <w:t xml:space="preserve"> </w:t>
      </w:r>
      <w:r w:rsidRPr="008201D8">
        <w:rPr>
          <w:bCs/>
          <w:lang w:val="en-GB"/>
        </w:rPr>
        <w:t>Au-Yeung</w:t>
      </w:r>
      <w:r w:rsidR="00DC1620">
        <w:rPr>
          <w:bCs/>
          <w:lang w:val="en-GB"/>
        </w:rPr>
        <w:t xml:space="preserve"> </w:t>
      </w:r>
      <w:r w:rsidRPr="008201D8">
        <w:rPr>
          <w:bCs/>
          <w:lang w:val="en-GB"/>
        </w:rPr>
        <w:t>)</w:t>
      </w: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 xml:space="preserve">District Judge </w:t>
      </w:r>
    </w:p>
    <w:p w:rsidR="008201D8" w:rsidRPr="008201D8" w:rsidRDefault="008201D8" w:rsidP="00AB6BFA">
      <w:pPr>
        <w:tabs>
          <w:tab w:val="clear" w:pos="1440"/>
          <w:tab w:val="clear" w:pos="4320"/>
          <w:tab w:val="clear" w:pos="9072"/>
        </w:tabs>
        <w:snapToGrid/>
        <w:rPr>
          <w:bCs/>
          <w:lang w:val="en-GB"/>
        </w:rPr>
      </w:pPr>
    </w:p>
    <w:p w:rsidR="008201D8" w:rsidRDefault="008201D8" w:rsidP="00AB6BFA">
      <w:pPr>
        <w:tabs>
          <w:tab w:val="clear" w:pos="1440"/>
          <w:tab w:val="clear" w:pos="4320"/>
          <w:tab w:val="clear" w:pos="9072"/>
        </w:tabs>
        <w:snapToGrid/>
        <w:rPr>
          <w:bCs/>
          <w:lang w:val="en-GB"/>
        </w:rPr>
      </w:pPr>
    </w:p>
    <w:p w:rsidR="00EB62EC" w:rsidRDefault="00EB62EC" w:rsidP="00AB6BFA">
      <w:pPr>
        <w:tabs>
          <w:tab w:val="clear" w:pos="1440"/>
          <w:tab w:val="clear" w:pos="4320"/>
          <w:tab w:val="clear" w:pos="9072"/>
        </w:tabs>
        <w:snapToGrid/>
        <w:rPr>
          <w:bCs/>
          <w:lang w:val="en-GB"/>
        </w:rPr>
      </w:pPr>
    </w:p>
    <w:p w:rsidR="002E4829" w:rsidRPr="008201D8" w:rsidRDefault="002E4829" w:rsidP="00AB6BFA">
      <w:pPr>
        <w:tabs>
          <w:tab w:val="clear" w:pos="1440"/>
          <w:tab w:val="clear" w:pos="4320"/>
          <w:tab w:val="clear" w:pos="9072"/>
        </w:tabs>
        <w:snapToGrid/>
        <w:rPr>
          <w:bCs/>
          <w:lang w:val="en-GB"/>
        </w:rPr>
      </w:pPr>
    </w:p>
    <w:p w:rsidR="008201D8" w:rsidRDefault="008201D8" w:rsidP="00AB6BFA">
      <w:pPr>
        <w:tabs>
          <w:tab w:val="clear" w:pos="1440"/>
          <w:tab w:val="clear" w:pos="4320"/>
          <w:tab w:val="clear" w:pos="9072"/>
          <w:tab w:val="left" w:pos="1418"/>
        </w:tabs>
        <w:snapToGrid/>
        <w:jc w:val="both"/>
        <w:rPr>
          <w:bCs/>
          <w:lang w:val="en-GB"/>
        </w:rPr>
      </w:pPr>
      <w:r w:rsidRPr="008201D8">
        <w:rPr>
          <w:bCs/>
          <w:lang w:val="en-GB"/>
        </w:rPr>
        <w:t xml:space="preserve">Mr </w:t>
      </w:r>
      <w:r w:rsidR="00341E9D">
        <w:rPr>
          <w:bCs/>
          <w:lang w:val="en-GB"/>
        </w:rPr>
        <w:t>Tim Wong</w:t>
      </w:r>
      <w:r w:rsidRPr="008201D8">
        <w:rPr>
          <w:bCs/>
          <w:lang w:val="en-GB"/>
        </w:rPr>
        <w:t xml:space="preserve">, instructed by </w:t>
      </w:r>
      <w:r w:rsidR="00341E9D">
        <w:rPr>
          <w:bCs/>
          <w:lang w:val="en-GB"/>
        </w:rPr>
        <w:t>Ellen Au &amp; Co</w:t>
      </w:r>
      <w:r w:rsidRPr="008201D8">
        <w:rPr>
          <w:bCs/>
          <w:lang w:val="en-GB"/>
        </w:rPr>
        <w:t xml:space="preserve">, for the </w:t>
      </w:r>
      <w:r w:rsidR="00341E9D">
        <w:rPr>
          <w:bCs/>
          <w:lang w:val="en-GB"/>
        </w:rPr>
        <w:t>P</w:t>
      </w:r>
      <w:r w:rsidR="005A3DFC">
        <w:rPr>
          <w:bCs/>
          <w:lang w:val="en-GB"/>
        </w:rPr>
        <w:t>laintiff</w:t>
      </w:r>
    </w:p>
    <w:p w:rsidR="00AB6BFA" w:rsidRDefault="00AB6BFA" w:rsidP="00AB6BFA">
      <w:pPr>
        <w:tabs>
          <w:tab w:val="clear" w:pos="1440"/>
          <w:tab w:val="clear" w:pos="4320"/>
          <w:tab w:val="clear" w:pos="9072"/>
          <w:tab w:val="left" w:pos="1418"/>
        </w:tabs>
        <w:snapToGrid/>
        <w:jc w:val="both"/>
        <w:rPr>
          <w:bCs/>
          <w:lang w:val="en-GB"/>
        </w:rPr>
      </w:pPr>
    </w:p>
    <w:p w:rsidR="008201D8" w:rsidRPr="008201D8" w:rsidRDefault="00341E9D" w:rsidP="00AB6BFA">
      <w:pPr>
        <w:tabs>
          <w:tab w:val="clear" w:pos="1440"/>
          <w:tab w:val="clear" w:pos="4320"/>
          <w:tab w:val="clear" w:pos="9072"/>
          <w:tab w:val="left" w:pos="1418"/>
        </w:tabs>
        <w:snapToGrid/>
        <w:jc w:val="both"/>
        <w:rPr>
          <w:bCs/>
          <w:lang w:val="en-GB"/>
        </w:rPr>
      </w:pPr>
      <w:r>
        <w:rPr>
          <w:bCs/>
          <w:lang w:val="en-GB"/>
        </w:rPr>
        <w:t>Ms Christine Yu</w:t>
      </w:r>
      <w:r w:rsidR="008201D8" w:rsidRPr="008201D8">
        <w:rPr>
          <w:bCs/>
          <w:lang w:val="en-GB"/>
        </w:rPr>
        <w:t xml:space="preserve">, instructed by </w:t>
      </w:r>
      <w:r>
        <w:rPr>
          <w:bCs/>
          <w:lang w:val="en-GB"/>
        </w:rPr>
        <w:t>Cheung &amp; Yeung</w:t>
      </w:r>
      <w:r w:rsidR="008201D8" w:rsidRPr="008201D8">
        <w:rPr>
          <w:bCs/>
          <w:lang w:val="en-GB"/>
        </w:rPr>
        <w:t xml:space="preserve">, for the </w:t>
      </w:r>
      <w:r>
        <w:rPr>
          <w:bCs/>
        </w:rPr>
        <w:t>D</w:t>
      </w:r>
      <w:r w:rsidR="005A3DFC">
        <w:rPr>
          <w:bCs/>
        </w:rPr>
        <w:t xml:space="preserve">efendant </w:t>
      </w:r>
    </w:p>
    <w:p w:rsidR="00A14B3D" w:rsidRPr="00EB7876" w:rsidRDefault="00A14B3D" w:rsidP="00EB7876">
      <w:pPr>
        <w:tabs>
          <w:tab w:val="clear" w:pos="4320"/>
          <w:tab w:val="center" w:pos="6480"/>
        </w:tabs>
        <w:spacing w:line="360" w:lineRule="auto"/>
        <w:rPr>
          <w:rFonts w:eastAsia="PMingLiU"/>
          <w:lang w:val="en-GB"/>
        </w:rPr>
      </w:pPr>
    </w:p>
    <w:sectPr w:rsidR="00A14B3D" w:rsidRPr="00EB7876"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08E9" w:rsidRDefault="000A08E9">
      <w:r>
        <w:separator/>
      </w:r>
    </w:p>
  </w:endnote>
  <w:endnote w:type="continuationSeparator" w:id="0">
    <w:p w:rsidR="000A08E9" w:rsidRDefault="000A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9F5" w:rsidRDefault="00C779F5">
    <w:pPr>
      <w:pStyle w:val="Footer"/>
      <w:framePr w:wrap="auto" w:vAnchor="text" w:hAnchor="margin" w:xAlign="right" w:y="1"/>
      <w:rPr>
        <w:rStyle w:val="PageNumber"/>
      </w:rPr>
    </w:pPr>
  </w:p>
  <w:p w:rsidR="00C779F5" w:rsidRDefault="00C779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08E9" w:rsidRDefault="000A08E9">
      <w:r>
        <w:separator/>
      </w:r>
    </w:p>
  </w:footnote>
  <w:footnote w:type="continuationSeparator" w:id="0">
    <w:p w:rsidR="000A08E9" w:rsidRDefault="000A08E9">
      <w:r>
        <w:continuationSeparator/>
      </w:r>
    </w:p>
  </w:footnote>
  <w:footnote w:id="1">
    <w:p w:rsidR="00CE6686" w:rsidRDefault="00CE6686" w:rsidP="00766590">
      <w:pPr>
        <w:pStyle w:val="FootnoteText"/>
        <w:ind w:left="180" w:hanging="180"/>
        <w:jc w:val="both"/>
        <w:rPr>
          <w:color w:val="auto"/>
        </w:rPr>
      </w:pPr>
      <w:r w:rsidRPr="00CE6686">
        <w:rPr>
          <w:rStyle w:val="FootnoteReference"/>
          <w:color w:val="auto"/>
        </w:rPr>
        <w:footnoteRef/>
      </w:r>
      <w:r w:rsidRPr="00CE6686">
        <w:rPr>
          <w:color w:val="auto"/>
        </w:rPr>
        <w:t xml:space="preserve"> </w:t>
      </w:r>
      <w:r>
        <w:rPr>
          <w:color w:val="auto"/>
        </w:rPr>
        <w:tab/>
      </w:r>
      <w:r w:rsidR="00865BE4">
        <w:rPr>
          <w:color w:val="auto"/>
        </w:rPr>
        <w:t>This Affirmation has been named by the plaintiff’s as his 2</w:t>
      </w:r>
      <w:r w:rsidR="00865BE4" w:rsidRPr="00865BE4">
        <w:rPr>
          <w:color w:val="auto"/>
          <w:vertAlign w:val="superscript"/>
        </w:rPr>
        <w:t>nd</w:t>
      </w:r>
      <w:r w:rsidR="00865BE4">
        <w:rPr>
          <w:color w:val="auto"/>
        </w:rPr>
        <w:t xml:space="preserve"> Affirmation.  However, t</w:t>
      </w:r>
      <w:r>
        <w:rPr>
          <w:color w:val="auto"/>
        </w:rPr>
        <w:t>he plaintiff has already filed his 2</w:t>
      </w:r>
      <w:r w:rsidRPr="00CE6686">
        <w:rPr>
          <w:color w:val="auto"/>
          <w:vertAlign w:val="superscript"/>
        </w:rPr>
        <w:t>nd</w:t>
      </w:r>
      <w:r>
        <w:rPr>
          <w:color w:val="auto"/>
        </w:rPr>
        <w:t xml:space="preserve"> Affirmation on 19 August 2020 in reply to the defendant’s Affirmation in opposition.  </w:t>
      </w:r>
      <w:r w:rsidRPr="00CE6686">
        <w:rPr>
          <w:color w:val="auto"/>
        </w:rPr>
        <w:t>T</w:t>
      </w:r>
      <w:r>
        <w:rPr>
          <w:color w:val="auto"/>
        </w:rPr>
        <w:t xml:space="preserve">herefore, the plaintiff’s </w:t>
      </w:r>
      <w:r w:rsidRPr="00CE6686">
        <w:rPr>
          <w:color w:val="auto"/>
        </w:rPr>
        <w:t xml:space="preserve">Affirmation </w:t>
      </w:r>
      <w:r w:rsidR="00766590">
        <w:rPr>
          <w:color w:val="auto"/>
        </w:rPr>
        <w:t xml:space="preserve">affirmed on 4 January 2021 will be </w:t>
      </w:r>
      <w:r w:rsidRPr="00CE6686">
        <w:rPr>
          <w:color w:val="auto"/>
        </w:rPr>
        <w:t xml:space="preserve">referred to in this Decision as “the plaintiff’s </w:t>
      </w:r>
      <w:r w:rsidR="00766590">
        <w:rPr>
          <w:color w:val="auto"/>
        </w:rPr>
        <w:t>Supplemental</w:t>
      </w:r>
      <w:r w:rsidR="00865BE4">
        <w:rPr>
          <w:color w:val="auto"/>
        </w:rPr>
        <w:t xml:space="preserve"> Affirmation” </w:t>
      </w:r>
      <w:r w:rsidRPr="00CE6686">
        <w:rPr>
          <w:color w:val="auto"/>
        </w:rPr>
        <w:t>so as to avoid confusion.</w:t>
      </w:r>
    </w:p>
    <w:p w:rsidR="00865BE4" w:rsidRPr="00CE6686" w:rsidRDefault="00865BE4" w:rsidP="00766590">
      <w:pPr>
        <w:pStyle w:val="FootnoteText"/>
        <w:ind w:left="180" w:hanging="180"/>
        <w:jc w:val="both"/>
        <w:rPr>
          <w:color w:val="auto"/>
        </w:rPr>
      </w:pPr>
    </w:p>
  </w:footnote>
  <w:footnote w:id="2">
    <w:p w:rsidR="00C779F5" w:rsidRPr="00325BBA" w:rsidRDefault="00C779F5">
      <w:pPr>
        <w:pStyle w:val="FootnoteText"/>
        <w:rPr>
          <w:color w:val="auto"/>
        </w:rPr>
      </w:pPr>
      <w:r w:rsidRPr="00325BBA">
        <w:rPr>
          <w:rStyle w:val="FootnoteReference"/>
          <w:color w:val="auto"/>
        </w:rPr>
        <w:footnoteRef/>
      </w:r>
      <w:r w:rsidRPr="00325BBA">
        <w:rPr>
          <w:color w:val="auto"/>
        </w:rPr>
        <w:t xml:space="preserve"> </w:t>
      </w:r>
      <w:r w:rsidR="00CE6686">
        <w:rPr>
          <w:color w:val="auto"/>
        </w:rPr>
        <w:t xml:space="preserve"> </w:t>
      </w:r>
      <w:r w:rsidRPr="00325BBA">
        <w:rPr>
          <w:color w:val="auto"/>
        </w:rPr>
        <w:t xml:space="preserve">The hearing was </w:t>
      </w:r>
      <w:r w:rsidR="00F76993">
        <w:rPr>
          <w:color w:val="auto"/>
        </w:rPr>
        <w:t>subsequently</w:t>
      </w:r>
      <w:r w:rsidRPr="00325BBA">
        <w:rPr>
          <w:color w:val="auto"/>
        </w:rPr>
        <w:t xml:space="preserve"> re-</w:t>
      </w:r>
      <w:r w:rsidR="00D01FB6">
        <w:rPr>
          <w:color w:val="auto"/>
        </w:rPr>
        <w:t xml:space="preserve">fixed to be heard before this court on </w:t>
      </w:r>
      <w:r w:rsidR="00E82E3C">
        <w:rPr>
          <w:color w:val="auto"/>
        </w:rPr>
        <w:t>20 January 2021</w:t>
      </w:r>
      <w:r w:rsidRPr="00325BBA">
        <w:rPr>
          <w:color w:val="auto"/>
        </w:rPr>
        <w:t>.</w:t>
      </w:r>
    </w:p>
  </w:footnote>
  <w:footnote w:id="3">
    <w:p w:rsidR="00F76993" w:rsidRPr="00F76993" w:rsidRDefault="00F76993" w:rsidP="00F76993">
      <w:pPr>
        <w:pStyle w:val="FootnoteText"/>
        <w:ind w:left="180" w:hanging="180"/>
        <w:jc w:val="both"/>
        <w:rPr>
          <w:color w:val="auto"/>
        </w:rPr>
      </w:pPr>
      <w:r w:rsidRPr="00F76993">
        <w:rPr>
          <w:rStyle w:val="FootnoteReference"/>
          <w:color w:val="auto"/>
        </w:rPr>
        <w:footnoteRef/>
      </w:r>
      <w:r w:rsidRPr="00F76993">
        <w:rPr>
          <w:color w:val="auto"/>
        </w:rPr>
        <w:t xml:space="preserve"> </w:t>
      </w:r>
      <w:r>
        <w:rPr>
          <w:color w:val="auto"/>
        </w:rPr>
        <w:tab/>
      </w:r>
      <w:r w:rsidRPr="00F76993">
        <w:rPr>
          <w:color w:val="auto"/>
        </w:rPr>
        <w:t xml:space="preserve">The substantive argument was fixed to be heard before this court on 20 January 2021.  By consent, this court directed on 15 January 2021 that the hearing be vacated and the Expert Directions Summons shall be dealt with on papers. </w:t>
      </w:r>
    </w:p>
  </w:footnote>
  <w:footnote w:id="4">
    <w:p w:rsidR="00657494" w:rsidRPr="00657494" w:rsidRDefault="00657494">
      <w:pPr>
        <w:pStyle w:val="FootnoteText"/>
        <w:rPr>
          <w:color w:val="auto"/>
        </w:rPr>
      </w:pPr>
      <w:r w:rsidRPr="00657494">
        <w:rPr>
          <w:rStyle w:val="FootnoteReference"/>
          <w:color w:val="auto"/>
        </w:rPr>
        <w:footnoteRef/>
      </w:r>
      <w:r w:rsidRPr="00657494">
        <w:rPr>
          <w:color w:val="auto"/>
        </w:rPr>
        <w:t xml:space="preserve"> See further below under the sub-heading “</w:t>
      </w:r>
      <w:r w:rsidRPr="00657494">
        <w:rPr>
          <w:bCs/>
          <w:color w:val="auto"/>
          <w:lang w:val="en-GB"/>
        </w:rPr>
        <w:t>Relevance of psychiatric expert report</w:t>
      </w:r>
      <w:r w:rsidRPr="00657494">
        <w:rPr>
          <w:color w:val="auto"/>
        </w:rPr>
        <w:t>”</w:t>
      </w:r>
    </w:p>
  </w:footnote>
  <w:footnote w:id="5">
    <w:p w:rsidR="008A5FA5" w:rsidRPr="008A5FA5" w:rsidRDefault="008A5FA5">
      <w:pPr>
        <w:pStyle w:val="FootnoteText"/>
        <w:rPr>
          <w:color w:val="auto"/>
        </w:rPr>
      </w:pPr>
      <w:r w:rsidRPr="008A5FA5">
        <w:rPr>
          <w:rStyle w:val="FootnoteReference"/>
          <w:color w:val="auto"/>
        </w:rPr>
        <w:footnoteRef/>
      </w:r>
      <w:r w:rsidRPr="008A5FA5">
        <w:rPr>
          <w:color w:val="auto"/>
        </w:rPr>
        <w:t xml:space="preserve"> Paragraph 2 of the defendant’s supplemental submissions dated 22 February 2021</w:t>
      </w:r>
    </w:p>
  </w:footnote>
  <w:footnote w:id="6">
    <w:p w:rsidR="00D30B6C" w:rsidRPr="00D30B6C" w:rsidRDefault="00D30B6C">
      <w:pPr>
        <w:pStyle w:val="FootnoteText"/>
        <w:rPr>
          <w:color w:val="auto"/>
        </w:rPr>
      </w:pPr>
      <w:r w:rsidRPr="00D30B6C">
        <w:rPr>
          <w:rStyle w:val="FootnoteReference"/>
          <w:color w:val="auto"/>
        </w:rPr>
        <w:footnoteRef/>
      </w:r>
      <w:r w:rsidRPr="00D30B6C">
        <w:rPr>
          <w:color w:val="auto"/>
        </w:rPr>
        <w:t xml:space="preserve"> </w:t>
      </w:r>
      <w:r w:rsidR="00BD6320" w:rsidRPr="00BD6320">
        <w:rPr>
          <w:i/>
          <w:color w:val="auto"/>
        </w:rPr>
        <w:t>Ditto</w:t>
      </w:r>
    </w:p>
  </w:footnote>
  <w:footnote w:id="7">
    <w:p w:rsidR="00C779F5" w:rsidRPr="00973762" w:rsidRDefault="00C779F5">
      <w:pPr>
        <w:pStyle w:val="FootnoteText"/>
        <w:rPr>
          <w:color w:val="auto"/>
        </w:rPr>
      </w:pPr>
      <w:r w:rsidRPr="00973762">
        <w:rPr>
          <w:rStyle w:val="FootnoteReference"/>
          <w:color w:val="auto"/>
        </w:rPr>
        <w:footnoteRef/>
      </w:r>
      <w:r w:rsidRPr="00973762">
        <w:rPr>
          <w:color w:val="auto"/>
        </w:rPr>
        <w:t xml:space="preserve"> Paragraph 27(3) of the defendant’s submissions</w:t>
      </w:r>
    </w:p>
  </w:footnote>
  <w:footnote w:id="8">
    <w:p w:rsidR="00042BB4" w:rsidRPr="00042BB4" w:rsidRDefault="00042BB4" w:rsidP="00042BB4">
      <w:pPr>
        <w:pStyle w:val="FootnoteText"/>
        <w:tabs>
          <w:tab w:val="left" w:pos="180"/>
        </w:tabs>
        <w:ind w:left="180" w:hanging="180"/>
        <w:jc w:val="both"/>
        <w:rPr>
          <w:color w:val="auto"/>
        </w:rPr>
      </w:pPr>
      <w:r w:rsidRPr="00042BB4">
        <w:rPr>
          <w:rStyle w:val="FootnoteReference"/>
          <w:color w:val="auto"/>
        </w:rPr>
        <w:footnoteRef/>
      </w:r>
      <w:r w:rsidRPr="00042BB4">
        <w:rPr>
          <w:color w:val="auto"/>
        </w:rPr>
        <w:t xml:space="preserve"> </w:t>
      </w:r>
      <w:r>
        <w:rPr>
          <w:color w:val="auto"/>
        </w:rPr>
        <w:tab/>
      </w:r>
      <w:r w:rsidRPr="00042BB4">
        <w:rPr>
          <w:color w:val="auto"/>
        </w:rPr>
        <w:t>It appears that it has taken around 9 months for the plaintiff to be able to have a first appointment at the Psychiatric Unit of the Princess Margaret Hospital upon Dr Clarence Lee’s referral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9F5" w:rsidRDefault="001C3B40">
    <w:pPr>
      <w:pStyle w:val="Header"/>
    </w:pPr>
    <w:r>
      <w:rPr>
        <w:noProof/>
      </w:rPr>
    </w:r>
    <w:r w:rsidR="001C3B40">
      <w:rPr>
        <w:noProof/>
      </w:rPr>
      <w:pict w14:anchorId="6EF0608C">
        <v:shapetype id="_x0000_t202" coordsize="21600,21600" o:spt="202" path="m,l,21600r21600,l21600,xe">
          <v:stroke joinstyle="miter"/>
          <v:path gradientshapeok="t" o:connecttype="rect"/>
        </v:shapetype>
        <v:shape id="Text Box 3" o:spid="_x0000_s1026" type="#_x0000_t202" style="position:absolute;left:0;text-align:left;margin-left:457.0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" o:allowincell="f" stroked="f">
          <o:lock v:ext="edit" aspectratio="t" verticies="t" text="t" shapetype="t"/>
          <v:textbox>
            <w:txbxContent>
              <w:p w:rsidR="00C779F5" w:rsidRDefault="00C779F5" w:rsidP="005B2D79">
                <w:pPr>
                  <w:ind w:right="-165"/>
                  <w:rPr>
                    <w:b/>
                    <w:bCs/>
                    <w:sz w:val="20"/>
                    <w:szCs w:val="20"/>
                  </w:rPr>
                </w:pPr>
                <w:r>
                  <w:rPr>
                    <w:b/>
                    <w:bCs/>
                    <w:sz w:val="20"/>
                    <w:szCs w:val="20"/>
                  </w:rPr>
                  <w:t>A</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20"/>
                    <w:szCs w:val="20"/>
                  </w:rPr>
                </w:pPr>
                <w:r>
                  <w:rPr>
                    <w:b/>
                    <w:bCs/>
                    <w:sz w:val="20"/>
                    <w:szCs w:val="20"/>
                  </w:rPr>
                  <w:t>B</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C</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pStyle w:val="Heading2"/>
                  <w:ind w:right="-165"/>
                  <w:rPr>
                    <w:sz w:val="16"/>
                    <w:szCs w:val="16"/>
                  </w:rPr>
                </w:pPr>
                <w:r>
                  <w:t>D</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E</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20"/>
                    <w:szCs w:val="20"/>
                  </w:rPr>
                </w:pPr>
                <w:r>
                  <w:rPr>
                    <w:b/>
                    <w:bCs/>
                    <w:sz w:val="20"/>
                    <w:szCs w:val="20"/>
                  </w:rPr>
                  <w:t>F</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G</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H</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I</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J</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K</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L</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M</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N</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O</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P</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Q</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R</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S</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T</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Default="00C779F5" w:rsidP="005B2D79">
                <w:pPr>
                  <w:ind w:right="-165"/>
                  <w:rPr>
                    <w:b/>
                    <w:bCs/>
                    <w:sz w:val="16"/>
                    <w:szCs w:val="16"/>
                  </w:rPr>
                </w:pPr>
                <w:r>
                  <w:rPr>
                    <w:b/>
                    <w:bCs/>
                    <w:sz w:val="20"/>
                    <w:szCs w:val="20"/>
                  </w:rPr>
                  <w:t>U</w:t>
                </w:r>
              </w:p>
              <w:p w:rsidR="00C779F5" w:rsidRDefault="00C779F5" w:rsidP="005B2D79">
                <w:pPr>
                  <w:ind w:right="-165"/>
                  <w:rPr>
                    <w:b/>
                    <w:bCs/>
                    <w:sz w:val="10"/>
                    <w:szCs w:val="10"/>
                  </w:rPr>
                </w:pPr>
              </w:p>
              <w:p w:rsidR="00C779F5" w:rsidRDefault="00C779F5" w:rsidP="005B2D79">
                <w:pPr>
                  <w:ind w:right="-165"/>
                  <w:rPr>
                    <w:b/>
                    <w:bCs/>
                    <w:sz w:val="16"/>
                    <w:szCs w:val="16"/>
                  </w:rPr>
                </w:pPr>
              </w:p>
              <w:p w:rsidR="00C779F5" w:rsidRDefault="00C779F5" w:rsidP="005B2D79">
                <w:pPr>
                  <w:ind w:right="-165"/>
                  <w:rPr>
                    <w:b/>
                    <w:bCs/>
                    <w:sz w:val="16"/>
                    <w:szCs w:val="16"/>
                  </w:rPr>
                </w:pPr>
              </w:p>
              <w:p w:rsidR="00C779F5" w:rsidRPr="005B2D79" w:rsidRDefault="00C779F5" w:rsidP="005B2D79">
                <w:pPr>
                  <w:ind w:right="-165"/>
                  <w:rPr>
                    <w:b/>
                    <w:bCs/>
                    <w:sz w:val="20"/>
                    <w:szCs w:val="20"/>
                  </w:rPr>
                </w:pPr>
                <w:r w:rsidRPr="005B2D79">
                  <w:rPr>
                    <w:b/>
                    <w:bCs/>
                    <w:sz w:val="20"/>
                    <w:szCs w:val="20"/>
                  </w:rPr>
                  <w:t>V</w:t>
                </w:r>
              </w:p>
            </w:txbxContent>
          </v:textbox>
        </v:shape>
      </w:pict>
    </w:r>
    <w:r>
      <w:rPr>
        <w:noProof/>
      </w:rPr>
    </w:r>
    <w:r w:rsidR="001C3B40">
      <w:rPr>
        <w:noProof/>
      </w:rPr>
      <w:pict w14:anchorId="322B133C">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C779F5" w:rsidRDefault="00C779F5">
                <w:pPr>
                  <w:rPr>
                    <w:b/>
                    <w:bCs/>
                    <w:sz w:val="20"/>
                    <w:szCs w:val="20"/>
                  </w:rPr>
                </w:pPr>
                <w:r>
                  <w:rPr>
                    <w:b/>
                    <w:bCs/>
                    <w:sz w:val="20"/>
                    <w:szCs w:val="20"/>
                  </w:rPr>
                  <w:t>A</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20"/>
                    <w:szCs w:val="20"/>
                  </w:rPr>
                </w:pPr>
                <w:r>
                  <w:rPr>
                    <w:b/>
                    <w:bCs/>
                    <w:sz w:val="20"/>
                    <w:szCs w:val="20"/>
                  </w:rPr>
                  <w:t>B</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C</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pStyle w:val="Heading2"/>
                  <w:rPr>
                    <w:sz w:val="16"/>
                    <w:szCs w:val="16"/>
                  </w:rPr>
                </w:pPr>
                <w:r>
                  <w:t>D</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E</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20"/>
                    <w:szCs w:val="20"/>
                  </w:rPr>
                </w:pPr>
                <w:r>
                  <w:rPr>
                    <w:b/>
                    <w:bCs/>
                    <w:sz w:val="20"/>
                    <w:szCs w:val="20"/>
                  </w:rPr>
                  <w:t>F</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G</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H</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I</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J</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K</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L</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M</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N</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O</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P</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Q</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R</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S</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T</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U</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pStyle w:val="Heading3"/>
                  <w:jc w:val="left"/>
                </w:pPr>
                <w:r>
                  <w:t>V</w:t>
                </w:r>
              </w:p>
            </w:txbxContent>
          </v:textbox>
        </v:shape>
      </w:pict>
    </w:r>
    <w:r>
      <w:rPr>
        <w:noProof/>
      </w:rPr>
    </w:r>
    <w:r w:rsidR="001C3B40">
      <w:rPr>
        <w:noProof/>
      </w:rPr>
      <w:pict w14:anchorId="0C19B8F0">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C779F5" w:rsidRDefault="00C779F5">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9F5" w:rsidRDefault="001C3B40">
    <w:pPr>
      <w:pStyle w:val="Header"/>
      <w:rPr>
        <w:sz w:val="28"/>
        <w:szCs w:val="28"/>
      </w:rPr>
    </w:pPr>
    <w:r>
      <w:rPr>
        <w:noProof/>
      </w:rPr>
    </w:r>
    <w:r w:rsidR="001C3B40">
      <w:rPr>
        <w:noProof/>
      </w:rPr>
      <w:pict w14:anchorId="7805BD5A">
        <v:shapetype id="_x0000_t202" coordsize="21600,21600" o:spt="202" path="m,l,21600r21600,l21600,xe">
          <v:stroke joinstyle="miter"/>
          <v:path gradientshapeok="t" o:connecttype="rect"/>
        </v:shapetype>
        <v:shape id="Text Box 6" o:spid="_x0000_s1029" type="#_x0000_t202" style="position:absolute;left:0;text-align:left;margin-left:454.9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A0hdTnkAAAAEAEAAA8AAAAAAAAAAAAAAAAAcgQAAGRycy9kb3ducmV2Lnht&#13;&#10;bFBLBQYAAAAABAAEAPMAAACDBQAAAAA=&#13;&#10;" o:allowincell="f" stroked="f">
          <o:lock v:ext="edit" aspectratio="t" verticies="t" text="t" shapetype="t"/>
          <v:textbox>
            <w:txbxContent>
              <w:p w:rsidR="00C779F5" w:rsidRDefault="00C779F5" w:rsidP="00A8299F">
                <w:pPr>
                  <w:ind w:right="-165"/>
                  <w:rPr>
                    <w:b/>
                    <w:bCs/>
                    <w:sz w:val="20"/>
                    <w:szCs w:val="20"/>
                  </w:rPr>
                </w:pPr>
                <w:r>
                  <w:rPr>
                    <w:b/>
                    <w:bCs/>
                    <w:sz w:val="20"/>
                    <w:szCs w:val="20"/>
                  </w:rPr>
                  <w:t>A</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20"/>
                    <w:szCs w:val="20"/>
                  </w:rPr>
                </w:pPr>
                <w:r>
                  <w:rPr>
                    <w:b/>
                    <w:bCs/>
                    <w:sz w:val="20"/>
                    <w:szCs w:val="20"/>
                  </w:rPr>
                  <w:t>B</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C</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pStyle w:val="Heading2"/>
                  <w:ind w:right="-165"/>
                  <w:rPr>
                    <w:sz w:val="16"/>
                    <w:szCs w:val="16"/>
                  </w:rPr>
                </w:pPr>
                <w:r>
                  <w:t>D</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E</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20"/>
                    <w:szCs w:val="20"/>
                  </w:rPr>
                </w:pPr>
                <w:r>
                  <w:rPr>
                    <w:b/>
                    <w:bCs/>
                    <w:sz w:val="20"/>
                    <w:szCs w:val="20"/>
                  </w:rPr>
                  <w:t>F</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G</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H</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I</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J</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K</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L</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M</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N</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O</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P</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Q</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R</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S</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T</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ind w:right="-165"/>
                  <w:rPr>
                    <w:b/>
                    <w:bCs/>
                    <w:sz w:val="16"/>
                    <w:szCs w:val="16"/>
                  </w:rPr>
                </w:pPr>
                <w:r>
                  <w:rPr>
                    <w:b/>
                    <w:bCs/>
                    <w:sz w:val="20"/>
                    <w:szCs w:val="20"/>
                  </w:rPr>
                  <w:t>U</w:t>
                </w:r>
              </w:p>
              <w:p w:rsidR="00C779F5" w:rsidRDefault="00C779F5" w:rsidP="00A8299F">
                <w:pPr>
                  <w:ind w:right="-165"/>
                  <w:rPr>
                    <w:b/>
                    <w:bCs/>
                    <w:sz w:val="10"/>
                    <w:szCs w:val="10"/>
                  </w:rPr>
                </w:pPr>
              </w:p>
              <w:p w:rsidR="00C779F5" w:rsidRDefault="00C779F5" w:rsidP="00A8299F">
                <w:pPr>
                  <w:ind w:right="-165"/>
                  <w:rPr>
                    <w:b/>
                    <w:bCs/>
                    <w:sz w:val="16"/>
                    <w:szCs w:val="16"/>
                  </w:rPr>
                </w:pPr>
              </w:p>
              <w:p w:rsidR="00C779F5" w:rsidRDefault="00C779F5" w:rsidP="00A8299F">
                <w:pPr>
                  <w:ind w:right="-165"/>
                  <w:rPr>
                    <w:b/>
                    <w:bCs/>
                    <w:sz w:val="16"/>
                    <w:szCs w:val="16"/>
                  </w:rPr>
                </w:pPr>
              </w:p>
              <w:p w:rsidR="00C779F5" w:rsidRDefault="00C779F5" w:rsidP="00A8299F">
                <w:pPr>
                  <w:pStyle w:val="Heading3"/>
                  <w:ind w:right="-165"/>
                  <w:jc w:val="left"/>
                </w:pPr>
                <w:r>
                  <w:t>V</w:t>
                </w:r>
              </w:p>
            </w:txbxContent>
          </v:textbox>
        </v:shape>
      </w:pict>
    </w:r>
    <w:r w:rsidR="00C779F5">
      <w:rPr>
        <w:sz w:val="28"/>
        <w:szCs w:val="28"/>
      </w:rPr>
      <w:t xml:space="preserve">- </w:t>
    </w:r>
    <w:r w:rsidR="00C779F5">
      <w:rPr>
        <w:rStyle w:val="PageNumber"/>
        <w:sz w:val="28"/>
        <w:szCs w:val="28"/>
      </w:rPr>
      <w:fldChar w:fldCharType="begin"/>
    </w:r>
    <w:r w:rsidR="00C779F5">
      <w:rPr>
        <w:rStyle w:val="PageNumber"/>
        <w:sz w:val="28"/>
        <w:szCs w:val="28"/>
      </w:rPr>
      <w:instrText xml:space="preserve"> PAGE </w:instrText>
    </w:r>
    <w:r w:rsidR="00C779F5">
      <w:rPr>
        <w:rStyle w:val="PageNumber"/>
        <w:sz w:val="28"/>
        <w:szCs w:val="28"/>
      </w:rPr>
      <w:fldChar w:fldCharType="separate"/>
    </w:r>
    <w:r w:rsidR="00BA07CC">
      <w:rPr>
        <w:rStyle w:val="PageNumber"/>
        <w:noProof/>
        <w:sz w:val="28"/>
        <w:szCs w:val="28"/>
      </w:rPr>
      <w:t>20</w:t>
    </w:r>
    <w:r w:rsidR="00C779F5">
      <w:rPr>
        <w:rStyle w:val="PageNumber"/>
        <w:sz w:val="28"/>
        <w:szCs w:val="28"/>
      </w:rPr>
      <w:fldChar w:fldCharType="end"/>
    </w:r>
    <w:r w:rsidR="00C779F5">
      <w:rPr>
        <w:rStyle w:val="PageNumber"/>
        <w:sz w:val="28"/>
        <w:szCs w:val="28"/>
      </w:rPr>
      <w:t xml:space="preserve"> -</w:t>
    </w:r>
    <w:r>
      <w:rPr>
        <w:noProof/>
      </w:rPr>
    </w:r>
    <w:r w:rsidR="001C3B40">
      <w:rPr>
        <w:noProof/>
      </w:rPr>
      <w:pict w14:anchorId="5D74A368">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C779F5" w:rsidRDefault="00C779F5">
                <w:pPr>
                  <w:rPr>
                    <w:b/>
                    <w:bCs/>
                    <w:sz w:val="20"/>
                    <w:szCs w:val="20"/>
                  </w:rPr>
                </w:pPr>
                <w:r>
                  <w:rPr>
                    <w:b/>
                    <w:bCs/>
                    <w:sz w:val="20"/>
                    <w:szCs w:val="20"/>
                  </w:rPr>
                  <w:t>A</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20"/>
                    <w:szCs w:val="20"/>
                  </w:rPr>
                </w:pPr>
                <w:r>
                  <w:rPr>
                    <w:b/>
                    <w:bCs/>
                    <w:sz w:val="20"/>
                    <w:szCs w:val="20"/>
                  </w:rPr>
                  <w:t>B</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C</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pStyle w:val="Heading2"/>
                  <w:rPr>
                    <w:sz w:val="16"/>
                    <w:szCs w:val="16"/>
                  </w:rPr>
                </w:pPr>
                <w:r>
                  <w:t>D</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E</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20"/>
                    <w:szCs w:val="20"/>
                  </w:rPr>
                </w:pPr>
                <w:r>
                  <w:rPr>
                    <w:b/>
                    <w:bCs/>
                    <w:sz w:val="20"/>
                    <w:szCs w:val="20"/>
                  </w:rPr>
                  <w:t>F</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G</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H</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I</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J</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K</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L</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M</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N</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O</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P</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Q</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R</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S</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T</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rPr>
                    <w:b/>
                    <w:bCs/>
                    <w:sz w:val="16"/>
                    <w:szCs w:val="16"/>
                  </w:rPr>
                </w:pPr>
                <w:r>
                  <w:rPr>
                    <w:b/>
                    <w:bCs/>
                    <w:sz w:val="20"/>
                    <w:szCs w:val="20"/>
                  </w:rPr>
                  <w:t>U</w:t>
                </w:r>
              </w:p>
              <w:p w:rsidR="00C779F5" w:rsidRDefault="00C779F5">
                <w:pPr>
                  <w:rPr>
                    <w:b/>
                    <w:bCs/>
                    <w:sz w:val="10"/>
                    <w:szCs w:val="10"/>
                  </w:rPr>
                </w:pPr>
              </w:p>
              <w:p w:rsidR="00C779F5" w:rsidRDefault="00C779F5">
                <w:pPr>
                  <w:rPr>
                    <w:b/>
                    <w:bCs/>
                    <w:sz w:val="16"/>
                    <w:szCs w:val="16"/>
                  </w:rPr>
                </w:pPr>
              </w:p>
              <w:p w:rsidR="00C779F5" w:rsidRDefault="00C779F5">
                <w:pPr>
                  <w:rPr>
                    <w:b/>
                    <w:bCs/>
                    <w:sz w:val="16"/>
                    <w:szCs w:val="16"/>
                  </w:rPr>
                </w:pPr>
              </w:p>
              <w:p w:rsidR="00C779F5" w:rsidRDefault="00C779F5">
                <w:pPr>
                  <w:pStyle w:val="Heading3"/>
                  <w:jc w:val="left"/>
                </w:pPr>
                <w:r>
                  <w:t>V</w:t>
                </w:r>
              </w:p>
            </w:txbxContent>
          </v:textbox>
        </v:shape>
      </w:pict>
    </w:r>
    <w:r>
      <w:rPr>
        <w:noProof/>
      </w:rPr>
    </w:r>
    <w:r w:rsidR="001C3B40">
      <w:rPr>
        <w:noProof/>
      </w:rPr>
      <w:pict w14:anchorId="4A676AB2">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C779F5" w:rsidRDefault="00C779F5">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4E5"/>
    <w:multiLevelType w:val="hybridMultilevel"/>
    <w:tmpl w:val="67C44924"/>
    <w:lvl w:ilvl="0" w:tplc="39F6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8A4"/>
    <w:multiLevelType w:val="hybridMultilevel"/>
    <w:tmpl w:val="58D67C6E"/>
    <w:lvl w:ilvl="0" w:tplc="9D26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6CF5"/>
    <w:multiLevelType w:val="hybridMultilevel"/>
    <w:tmpl w:val="F7E46EF0"/>
    <w:lvl w:ilvl="0" w:tplc="5F5CD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03A2"/>
    <w:multiLevelType w:val="hybridMultilevel"/>
    <w:tmpl w:val="D47C1B9C"/>
    <w:lvl w:ilvl="0" w:tplc="51B61B7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31AB3A7C"/>
    <w:multiLevelType w:val="multilevel"/>
    <w:tmpl w:val="59E64E4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decimal"/>
      <w:lvlText w:val="(%3)"/>
      <w:lvlJc w:val="left"/>
      <w:pPr>
        <w:ind w:left="2040" w:hanging="360"/>
      </w:pPr>
      <w:rPr>
        <w:rFonts w:hint="default"/>
      </w:rPr>
    </w:lvl>
    <w:lvl w:ilvl="3">
      <w:start w:val="1"/>
      <w:numFmt w:val="lowerRoman"/>
      <w:lvlText w:val="(%4)"/>
      <w:lvlJc w:val="left"/>
      <w:pPr>
        <w:ind w:left="2940" w:hanging="720"/>
      </w:pPr>
      <w:rPr>
        <w:rFonts w:hint="default"/>
      </w:r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6" w15:restartNumberingAfterBreak="0">
    <w:nsid w:val="43AA1146"/>
    <w:multiLevelType w:val="hybridMultilevel"/>
    <w:tmpl w:val="AA505118"/>
    <w:lvl w:ilvl="0" w:tplc="75C6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206F2"/>
    <w:multiLevelType w:val="hybridMultilevel"/>
    <w:tmpl w:val="59CC6D4C"/>
    <w:lvl w:ilvl="0" w:tplc="889AEC2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27F0E"/>
    <w:multiLevelType w:val="hybridMultilevel"/>
    <w:tmpl w:val="20BE80D2"/>
    <w:lvl w:ilvl="0" w:tplc="65526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16AAC"/>
    <w:multiLevelType w:val="hybridMultilevel"/>
    <w:tmpl w:val="CB18DD42"/>
    <w:lvl w:ilvl="0" w:tplc="F8B0055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D57F2"/>
    <w:multiLevelType w:val="hybridMultilevel"/>
    <w:tmpl w:val="B5EA7064"/>
    <w:lvl w:ilvl="0" w:tplc="E0D88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04E1D"/>
    <w:multiLevelType w:val="hybridMultilevel"/>
    <w:tmpl w:val="1FF0B7B2"/>
    <w:lvl w:ilvl="0" w:tplc="8668D51C">
      <w:start w:val="1"/>
      <w:numFmt w:val="decimal"/>
      <w:lvlText w:val="(%1)"/>
      <w:lvlJc w:val="left"/>
      <w:pPr>
        <w:ind w:left="1440" w:hanging="360"/>
      </w:pPr>
      <w:rPr>
        <w:rFonts w:eastAsia="PMingLiU"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4873689">
    <w:abstractNumId w:val="4"/>
  </w:num>
  <w:num w:numId="2" w16cid:durableId="1199705701">
    <w:abstractNumId w:val="5"/>
  </w:num>
  <w:num w:numId="3" w16cid:durableId="1556502483">
    <w:abstractNumId w:val="1"/>
  </w:num>
  <w:num w:numId="4" w16cid:durableId="2115401324">
    <w:abstractNumId w:val="0"/>
  </w:num>
  <w:num w:numId="5" w16cid:durableId="1635990394">
    <w:abstractNumId w:val="11"/>
  </w:num>
  <w:num w:numId="6" w16cid:durableId="1909420356">
    <w:abstractNumId w:val="10"/>
  </w:num>
  <w:num w:numId="7" w16cid:durableId="543293965">
    <w:abstractNumId w:val="2"/>
  </w:num>
  <w:num w:numId="8" w16cid:durableId="1676684067">
    <w:abstractNumId w:val="6"/>
  </w:num>
  <w:num w:numId="9" w16cid:durableId="223877794">
    <w:abstractNumId w:val="9"/>
  </w:num>
  <w:num w:numId="10" w16cid:durableId="1602029238">
    <w:abstractNumId w:val="8"/>
  </w:num>
  <w:num w:numId="11" w16cid:durableId="431363622">
    <w:abstractNumId w:val="3"/>
  </w:num>
  <w:num w:numId="12" w16cid:durableId="155354236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71A"/>
    <w:rsid w:val="00001956"/>
    <w:rsid w:val="00002BFC"/>
    <w:rsid w:val="00004A36"/>
    <w:rsid w:val="000053DE"/>
    <w:rsid w:val="000057ED"/>
    <w:rsid w:val="000141AA"/>
    <w:rsid w:val="00016BE3"/>
    <w:rsid w:val="00021BC0"/>
    <w:rsid w:val="0002535E"/>
    <w:rsid w:val="00027816"/>
    <w:rsid w:val="0002789C"/>
    <w:rsid w:val="00027A48"/>
    <w:rsid w:val="00030B9A"/>
    <w:rsid w:val="00034F8A"/>
    <w:rsid w:val="000362AB"/>
    <w:rsid w:val="00037C13"/>
    <w:rsid w:val="00041601"/>
    <w:rsid w:val="00041CB7"/>
    <w:rsid w:val="00042BB4"/>
    <w:rsid w:val="000474C1"/>
    <w:rsid w:val="000547F4"/>
    <w:rsid w:val="00060FE2"/>
    <w:rsid w:val="000613C1"/>
    <w:rsid w:val="00063149"/>
    <w:rsid w:val="0006337E"/>
    <w:rsid w:val="00067F7C"/>
    <w:rsid w:val="00071C4B"/>
    <w:rsid w:val="00071E6E"/>
    <w:rsid w:val="000723FE"/>
    <w:rsid w:val="00072887"/>
    <w:rsid w:val="00074B2C"/>
    <w:rsid w:val="0007738C"/>
    <w:rsid w:val="00092E2F"/>
    <w:rsid w:val="00094E71"/>
    <w:rsid w:val="000969B5"/>
    <w:rsid w:val="00096CE4"/>
    <w:rsid w:val="000A08E9"/>
    <w:rsid w:val="000A30F8"/>
    <w:rsid w:val="000B0F1A"/>
    <w:rsid w:val="000B3F74"/>
    <w:rsid w:val="000B55FA"/>
    <w:rsid w:val="000C08F6"/>
    <w:rsid w:val="000C1030"/>
    <w:rsid w:val="000C26D9"/>
    <w:rsid w:val="000C5E66"/>
    <w:rsid w:val="000E07B5"/>
    <w:rsid w:val="000E490F"/>
    <w:rsid w:val="000E63D8"/>
    <w:rsid w:val="000F003D"/>
    <w:rsid w:val="000F19DB"/>
    <w:rsid w:val="000F2469"/>
    <w:rsid w:val="001012D7"/>
    <w:rsid w:val="00104F34"/>
    <w:rsid w:val="001124FB"/>
    <w:rsid w:val="00113689"/>
    <w:rsid w:val="0011558D"/>
    <w:rsid w:val="00115F66"/>
    <w:rsid w:val="00116DB2"/>
    <w:rsid w:val="00124CFC"/>
    <w:rsid w:val="001255CE"/>
    <w:rsid w:val="001265E7"/>
    <w:rsid w:val="0012667D"/>
    <w:rsid w:val="00130346"/>
    <w:rsid w:val="00130569"/>
    <w:rsid w:val="00130CC4"/>
    <w:rsid w:val="00130DDB"/>
    <w:rsid w:val="00140B12"/>
    <w:rsid w:val="00141BB5"/>
    <w:rsid w:val="00142289"/>
    <w:rsid w:val="00146B5D"/>
    <w:rsid w:val="00147A7C"/>
    <w:rsid w:val="00150C06"/>
    <w:rsid w:val="00150D22"/>
    <w:rsid w:val="0015258B"/>
    <w:rsid w:val="00152AE1"/>
    <w:rsid w:val="00162B4A"/>
    <w:rsid w:val="001654E3"/>
    <w:rsid w:val="001737DE"/>
    <w:rsid w:val="00175162"/>
    <w:rsid w:val="001756C2"/>
    <w:rsid w:val="0017656B"/>
    <w:rsid w:val="0018055C"/>
    <w:rsid w:val="00182F95"/>
    <w:rsid w:val="001855CB"/>
    <w:rsid w:val="00192985"/>
    <w:rsid w:val="00193AFA"/>
    <w:rsid w:val="001A3D2E"/>
    <w:rsid w:val="001A5EC4"/>
    <w:rsid w:val="001B3F00"/>
    <w:rsid w:val="001C153D"/>
    <w:rsid w:val="001C3B40"/>
    <w:rsid w:val="001C45E2"/>
    <w:rsid w:val="001C7516"/>
    <w:rsid w:val="001D0B73"/>
    <w:rsid w:val="001D1200"/>
    <w:rsid w:val="001E1CE5"/>
    <w:rsid w:val="001E7C1E"/>
    <w:rsid w:val="001F1721"/>
    <w:rsid w:val="001F57BA"/>
    <w:rsid w:val="001F78C3"/>
    <w:rsid w:val="002009AA"/>
    <w:rsid w:val="0020618F"/>
    <w:rsid w:val="00210CA1"/>
    <w:rsid w:val="0021226D"/>
    <w:rsid w:val="00213A64"/>
    <w:rsid w:val="0022469B"/>
    <w:rsid w:val="00225E04"/>
    <w:rsid w:val="00235009"/>
    <w:rsid w:val="00242033"/>
    <w:rsid w:val="0024214F"/>
    <w:rsid w:val="002440DB"/>
    <w:rsid w:val="00244B00"/>
    <w:rsid w:val="00246E2A"/>
    <w:rsid w:val="00247AC4"/>
    <w:rsid w:val="00247CA5"/>
    <w:rsid w:val="00252A31"/>
    <w:rsid w:val="00255B3C"/>
    <w:rsid w:val="0025687B"/>
    <w:rsid w:val="00257912"/>
    <w:rsid w:val="00257E3F"/>
    <w:rsid w:val="00261CC5"/>
    <w:rsid w:val="002713D6"/>
    <w:rsid w:val="00281660"/>
    <w:rsid w:val="002836E7"/>
    <w:rsid w:val="00287928"/>
    <w:rsid w:val="0028795D"/>
    <w:rsid w:val="002916B2"/>
    <w:rsid w:val="00291F20"/>
    <w:rsid w:val="00292447"/>
    <w:rsid w:val="00293D6D"/>
    <w:rsid w:val="00297721"/>
    <w:rsid w:val="002A534D"/>
    <w:rsid w:val="002A712F"/>
    <w:rsid w:val="002B0E44"/>
    <w:rsid w:val="002B25E1"/>
    <w:rsid w:val="002B343D"/>
    <w:rsid w:val="002B4938"/>
    <w:rsid w:val="002C08DA"/>
    <w:rsid w:val="002C0B1D"/>
    <w:rsid w:val="002C2792"/>
    <w:rsid w:val="002C48DF"/>
    <w:rsid w:val="002C57DE"/>
    <w:rsid w:val="002C61DC"/>
    <w:rsid w:val="002C7268"/>
    <w:rsid w:val="002C7468"/>
    <w:rsid w:val="002D03D9"/>
    <w:rsid w:val="002D0D6D"/>
    <w:rsid w:val="002D0F19"/>
    <w:rsid w:val="002D47CA"/>
    <w:rsid w:val="002E1179"/>
    <w:rsid w:val="002E4829"/>
    <w:rsid w:val="002E57D0"/>
    <w:rsid w:val="002F6CF6"/>
    <w:rsid w:val="002F7BCA"/>
    <w:rsid w:val="00302D04"/>
    <w:rsid w:val="00303523"/>
    <w:rsid w:val="00306BC9"/>
    <w:rsid w:val="00311758"/>
    <w:rsid w:val="00311921"/>
    <w:rsid w:val="00325BBA"/>
    <w:rsid w:val="00327C10"/>
    <w:rsid w:val="003337CD"/>
    <w:rsid w:val="00333E91"/>
    <w:rsid w:val="00334D25"/>
    <w:rsid w:val="003366EB"/>
    <w:rsid w:val="00337FDE"/>
    <w:rsid w:val="00341E9D"/>
    <w:rsid w:val="00346B6C"/>
    <w:rsid w:val="003474B0"/>
    <w:rsid w:val="00351FC0"/>
    <w:rsid w:val="00352E5E"/>
    <w:rsid w:val="00356A89"/>
    <w:rsid w:val="00362377"/>
    <w:rsid w:val="00363B85"/>
    <w:rsid w:val="003740AA"/>
    <w:rsid w:val="00381674"/>
    <w:rsid w:val="003851AE"/>
    <w:rsid w:val="0039050D"/>
    <w:rsid w:val="003908C6"/>
    <w:rsid w:val="003A26CB"/>
    <w:rsid w:val="003A3081"/>
    <w:rsid w:val="003B247A"/>
    <w:rsid w:val="003B2AE4"/>
    <w:rsid w:val="003B2B03"/>
    <w:rsid w:val="003C1FF6"/>
    <w:rsid w:val="003C2BC3"/>
    <w:rsid w:val="003C4E52"/>
    <w:rsid w:val="003D2439"/>
    <w:rsid w:val="003E659F"/>
    <w:rsid w:val="003F0C93"/>
    <w:rsid w:val="003F27FF"/>
    <w:rsid w:val="003F60C2"/>
    <w:rsid w:val="003F7F87"/>
    <w:rsid w:val="004008DF"/>
    <w:rsid w:val="00402C7F"/>
    <w:rsid w:val="00413CBD"/>
    <w:rsid w:val="00414A63"/>
    <w:rsid w:val="0041732F"/>
    <w:rsid w:val="00421505"/>
    <w:rsid w:val="00425A69"/>
    <w:rsid w:val="0043764D"/>
    <w:rsid w:val="00453510"/>
    <w:rsid w:val="00454A93"/>
    <w:rsid w:val="004673E3"/>
    <w:rsid w:val="00476C31"/>
    <w:rsid w:val="00482ED4"/>
    <w:rsid w:val="00484CED"/>
    <w:rsid w:val="004850F6"/>
    <w:rsid w:val="004942AE"/>
    <w:rsid w:val="00496B7D"/>
    <w:rsid w:val="00497583"/>
    <w:rsid w:val="004A1EEC"/>
    <w:rsid w:val="004A4024"/>
    <w:rsid w:val="004A4ADF"/>
    <w:rsid w:val="004A6158"/>
    <w:rsid w:val="004B40ED"/>
    <w:rsid w:val="004B4CD4"/>
    <w:rsid w:val="004B5BC0"/>
    <w:rsid w:val="004C0E10"/>
    <w:rsid w:val="004C3528"/>
    <w:rsid w:val="004C397A"/>
    <w:rsid w:val="004C49B0"/>
    <w:rsid w:val="004C5F4A"/>
    <w:rsid w:val="004D1551"/>
    <w:rsid w:val="004D3B04"/>
    <w:rsid w:val="004E69F2"/>
    <w:rsid w:val="004E7EBF"/>
    <w:rsid w:val="004F079B"/>
    <w:rsid w:val="004F3FC3"/>
    <w:rsid w:val="004F468E"/>
    <w:rsid w:val="004F5B91"/>
    <w:rsid w:val="004F6600"/>
    <w:rsid w:val="004F7678"/>
    <w:rsid w:val="00502947"/>
    <w:rsid w:val="005074BC"/>
    <w:rsid w:val="00523117"/>
    <w:rsid w:val="00527478"/>
    <w:rsid w:val="0053041E"/>
    <w:rsid w:val="00531372"/>
    <w:rsid w:val="00547765"/>
    <w:rsid w:val="005477E6"/>
    <w:rsid w:val="00553904"/>
    <w:rsid w:val="00556A38"/>
    <w:rsid w:val="0056355D"/>
    <w:rsid w:val="0056426F"/>
    <w:rsid w:val="00574004"/>
    <w:rsid w:val="00574A61"/>
    <w:rsid w:val="00581459"/>
    <w:rsid w:val="005841EA"/>
    <w:rsid w:val="005844A0"/>
    <w:rsid w:val="005879CD"/>
    <w:rsid w:val="005905EE"/>
    <w:rsid w:val="00593D5A"/>
    <w:rsid w:val="0059554D"/>
    <w:rsid w:val="005973FA"/>
    <w:rsid w:val="005A3DFC"/>
    <w:rsid w:val="005A51A8"/>
    <w:rsid w:val="005A5DCF"/>
    <w:rsid w:val="005A5EB7"/>
    <w:rsid w:val="005A73F2"/>
    <w:rsid w:val="005B2D79"/>
    <w:rsid w:val="005B5289"/>
    <w:rsid w:val="005B6F59"/>
    <w:rsid w:val="005B79BC"/>
    <w:rsid w:val="005B7AD7"/>
    <w:rsid w:val="005C128A"/>
    <w:rsid w:val="005C1A1A"/>
    <w:rsid w:val="005D2E58"/>
    <w:rsid w:val="005D7438"/>
    <w:rsid w:val="005D7FF0"/>
    <w:rsid w:val="005E1A76"/>
    <w:rsid w:val="005E3A14"/>
    <w:rsid w:val="005E4F81"/>
    <w:rsid w:val="005E5AB9"/>
    <w:rsid w:val="005F0579"/>
    <w:rsid w:val="005F103C"/>
    <w:rsid w:val="005F248F"/>
    <w:rsid w:val="005F34C8"/>
    <w:rsid w:val="005F4F03"/>
    <w:rsid w:val="006015B4"/>
    <w:rsid w:val="00601D6F"/>
    <w:rsid w:val="006128A2"/>
    <w:rsid w:val="00621147"/>
    <w:rsid w:val="00622A2E"/>
    <w:rsid w:val="00625059"/>
    <w:rsid w:val="0062557F"/>
    <w:rsid w:val="00630293"/>
    <w:rsid w:val="00630E78"/>
    <w:rsid w:val="006313A9"/>
    <w:rsid w:val="00632285"/>
    <w:rsid w:val="00654031"/>
    <w:rsid w:val="00654811"/>
    <w:rsid w:val="00657494"/>
    <w:rsid w:val="00660DFC"/>
    <w:rsid w:val="00664EFC"/>
    <w:rsid w:val="00673559"/>
    <w:rsid w:val="0068470E"/>
    <w:rsid w:val="006873F2"/>
    <w:rsid w:val="00687961"/>
    <w:rsid w:val="006928EE"/>
    <w:rsid w:val="0069314A"/>
    <w:rsid w:val="00696F48"/>
    <w:rsid w:val="006A0664"/>
    <w:rsid w:val="006A28FD"/>
    <w:rsid w:val="006A6B46"/>
    <w:rsid w:val="006B363C"/>
    <w:rsid w:val="006B446E"/>
    <w:rsid w:val="006B4E98"/>
    <w:rsid w:val="006C426E"/>
    <w:rsid w:val="006C43F8"/>
    <w:rsid w:val="006C4A82"/>
    <w:rsid w:val="006C6DEC"/>
    <w:rsid w:val="006D38A5"/>
    <w:rsid w:val="006E0703"/>
    <w:rsid w:val="006E37D8"/>
    <w:rsid w:val="006F2564"/>
    <w:rsid w:val="007001B5"/>
    <w:rsid w:val="00700EF0"/>
    <w:rsid w:val="00711EB3"/>
    <w:rsid w:val="007133DF"/>
    <w:rsid w:val="00714812"/>
    <w:rsid w:val="00721071"/>
    <w:rsid w:val="007235EE"/>
    <w:rsid w:val="0072411A"/>
    <w:rsid w:val="00726702"/>
    <w:rsid w:val="007269C7"/>
    <w:rsid w:val="00726CC5"/>
    <w:rsid w:val="00731BFB"/>
    <w:rsid w:val="0073707D"/>
    <w:rsid w:val="0074285A"/>
    <w:rsid w:val="00744D00"/>
    <w:rsid w:val="00745850"/>
    <w:rsid w:val="00751FCC"/>
    <w:rsid w:val="00753CAF"/>
    <w:rsid w:val="00757DFF"/>
    <w:rsid w:val="00761AFF"/>
    <w:rsid w:val="00762315"/>
    <w:rsid w:val="00766590"/>
    <w:rsid w:val="00766DE9"/>
    <w:rsid w:val="00774BEC"/>
    <w:rsid w:val="00781018"/>
    <w:rsid w:val="00783256"/>
    <w:rsid w:val="00784B1B"/>
    <w:rsid w:val="007863FB"/>
    <w:rsid w:val="0078695C"/>
    <w:rsid w:val="0079420C"/>
    <w:rsid w:val="007A0A4D"/>
    <w:rsid w:val="007A4554"/>
    <w:rsid w:val="007B2D58"/>
    <w:rsid w:val="007B42E3"/>
    <w:rsid w:val="007B71E1"/>
    <w:rsid w:val="007B79CB"/>
    <w:rsid w:val="007B7CC4"/>
    <w:rsid w:val="007C17BA"/>
    <w:rsid w:val="007E74DE"/>
    <w:rsid w:val="007F0F94"/>
    <w:rsid w:val="007F1EBC"/>
    <w:rsid w:val="007F2A62"/>
    <w:rsid w:val="007F413D"/>
    <w:rsid w:val="007F4740"/>
    <w:rsid w:val="007F4B6E"/>
    <w:rsid w:val="007F64C4"/>
    <w:rsid w:val="00802940"/>
    <w:rsid w:val="008030C7"/>
    <w:rsid w:val="00804802"/>
    <w:rsid w:val="00805B51"/>
    <w:rsid w:val="008201D8"/>
    <w:rsid w:val="00821A29"/>
    <w:rsid w:val="00822527"/>
    <w:rsid w:val="00824EC6"/>
    <w:rsid w:val="00827FFC"/>
    <w:rsid w:val="008333FD"/>
    <w:rsid w:val="00844D06"/>
    <w:rsid w:val="00847168"/>
    <w:rsid w:val="00852108"/>
    <w:rsid w:val="00853FBB"/>
    <w:rsid w:val="00865BE4"/>
    <w:rsid w:val="00871098"/>
    <w:rsid w:val="008775B4"/>
    <w:rsid w:val="0088034F"/>
    <w:rsid w:val="00886B68"/>
    <w:rsid w:val="008943B6"/>
    <w:rsid w:val="008A5FA5"/>
    <w:rsid w:val="008B08DB"/>
    <w:rsid w:val="008B19F3"/>
    <w:rsid w:val="008B21A9"/>
    <w:rsid w:val="008B753F"/>
    <w:rsid w:val="008C0E4F"/>
    <w:rsid w:val="008C1E60"/>
    <w:rsid w:val="008C75B0"/>
    <w:rsid w:val="008C7690"/>
    <w:rsid w:val="008D227B"/>
    <w:rsid w:val="008E38D1"/>
    <w:rsid w:val="008E6121"/>
    <w:rsid w:val="008E6918"/>
    <w:rsid w:val="008E6F3D"/>
    <w:rsid w:val="008F68E7"/>
    <w:rsid w:val="009005B4"/>
    <w:rsid w:val="0090104E"/>
    <w:rsid w:val="009022BD"/>
    <w:rsid w:val="0090331A"/>
    <w:rsid w:val="00904902"/>
    <w:rsid w:val="0091366A"/>
    <w:rsid w:val="00916CA5"/>
    <w:rsid w:val="00920EC5"/>
    <w:rsid w:val="00923B7C"/>
    <w:rsid w:val="00933FF0"/>
    <w:rsid w:val="00935123"/>
    <w:rsid w:val="00936A3B"/>
    <w:rsid w:val="00941BFC"/>
    <w:rsid w:val="00942C7F"/>
    <w:rsid w:val="00944B74"/>
    <w:rsid w:val="00962135"/>
    <w:rsid w:val="00963AE4"/>
    <w:rsid w:val="00973762"/>
    <w:rsid w:val="00985BFF"/>
    <w:rsid w:val="00987F98"/>
    <w:rsid w:val="00987FE6"/>
    <w:rsid w:val="009914CD"/>
    <w:rsid w:val="00992161"/>
    <w:rsid w:val="00992FB5"/>
    <w:rsid w:val="00994E50"/>
    <w:rsid w:val="009A1B52"/>
    <w:rsid w:val="009B1989"/>
    <w:rsid w:val="009B6C1B"/>
    <w:rsid w:val="009C3357"/>
    <w:rsid w:val="009C5B42"/>
    <w:rsid w:val="009D2514"/>
    <w:rsid w:val="009D26B3"/>
    <w:rsid w:val="009D465B"/>
    <w:rsid w:val="009E1E68"/>
    <w:rsid w:val="009E1F5A"/>
    <w:rsid w:val="009F25EF"/>
    <w:rsid w:val="009F30C8"/>
    <w:rsid w:val="009F5C5F"/>
    <w:rsid w:val="00A03CA5"/>
    <w:rsid w:val="00A134BC"/>
    <w:rsid w:val="00A14B3D"/>
    <w:rsid w:val="00A17C0A"/>
    <w:rsid w:val="00A20216"/>
    <w:rsid w:val="00A24EED"/>
    <w:rsid w:val="00A25C36"/>
    <w:rsid w:val="00A364E5"/>
    <w:rsid w:val="00A43B9D"/>
    <w:rsid w:val="00A463F6"/>
    <w:rsid w:val="00A5556C"/>
    <w:rsid w:val="00A56C45"/>
    <w:rsid w:val="00A60246"/>
    <w:rsid w:val="00A63D9E"/>
    <w:rsid w:val="00A65AAA"/>
    <w:rsid w:val="00A670F0"/>
    <w:rsid w:val="00A807F8"/>
    <w:rsid w:val="00A8299F"/>
    <w:rsid w:val="00A86E32"/>
    <w:rsid w:val="00A920C7"/>
    <w:rsid w:val="00A933E0"/>
    <w:rsid w:val="00A95CE7"/>
    <w:rsid w:val="00A97FC2"/>
    <w:rsid w:val="00AA733C"/>
    <w:rsid w:val="00AB181A"/>
    <w:rsid w:val="00AB6BFA"/>
    <w:rsid w:val="00AC01D6"/>
    <w:rsid w:val="00AC19E9"/>
    <w:rsid w:val="00AC23A8"/>
    <w:rsid w:val="00AC683A"/>
    <w:rsid w:val="00AC6C8E"/>
    <w:rsid w:val="00AD6231"/>
    <w:rsid w:val="00B13D4E"/>
    <w:rsid w:val="00B21C71"/>
    <w:rsid w:val="00B242D2"/>
    <w:rsid w:val="00B24F5C"/>
    <w:rsid w:val="00B27FBB"/>
    <w:rsid w:val="00B30EA5"/>
    <w:rsid w:val="00B34941"/>
    <w:rsid w:val="00B3638F"/>
    <w:rsid w:val="00B37DCB"/>
    <w:rsid w:val="00B41A5F"/>
    <w:rsid w:val="00B55F95"/>
    <w:rsid w:val="00B56E0C"/>
    <w:rsid w:val="00B679FE"/>
    <w:rsid w:val="00B71E00"/>
    <w:rsid w:val="00B71EC9"/>
    <w:rsid w:val="00B74B76"/>
    <w:rsid w:val="00B74D31"/>
    <w:rsid w:val="00B74D98"/>
    <w:rsid w:val="00B8223B"/>
    <w:rsid w:val="00B8421F"/>
    <w:rsid w:val="00B8590B"/>
    <w:rsid w:val="00BA07CC"/>
    <w:rsid w:val="00BA375A"/>
    <w:rsid w:val="00BA45F3"/>
    <w:rsid w:val="00BA520F"/>
    <w:rsid w:val="00BB6020"/>
    <w:rsid w:val="00BB781A"/>
    <w:rsid w:val="00BB7A67"/>
    <w:rsid w:val="00BB7ED7"/>
    <w:rsid w:val="00BC0E24"/>
    <w:rsid w:val="00BC1B2F"/>
    <w:rsid w:val="00BC65B6"/>
    <w:rsid w:val="00BD61C5"/>
    <w:rsid w:val="00BD6320"/>
    <w:rsid w:val="00BD7B47"/>
    <w:rsid w:val="00BE4D4E"/>
    <w:rsid w:val="00BF068B"/>
    <w:rsid w:val="00BF5392"/>
    <w:rsid w:val="00BF7B47"/>
    <w:rsid w:val="00C027CD"/>
    <w:rsid w:val="00C02878"/>
    <w:rsid w:val="00C032E8"/>
    <w:rsid w:val="00C05F74"/>
    <w:rsid w:val="00C1584C"/>
    <w:rsid w:val="00C16436"/>
    <w:rsid w:val="00C3542E"/>
    <w:rsid w:val="00C37629"/>
    <w:rsid w:val="00C4084A"/>
    <w:rsid w:val="00C40EAD"/>
    <w:rsid w:val="00C41D81"/>
    <w:rsid w:val="00C45864"/>
    <w:rsid w:val="00C47535"/>
    <w:rsid w:val="00C5473B"/>
    <w:rsid w:val="00C5759E"/>
    <w:rsid w:val="00C602CD"/>
    <w:rsid w:val="00C622BE"/>
    <w:rsid w:val="00C658CD"/>
    <w:rsid w:val="00C74A2D"/>
    <w:rsid w:val="00C76E0C"/>
    <w:rsid w:val="00C779F5"/>
    <w:rsid w:val="00C77CD9"/>
    <w:rsid w:val="00C8094F"/>
    <w:rsid w:val="00C80B91"/>
    <w:rsid w:val="00C81FBA"/>
    <w:rsid w:val="00C82676"/>
    <w:rsid w:val="00C83C06"/>
    <w:rsid w:val="00C850B8"/>
    <w:rsid w:val="00CA1C8B"/>
    <w:rsid w:val="00CA35F3"/>
    <w:rsid w:val="00CA7C67"/>
    <w:rsid w:val="00CC09AE"/>
    <w:rsid w:val="00CC1DA7"/>
    <w:rsid w:val="00CC4678"/>
    <w:rsid w:val="00CD22C7"/>
    <w:rsid w:val="00CD40DB"/>
    <w:rsid w:val="00CD67F0"/>
    <w:rsid w:val="00CE1145"/>
    <w:rsid w:val="00CE32D7"/>
    <w:rsid w:val="00CE6686"/>
    <w:rsid w:val="00CE6B79"/>
    <w:rsid w:val="00CF0CA8"/>
    <w:rsid w:val="00CF2888"/>
    <w:rsid w:val="00CF5263"/>
    <w:rsid w:val="00CF5870"/>
    <w:rsid w:val="00CF6CA5"/>
    <w:rsid w:val="00D00DD4"/>
    <w:rsid w:val="00D01FB6"/>
    <w:rsid w:val="00D04961"/>
    <w:rsid w:val="00D06A56"/>
    <w:rsid w:val="00D1003C"/>
    <w:rsid w:val="00D13831"/>
    <w:rsid w:val="00D14CC1"/>
    <w:rsid w:val="00D2392C"/>
    <w:rsid w:val="00D249E8"/>
    <w:rsid w:val="00D253FB"/>
    <w:rsid w:val="00D30860"/>
    <w:rsid w:val="00D30B6C"/>
    <w:rsid w:val="00D327E7"/>
    <w:rsid w:val="00D3633B"/>
    <w:rsid w:val="00D37814"/>
    <w:rsid w:val="00D43454"/>
    <w:rsid w:val="00D4667E"/>
    <w:rsid w:val="00D5159D"/>
    <w:rsid w:val="00D628DB"/>
    <w:rsid w:val="00D64CE2"/>
    <w:rsid w:val="00D664B4"/>
    <w:rsid w:val="00D70366"/>
    <w:rsid w:val="00D715A5"/>
    <w:rsid w:val="00D715DE"/>
    <w:rsid w:val="00D72524"/>
    <w:rsid w:val="00D9436E"/>
    <w:rsid w:val="00DA1549"/>
    <w:rsid w:val="00DA37B7"/>
    <w:rsid w:val="00DA4E44"/>
    <w:rsid w:val="00DA5394"/>
    <w:rsid w:val="00DB38B3"/>
    <w:rsid w:val="00DB541B"/>
    <w:rsid w:val="00DB5E33"/>
    <w:rsid w:val="00DC1620"/>
    <w:rsid w:val="00DC45A7"/>
    <w:rsid w:val="00DC5B5F"/>
    <w:rsid w:val="00DC6A7E"/>
    <w:rsid w:val="00DD07F4"/>
    <w:rsid w:val="00DD32CE"/>
    <w:rsid w:val="00DE2559"/>
    <w:rsid w:val="00DE386F"/>
    <w:rsid w:val="00DE57B4"/>
    <w:rsid w:val="00DE5DB3"/>
    <w:rsid w:val="00DF646A"/>
    <w:rsid w:val="00E01BBE"/>
    <w:rsid w:val="00E05E6F"/>
    <w:rsid w:val="00E067C1"/>
    <w:rsid w:val="00E074E4"/>
    <w:rsid w:val="00E157DE"/>
    <w:rsid w:val="00E243FD"/>
    <w:rsid w:val="00E267E6"/>
    <w:rsid w:val="00E35009"/>
    <w:rsid w:val="00E37F99"/>
    <w:rsid w:val="00E44EAF"/>
    <w:rsid w:val="00E4698D"/>
    <w:rsid w:val="00E52382"/>
    <w:rsid w:val="00E5349C"/>
    <w:rsid w:val="00E54F72"/>
    <w:rsid w:val="00E626B3"/>
    <w:rsid w:val="00E7288D"/>
    <w:rsid w:val="00E77454"/>
    <w:rsid w:val="00E82E3C"/>
    <w:rsid w:val="00E85568"/>
    <w:rsid w:val="00E86F62"/>
    <w:rsid w:val="00E876B8"/>
    <w:rsid w:val="00E97BFE"/>
    <w:rsid w:val="00EA3D70"/>
    <w:rsid w:val="00EB3F7F"/>
    <w:rsid w:val="00EB4E6E"/>
    <w:rsid w:val="00EB520A"/>
    <w:rsid w:val="00EB62EC"/>
    <w:rsid w:val="00EB6F11"/>
    <w:rsid w:val="00EB6F31"/>
    <w:rsid w:val="00EB7876"/>
    <w:rsid w:val="00EC0EAC"/>
    <w:rsid w:val="00ED28D9"/>
    <w:rsid w:val="00ED49F2"/>
    <w:rsid w:val="00ED756E"/>
    <w:rsid w:val="00EE1EDB"/>
    <w:rsid w:val="00EE29EE"/>
    <w:rsid w:val="00EE353F"/>
    <w:rsid w:val="00EE76FD"/>
    <w:rsid w:val="00EF0D06"/>
    <w:rsid w:val="00EF259D"/>
    <w:rsid w:val="00F002C9"/>
    <w:rsid w:val="00F03889"/>
    <w:rsid w:val="00F11898"/>
    <w:rsid w:val="00F152C6"/>
    <w:rsid w:val="00F15400"/>
    <w:rsid w:val="00F23821"/>
    <w:rsid w:val="00F23D48"/>
    <w:rsid w:val="00F2455F"/>
    <w:rsid w:val="00F24DA1"/>
    <w:rsid w:val="00F265E5"/>
    <w:rsid w:val="00F26626"/>
    <w:rsid w:val="00F26B60"/>
    <w:rsid w:val="00F30F0D"/>
    <w:rsid w:val="00F377D4"/>
    <w:rsid w:val="00F4563C"/>
    <w:rsid w:val="00F51050"/>
    <w:rsid w:val="00F55D03"/>
    <w:rsid w:val="00F63678"/>
    <w:rsid w:val="00F63B68"/>
    <w:rsid w:val="00F65D7D"/>
    <w:rsid w:val="00F73946"/>
    <w:rsid w:val="00F76993"/>
    <w:rsid w:val="00F76B4D"/>
    <w:rsid w:val="00F77B35"/>
    <w:rsid w:val="00F77FE3"/>
    <w:rsid w:val="00F801BC"/>
    <w:rsid w:val="00F80579"/>
    <w:rsid w:val="00F85482"/>
    <w:rsid w:val="00F854C3"/>
    <w:rsid w:val="00F87079"/>
    <w:rsid w:val="00F94619"/>
    <w:rsid w:val="00F95346"/>
    <w:rsid w:val="00FB14F5"/>
    <w:rsid w:val="00FB2D7B"/>
    <w:rsid w:val="00FC238D"/>
    <w:rsid w:val="00FC5C47"/>
    <w:rsid w:val="00FC75E8"/>
    <w:rsid w:val="00FD1DB9"/>
    <w:rsid w:val="00FD2ADF"/>
    <w:rsid w:val="00FD569E"/>
    <w:rsid w:val="00FD581A"/>
    <w:rsid w:val="00FF52C4"/>
    <w:rsid w:val="00FF6B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9BB0320-45ED-0742-99D6-E3D9A522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03889"/>
    <w:pPr>
      <w:widowControl w:val="0"/>
      <w:tabs>
        <w:tab w:val="clear" w:pos="1440"/>
        <w:tab w:val="clear" w:pos="4320"/>
        <w:tab w:val="clear" w:pos="9072"/>
      </w:tabs>
    </w:pPr>
    <w:rPr>
      <w:rFonts w:eastAsia="PMingLiU"/>
      <w:color w:val="FF3399"/>
      <w:kern w:val="2"/>
      <w:sz w:val="20"/>
      <w:szCs w:val="20"/>
      <w:lang w:eastAsia="zh-TW"/>
    </w:rPr>
  </w:style>
  <w:style w:type="character" w:customStyle="1" w:styleId="FootnoteTextChar">
    <w:name w:val="Footnote Text Char"/>
    <w:link w:val="FootnoteText"/>
    <w:uiPriority w:val="99"/>
    <w:semiHidden/>
    <w:rsid w:val="00F03889"/>
    <w:rPr>
      <w:rFonts w:eastAsia="PMingLiU"/>
      <w:color w:val="FF3399"/>
      <w:kern w:val="2"/>
      <w:lang w:eastAsia="zh-TW"/>
    </w:rPr>
  </w:style>
  <w:style w:type="character" w:styleId="FootnoteReference">
    <w:name w:val="footnote reference"/>
    <w:uiPriority w:val="94"/>
    <w:unhideWhenUsed/>
    <w:rsid w:val="00F03889"/>
    <w:rPr>
      <w:vertAlign w:val="superscript"/>
    </w:rPr>
  </w:style>
  <w:style w:type="character" w:customStyle="1" w:styleId="FooterChar">
    <w:name w:val="Footer Char"/>
    <w:link w:val="Footer"/>
    <w:uiPriority w:val="99"/>
    <w:rsid w:val="00F03889"/>
  </w:style>
  <w:style w:type="character" w:customStyle="1" w:styleId="apple-converted-space">
    <w:name w:val="apple-converted-space"/>
    <w:basedOn w:val="DefaultParagraphFont"/>
    <w:rsid w:val="00F03889"/>
  </w:style>
  <w:style w:type="paragraph" w:customStyle="1" w:styleId="1">
    <w:name w:val="引文1"/>
    <w:basedOn w:val="Normal"/>
    <w:rsid w:val="00F03889"/>
    <w:pPr>
      <w:tabs>
        <w:tab w:val="clear" w:pos="1440"/>
        <w:tab w:val="clear" w:pos="4320"/>
        <w:tab w:val="clear" w:pos="9072"/>
      </w:tabs>
      <w:snapToGrid/>
      <w:spacing w:before="100" w:beforeAutospacing="1" w:after="100" w:afterAutospacing="1"/>
    </w:pPr>
    <w:rPr>
      <w:rFonts w:eastAsia="Times New Roman"/>
      <w:color w:val="FF3399"/>
      <w:szCs w:val="24"/>
    </w:rPr>
  </w:style>
  <w:style w:type="paragraph" w:styleId="NoSpacing">
    <w:name w:val="No Spacing"/>
    <w:uiPriority w:val="1"/>
    <w:qFormat/>
    <w:rsid w:val="00F03889"/>
    <w:pPr>
      <w:widowControl w:val="0"/>
    </w:pPr>
    <w:rPr>
      <w:rFonts w:eastAsia="PMingLiU"/>
      <w:color w:val="FF3399"/>
      <w:kern w:val="2"/>
      <w:sz w:val="24"/>
      <w:szCs w:val="22"/>
      <w:lang w:val="en-US" w:eastAsia="zh-TW"/>
    </w:rPr>
  </w:style>
  <w:style w:type="character" w:styleId="Emphasis">
    <w:name w:val="Emphasis"/>
    <w:uiPriority w:val="20"/>
    <w:qFormat/>
    <w:rsid w:val="00F03889"/>
    <w:rPr>
      <w:i/>
      <w:iCs/>
    </w:rPr>
  </w:style>
  <w:style w:type="character" w:styleId="Strong">
    <w:name w:val="Strong"/>
    <w:uiPriority w:val="22"/>
    <w:qFormat/>
    <w:rsid w:val="00F03889"/>
    <w:rPr>
      <w:b/>
      <w:bCs/>
    </w:rPr>
  </w:style>
  <w:style w:type="character" w:customStyle="1" w:styleId="Heading2Char">
    <w:name w:val="Heading 2 Char"/>
    <w:link w:val="Heading2"/>
    <w:uiPriority w:val="9"/>
    <w:rsid w:val="00F03889"/>
    <w:rPr>
      <w:b/>
      <w:bCs/>
    </w:rPr>
  </w:style>
  <w:style w:type="character" w:styleId="PlaceholderText">
    <w:name w:val="Placeholder Text"/>
    <w:uiPriority w:val="99"/>
    <w:semiHidden/>
    <w:rsid w:val="00A463F6"/>
    <w:rPr>
      <w:color w:val="808080"/>
    </w:rPr>
  </w:style>
  <w:style w:type="character" w:styleId="CommentReference">
    <w:name w:val="annotation reference"/>
    <w:uiPriority w:val="99"/>
    <w:semiHidden/>
    <w:unhideWhenUsed/>
    <w:rsid w:val="00C41D81"/>
    <w:rPr>
      <w:sz w:val="16"/>
      <w:szCs w:val="16"/>
    </w:rPr>
  </w:style>
  <w:style w:type="paragraph" w:styleId="CommentText">
    <w:name w:val="annotation text"/>
    <w:basedOn w:val="Normal"/>
    <w:link w:val="CommentTextChar"/>
    <w:uiPriority w:val="99"/>
    <w:semiHidden/>
    <w:unhideWhenUsed/>
    <w:rsid w:val="00C41D81"/>
    <w:rPr>
      <w:sz w:val="20"/>
      <w:szCs w:val="20"/>
    </w:rPr>
  </w:style>
  <w:style w:type="character" w:customStyle="1" w:styleId="CommentTextChar">
    <w:name w:val="Comment Text Char"/>
    <w:basedOn w:val="DefaultParagraphFont"/>
    <w:link w:val="CommentText"/>
    <w:uiPriority w:val="99"/>
    <w:semiHidden/>
    <w:rsid w:val="00C41D81"/>
  </w:style>
  <w:style w:type="paragraph" w:styleId="CommentSubject">
    <w:name w:val="annotation subject"/>
    <w:basedOn w:val="CommentText"/>
    <w:next w:val="CommentText"/>
    <w:link w:val="CommentSubjectChar"/>
    <w:uiPriority w:val="99"/>
    <w:semiHidden/>
    <w:unhideWhenUsed/>
    <w:rsid w:val="00C41D81"/>
    <w:rPr>
      <w:b/>
      <w:bCs/>
    </w:rPr>
  </w:style>
  <w:style w:type="character" w:customStyle="1" w:styleId="CommentSubjectChar">
    <w:name w:val="Comment Subject Char"/>
    <w:link w:val="CommentSubject"/>
    <w:uiPriority w:val="99"/>
    <w:semiHidden/>
    <w:rsid w:val="00C41D81"/>
    <w:rPr>
      <w:b/>
      <w:bCs/>
    </w:rPr>
  </w:style>
  <w:style w:type="paragraph" w:customStyle="1" w:styleId="footnotedescription">
    <w:name w:val="footnote description"/>
    <w:next w:val="Normal"/>
    <w:link w:val="footnotedescriptionChar"/>
    <w:hidden/>
    <w:rsid w:val="00D5159D"/>
    <w:pPr>
      <w:spacing w:after="69" w:line="259" w:lineRule="auto"/>
    </w:pPr>
    <w:rPr>
      <w:rFonts w:eastAsia="Times New Roman"/>
      <w:color w:val="000000"/>
      <w:szCs w:val="22"/>
      <w:lang w:val="en-US"/>
    </w:rPr>
  </w:style>
  <w:style w:type="character" w:customStyle="1" w:styleId="footnotedescriptionChar">
    <w:name w:val="footnote description Char"/>
    <w:link w:val="footnotedescription"/>
    <w:rsid w:val="00D5159D"/>
    <w:rPr>
      <w:rFonts w:eastAsia="Times New Roman"/>
      <w:color w:val="000000"/>
      <w:szCs w:val="22"/>
    </w:rPr>
  </w:style>
  <w:style w:type="character" w:customStyle="1" w:styleId="footnotemark">
    <w:name w:val="footnote mark"/>
    <w:hidden/>
    <w:rsid w:val="00D5159D"/>
    <w:rPr>
      <w:rFonts w:ascii="Times New Roman" w:eastAsia="Times New Roman" w:hAnsi="Times New Roman" w:cs="Times New Roman"/>
      <w:color w:val="000000"/>
      <w:sz w:val="14"/>
      <w:vertAlign w:val="superscript"/>
    </w:rPr>
  </w:style>
  <w:style w:type="paragraph" w:customStyle="1" w:styleId="quote">
    <w:name w:val="quote"/>
    <w:basedOn w:val="Normal"/>
    <w:rsid w:val="00D3633B"/>
    <w:pPr>
      <w:tabs>
        <w:tab w:val="clear" w:pos="1440"/>
        <w:tab w:val="clear" w:pos="4320"/>
        <w:tab w:val="clear" w:pos="9072"/>
      </w:tabs>
      <w:snapToGrid/>
      <w:spacing w:before="180" w:after="180"/>
      <w:ind w:left="180" w:right="180"/>
      <w:jc w:val="both"/>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19645">
      <w:bodyDiv w:val="1"/>
      <w:marLeft w:val="0"/>
      <w:marRight w:val="0"/>
      <w:marTop w:val="0"/>
      <w:marBottom w:val="0"/>
      <w:divBdr>
        <w:top w:val="none" w:sz="0" w:space="0" w:color="auto"/>
        <w:left w:val="none" w:sz="0" w:space="0" w:color="auto"/>
        <w:bottom w:val="none" w:sz="0" w:space="0" w:color="auto"/>
        <w:right w:val="none" w:sz="0" w:space="0" w:color="auto"/>
      </w:divBdr>
      <w:divsChild>
        <w:div w:id="976758928">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4693-CDB2-428B-8945-25FF76E7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5156</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2020-12-15T04:35:00Z</cp:lastPrinted>
  <dcterms:created xsi:type="dcterms:W3CDTF">2023-10-14T01:20:00Z</dcterms:created>
  <dcterms:modified xsi:type="dcterms:W3CDTF">2023-10-14T01:20:00Z</dcterms:modified>
</cp:coreProperties>
</file>