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3D2AFC">
        <w:rPr>
          <w:rFonts w:hint="eastAsia"/>
          <w:b w:val="0"/>
          <w:sz w:val="28"/>
        </w:rPr>
        <w:t>2390</w:t>
      </w:r>
      <w:r>
        <w:rPr>
          <w:rFonts w:hint="eastAsia"/>
          <w:b w:val="0"/>
          <w:sz w:val="28"/>
        </w:rPr>
        <w:t>/20</w:t>
      </w:r>
      <w:r w:rsidR="009330F4">
        <w:rPr>
          <w:rFonts w:hint="eastAsia"/>
          <w:b w:val="0"/>
          <w:sz w:val="28"/>
        </w:rPr>
        <w:t>1</w:t>
      </w:r>
      <w:r w:rsidR="003D2AFC">
        <w:rPr>
          <w:rFonts w:hint="eastAsia"/>
          <w:b w:val="0"/>
          <w:sz w:val="28"/>
        </w:rPr>
        <w:t>1</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宋体"/>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b/>
          <w:bCs/>
        </w:rPr>
      </w:pPr>
      <w:r>
        <w:rPr>
          <w:rFonts w:hint="eastAsia"/>
          <w:b/>
          <w:bCs/>
        </w:rPr>
        <w:lastRenderedPageBreak/>
        <w:t>IN THE DISTRICT COURT OF THE</w:t>
      </w:r>
    </w:p>
    <w:p w:rsidR="0018615B" w:rsidRDefault="0018615B" w:rsidP="009330F4">
      <w:pPr>
        <w:tabs>
          <w:tab w:val="clear" w:pos="4320"/>
          <w:tab w:val="clear" w:pos="9072"/>
        </w:tabs>
        <w:adjustRightInd w:val="0"/>
        <w:spacing w:line="360" w:lineRule="auto"/>
        <w:jc w:val="center"/>
      </w:pPr>
      <w:smartTag w:uri="urn:schemas-microsoft-com:office:smarttags" w:element="place">
        <w:r>
          <w:rPr>
            <w:rFonts w:hint="eastAsia"/>
            <w:b/>
            <w:bCs/>
          </w:rPr>
          <w:t>HONG KONG</w:t>
        </w:r>
      </w:smartTag>
      <w:r>
        <w:rPr>
          <w:rFonts w:hint="eastAsia"/>
          <w:b/>
          <w:bCs/>
        </w:rPr>
        <w:t xml:space="preserve"> SPECIAL ADMINISTRATIVE REGION</w:t>
      </w:r>
    </w:p>
    <w:p w:rsidR="0018615B" w:rsidRDefault="0018615B" w:rsidP="009330F4">
      <w:pPr>
        <w:tabs>
          <w:tab w:val="clear" w:pos="4320"/>
          <w:tab w:val="clear" w:pos="9072"/>
        </w:tabs>
        <w:adjustRightInd w:val="0"/>
        <w:spacing w:line="360" w:lineRule="auto"/>
        <w:jc w:val="center"/>
      </w:pPr>
      <w:r>
        <w:rPr>
          <w:rFonts w:hint="eastAsia"/>
        </w:rPr>
        <w:t>PERSON</w:t>
      </w:r>
      <w:r>
        <w:t>AL</w:t>
      </w:r>
      <w:r>
        <w:rPr>
          <w:rFonts w:hint="eastAsia"/>
        </w:rPr>
        <w:t xml:space="preserve"> INJURIES ACTION NO </w:t>
      </w:r>
      <w:r w:rsidR="003D2AFC">
        <w:rPr>
          <w:rFonts w:hint="eastAsia"/>
        </w:rPr>
        <w:t>2390</w:t>
      </w:r>
      <w:r>
        <w:rPr>
          <w:rFonts w:hint="eastAsia"/>
        </w:rPr>
        <w:t xml:space="preserve"> OF 20</w:t>
      </w:r>
      <w:r w:rsidR="009330F4">
        <w:rPr>
          <w:rFonts w:hint="eastAsia"/>
        </w:rPr>
        <w:t>1</w:t>
      </w:r>
      <w:r w:rsidR="003D2AFC">
        <w:rPr>
          <w:rFonts w:hint="eastAsia"/>
        </w:rPr>
        <w:t>1</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宋体"/>
          <w:caps w:val="0"/>
          <w:lang w:val="en-US"/>
        </w:rPr>
      </w:pPr>
      <w:r>
        <w:rPr>
          <w:rFonts w:eastAsia="宋体"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9330F4">
      <w:pPr>
        <w:tabs>
          <w:tab w:val="clear" w:pos="1440"/>
          <w:tab w:val="clear" w:pos="4320"/>
          <w:tab w:val="clear" w:pos="9072"/>
          <w:tab w:val="center" w:pos="4230"/>
          <w:tab w:val="right" w:pos="8280"/>
        </w:tabs>
        <w:spacing w:line="360" w:lineRule="auto"/>
      </w:pPr>
      <w:r>
        <w:rPr>
          <w:rFonts w:hint="eastAsia"/>
        </w:rPr>
        <w:tab/>
      </w:r>
      <w:r w:rsidR="005D269D">
        <w:rPr>
          <w:rFonts w:hint="eastAsia"/>
        </w:rPr>
        <w:t>LEE FU WAH</w:t>
      </w:r>
      <w:r>
        <w:rPr>
          <w:rFonts w:hint="eastAsia"/>
        </w:rPr>
        <w:tab/>
        <w:t>Plaintiff</w:t>
      </w:r>
    </w:p>
    <w:p w:rsidR="0018615B" w:rsidRDefault="0018615B" w:rsidP="009330F4">
      <w:pPr>
        <w:pStyle w:val="Heading3"/>
        <w:tabs>
          <w:tab w:val="clear" w:pos="1440"/>
          <w:tab w:val="clear" w:pos="4320"/>
          <w:tab w:val="clear" w:pos="9072"/>
          <w:tab w:val="center" w:pos="4230"/>
          <w:tab w:val="left" w:pos="7020"/>
        </w:tabs>
        <w:snapToGrid w:val="0"/>
        <w:spacing w:line="360" w:lineRule="auto"/>
        <w:rPr>
          <w:b w:val="0"/>
          <w:sz w:val="28"/>
        </w:rPr>
      </w:pPr>
      <w:proofErr w:type="gramStart"/>
      <w:r>
        <w:rPr>
          <w:rFonts w:hint="eastAsia"/>
          <w:b w:val="0"/>
          <w:sz w:val="28"/>
        </w:rPr>
        <w:t>and</w:t>
      </w:r>
      <w:proofErr w:type="gramEnd"/>
    </w:p>
    <w:p w:rsidR="0018615B" w:rsidRDefault="0018615B" w:rsidP="00AA362A">
      <w:pPr>
        <w:tabs>
          <w:tab w:val="clear" w:pos="1440"/>
          <w:tab w:val="clear" w:pos="4320"/>
          <w:tab w:val="clear" w:pos="9072"/>
          <w:tab w:val="center" w:pos="4230"/>
          <w:tab w:val="right" w:pos="8280"/>
        </w:tabs>
      </w:pPr>
      <w:r>
        <w:rPr>
          <w:rFonts w:hint="eastAsia"/>
        </w:rPr>
        <w:tab/>
      </w:r>
      <w:r w:rsidR="005D269D">
        <w:rPr>
          <w:rFonts w:hint="eastAsia"/>
        </w:rPr>
        <w:t>MIU YIU LING</w:t>
      </w:r>
      <w:r w:rsidR="00AA362A">
        <w:rPr>
          <w:rFonts w:hint="eastAsia"/>
        </w:rPr>
        <w:t xml:space="preserve"> </w:t>
      </w:r>
      <w:r>
        <w:tab/>
      </w:r>
      <w:r w:rsidR="005D269D">
        <w:rPr>
          <w:rFonts w:hint="eastAsia"/>
        </w:rPr>
        <w:t>2</w:t>
      </w:r>
      <w:r w:rsidR="005D269D" w:rsidRPr="005D269D">
        <w:rPr>
          <w:rFonts w:hint="eastAsia"/>
          <w:vertAlign w:val="superscript"/>
        </w:rPr>
        <w:t>nd</w:t>
      </w:r>
      <w:r w:rsidR="005D269D">
        <w:rPr>
          <w:rFonts w:hint="eastAsia"/>
        </w:rPr>
        <w:t xml:space="preserve"> </w:t>
      </w:r>
      <w:r>
        <w:t>Defendant</w:t>
      </w:r>
    </w:p>
    <w:p w:rsidR="00DC44C4" w:rsidRDefault="00DC44C4" w:rsidP="00DC44C4">
      <w:pPr>
        <w:tabs>
          <w:tab w:val="clear" w:pos="1440"/>
          <w:tab w:val="clear" w:pos="4320"/>
          <w:tab w:val="clear" w:pos="9072"/>
          <w:tab w:val="center" w:pos="4230"/>
          <w:tab w:val="right" w:pos="8280"/>
        </w:tabs>
      </w:pPr>
    </w:p>
    <w:p w:rsidR="00AA362A" w:rsidRDefault="005D269D" w:rsidP="00DC44C4">
      <w:pPr>
        <w:tabs>
          <w:tab w:val="clear" w:pos="1440"/>
          <w:tab w:val="clear" w:pos="4320"/>
          <w:tab w:val="clear" w:pos="9072"/>
          <w:tab w:val="center" w:pos="4230"/>
          <w:tab w:val="right" w:pos="8280"/>
        </w:tabs>
      </w:pPr>
      <w:r>
        <w:rPr>
          <w:rFonts w:hint="eastAsia"/>
        </w:rPr>
        <w:t xml:space="preserve">                FAVOURABLE ISSUE COMPANY LIMITED</w:t>
      </w:r>
      <w:r>
        <w:rPr>
          <w:rFonts w:hint="eastAsia"/>
        </w:rPr>
        <w:tab/>
        <w:t xml:space="preserve"> 3</w:t>
      </w:r>
      <w:r w:rsidRPr="005D269D">
        <w:rPr>
          <w:rFonts w:hint="eastAsia"/>
          <w:vertAlign w:val="superscript"/>
        </w:rPr>
        <w:t>rd</w:t>
      </w:r>
      <w:r>
        <w:rPr>
          <w:rFonts w:hint="eastAsia"/>
        </w:rPr>
        <w:t xml:space="preserve"> </w:t>
      </w:r>
      <w:r w:rsidR="00DC44C4">
        <w:rPr>
          <w:rFonts w:hint="eastAsia"/>
        </w:rPr>
        <w:t>Defendant</w:t>
      </w:r>
    </w:p>
    <w:p w:rsidR="009330F4" w:rsidRDefault="00DC44C4" w:rsidP="005D269D">
      <w:pPr>
        <w:tabs>
          <w:tab w:val="clear" w:pos="1440"/>
          <w:tab w:val="clear" w:pos="4320"/>
          <w:tab w:val="clear" w:pos="9072"/>
          <w:tab w:val="center" w:pos="4230"/>
          <w:tab w:val="right" w:pos="8280"/>
        </w:tabs>
        <w:rPr>
          <w:caps/>
        </w:rPr>
      </w:pPr>
      <w:r>
        <w:tab/>
      </w:r>
      <w:r w:rsidR="009330F4">
        <w:rPr>
          <w:rFonts w:hint="eastAsia"/>
          <w:cap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宋体"/>
          <w:lang w:val="en-US"/>
        </w:rPr>
      </w:pPr>
    </w:p>
    <w:p w:rsidR="0018615B" w:rsidRDefault="00AA362A" w:rsidP="009330F4">
      <w:pPr>
        <w:tabs>
          <w:tab w:val="clear" w:pos="4320"/>
          <w:tab w:val="clear" w:pos="9072"/>
        </w:tabs>
        <w:adjustRightInd w:val="0"/>
        <w:spacing w:line="360" w:lineRule="auto"/>
      </w:pPr>
      <w:r>
        <w:rPr>
          <w:rFonts w:hint="eastAsia"/>
        </w:rPr>
        <w:t>Before:</w:t>
      </w:r>
      <w:r w:rsidR="0018615B">
        <w:rPr>
          <w:rFonts w:hint="eastAsia"/>
        </w:rPr>
        <w:t xml:space="preserve">  </w:t>
      </w:r>
      <w:r w:rsidR="00DC44C4">
        <w:rPr>
          <w:rFonts w:hint="eastAsia"/>
        </w:rPr>
        <w:t xml:space="preserve">His </w:t>
      </w:r>
      <w:proofErr w:type="spellStart"/>
      <w:r w:rsidR="00DC44C4">
        <w:rPr>
          <w:rFonts w:hint="eastAsia"/>
        </w:rPr>
        <w:t>Honour</w:t>
      </w:r>
      <w:proofErr w:type="spellEnd"/>
      <w:r>
        <w:rPr>
          <w:rFonts w:hint="eastAsia"/>
        </w:rPr>
        <w:t xml:space="preserve"> J</w:t>
      </w:r>
      <w:r w:rsidR="0018615B">
        <w:t xml:space="preserve">udge </w:t>
      </w:r>
      <w:r w:rsidR="00DC44C4">
        <w:rPr>
          <w:rFonts w:hint="eastAsia"/>
        </w:rPr>
        <w:t>A</w:t>
      </w:r>
      <w:r w:rsidR="005D269D">
        <w:rPr>
          <w:rFonts w:hint="eastAsia"/>
        </w:rPr>
        <w:t>lex</w:t>
      </w:r>
      <w:r w:rsidR="00DC44C4">
        <w:rPr>
          <w:rFonts w:hint="eastAsia"/>
        </w:rPr>
        <w:t xml:space="preserve"> L</w:t>
      </w:r>
      <w:r w:rsidR="005D269D">
        <w:rPr>
          <w:rFonts w:hint="eastAsia"/>
        </w:rPr>
        <w:t>ee in Chambers</w:t>
      </w:r>
    </w:p>
    <w:p w:rsidR="0018615B" w:rsidRDefault="0018615B" w:rsidP="009330F4">
      <w:pPr>
        <w:tabs>
          <w:tab w:val="clear" w:pos="4320"/>
          <w:tab w:val="clear" w:pos="9072"/>
        </w:tabs>
        <w:adjustRightInd w:val="0"/>
        <w:spacing w:line="360" w:lineRule="auto"/>
        <w:rPr>
          <w:rFonts w:eastAsia="PMingLiU"/>
          <w:lang w:eastAsia="zh-TW"/>
        </w:rPr>
      </w:pPr>
      <w:r>
        <w:rPr>
          <w:rFonts w:hint="eastAsia"/>
        </w:rPr>
        <w:t xml:space="preserve">Date of </w:t>
      </w:r>
      <w:r>
        <w:t>H</w:t>
      </w:r>
      <w:r>
        <w:rPr>
          <w:rFonts w:hint="eastAsia"/>
        </w:rPr>
        <w:t>earing</w:t>
      </w:r>
      <w:r w:rsidR="00AA362A">
        <w:rPr>
          <w:rFonts w:hint="eastAsia"/>
        </w:rPr>
        <w:t xml:space="preserve">:  </w:t>
      </w:r>
      <w:r w:rsidR="005D269D">
        <w:rPr>
          <w:rFonts w:hint="eastAsia"/>
        </w:rPr>
        <w:t>17</w:t>
      </w:r>
      <w:r w:rsidR="00AA362A">
        <w:rPr>
          <w:rFonts w:hint="eastAsia"/>
        </w:rPr>
        <w:t xml:space="preserve"> </w:t>
      </w:r>
      <w:r w:rsidR="005D269D">
        <w:rPr>
          <w:rFonts w:hint="eastAsia"/>
        </w:rPr>
        <w:t>October</w:t>
      </w:r>
      <w:r w:rsidR="00AA362A">
        <w:rPr>
          <w:rFonts w:hint="eastAsia"/>
        </w:rPr>
        <w:t xml:space="preserve"> 2013</w:t>
      </w:r>
    </w:p>
    <w:p w:rsidR="00FD3810" w:rsidRPr="00DC44C4" w:rsidRDefault="00FD3810" w:rsidP="009330F4">
      <w:pPr>
        <w:tabs>
          <w:tab w:val="clear" w:pos="4320"/>
          <w:tab w:val="clear" w:pos="9072"/>
        </w:tabs>
        <w:adjustRightInd w:val="0"/>
        <w:spacing w:line="360" w:lineRule="auto"/>
      </w:pPr>
      <w:r>
        <w:rPr>
          <w:rFonts w:eastAsia="PMingLiU" w:hint="eastAsia"/>
          <w:lang w:eastAsia="zh-TW"/>
        </w:rPr>
        <w:t>Date of</w:t>
      </w:r>
      <w:r w:rsidR="00DC44C4">
        <w:rPr>
          <w:rFonts w:hint="eastAsia"/>
        </w:rPr>
        <w:t xml:space="preserve"> </w:t>
      </w:r>
      <w:r w:rsidR="00457FEE">
        <w:rPr>
          <w:rFonts w:hint="eastAsia"/>
        </w:rPr>
        <w:t xml:space="preserve">Handing down </w:t>
      </w:r>
      <w:r w:rsidR="00B6707F">
        <w:rPr>
          <w:rFonts w:hint="eastAsia"/>
        </w:rPr>
        <w:t xml:space="preserve">reasons </w:t>
      </w:r>
      <w:r w:rsidR="001112B7">
        <w:rPr>
          <w:rFonts w:hint="eastAsia"/>
        </w:rPr>
        <w:t>for</w:t>
      </w:r>
      <w:r w:rsidR="00B6707F">
        <w:rPr>
          <w:rFonts w:hint="eastAsia"/>
        </w:rPr>
        <w:t xml:space="preserve"> </w:t>
      </w:r>
      <w:r w:rsidR="00457FEE">
        <w:rPr>
          <w:rFonts w:hint="eastAsia"/>
        </w:rPr>
        <w:t>decision: 24 October 2013</w:t>
      </w:r>
    </w:p>
    <w:p w:rsidR="00410F83" w:rsidRDefault="00410F83" w:rsidP="009330F4">
      <w:pPr>
        <w:tabs>
          <w:tab w:val="clear" w:pos="4320"/>
          <w:tab w:val="clear" w:pos="9072"/>
        </w:tabs>
        <w:adjustRightInd w:val="0"/>
        <w:spacing w:line="360" w:lineRule="auto"/>
      </w:pPr>
    </w:p>
    <w:p w:rsidR="006908F8" w:rsidRDefault="006908F8" w:rsidP="006908F8">
      <w:pPr>
        <w:tabs>
          <w:tab w:val="left" w:pos="3240"/>
        </w:tabs>
        <w:spacing w:line="360" w:lineRule="auto"/>
        <w:jc w:val="center"/>
        <w:rPr>
          <w:bCs/>
          <w:lang w:val="en-GB"/>
        </w:rPr>
      </w:pPr>
      <w:r>
        <w:rPr>
          <w:bCs/>
          <w:lang w:val="en-GB"/>
        </w:rPr>
        <w:t>--------------------------</w:t>
      </w:r>
    </w:p>
    <w:p w:rsidR="006908F8" w:rsidRPr="00385666" w:rsidRDefault="006908F8" w:rsidP="006908F8">
      <w:pPr>
        <w:spacing w:line="360" w:lineRule="auto"/>
        <w:jc w:val="center"/>
        <w:rPr>
          <w:szCs w:val="28"/>
        </w:rPr>
      </w:pPr>
      <w:r>
        <w:rPr>
          <w:rFonts w:hint="eastAsia"/>
          <w:szCs w:val="28"/>
        </w:rPr>
        <w:t>DECISION</w:t>
      </w:r>
    </w:p>
    <w:p w:rsidR="006908F8" w:rsidRPr="001E6F2D" w:rsidRDefault="006908F8" w:rsidP="006908F8">
      <w:pPr>
        <w:spacing w:line="360" w:lineRule="auto"/>
        <w:jc w:val="center"/>
        <w:rPr>
          <w:bCs/>
          <w:lang w:val="en-GB"/>
        </w:rPr>
      </w:pPr>
      <w:r>
        <w:rPr>
          <w:rFonts w:eastAsia="PMingLiU"/>
          <w:szCs w:val="28"/>
          <w:lang w:eastAsia="zh-TW"/>
        </w:rPr>
        <w:t>--------------------------</w:t>
      </w:r>
    </w:p>
    <w:p w:rsidR="00733F90" w:rsidRDefault="00733F90" w:rsidP="00B0106A">
      <w:pPr>
        <w:tabs>
          <w:tab w:val="clear" w:pos="4320"/>
          <w:tab w:val="clear" w:pos="9072"/>
        </w:tabs>
        <w:spacing w:line="360" w:lineRule="auto"/>
        <w:jc w:val="both"/>
        <w:rPr>
          <w:u w:val="single"/>
        </w:rPr>
      </w:pPr>
    </w:p>
    <w:p w:rsidR="003D2AFC" w:rsidRPr="00015469" w:rsidRDefault="003D2AFC" w:rsidP="005D269D">
      <w:pPr>
        <w:spacing w:line="360" w:lineRule="auto"/>
        <w:rPr>
          <w:i/>
        </w:rPr>
      </w:pPr>
      <w:r>
        <w:rPr>
          <w:rFonts w:hint="eastAsia"/>
          <w:i/>
        </w:rPr>
        <w:t>Introduction</w:t>
      </w:r>
    </w:p>
    <w:p w:rsidR="003D2AFC" w:rsidRDefault="003D2AFC" w:rsidP="005D269D">
      <w:pPr>
        <w:spacing w:line="360" w:lineRule="auto"/>
        <w:jc w:val="both"/>
      </w:pPr>
    </w:p>
    <w:p w:rsidR="0003766E" w:rsidRDefault="003D2AFC" w:rsidP="0003766E">
      <w:pPr>
        <w:numPr>
          <w:ilvl w:val="0"/>
          <w:numId w:val="17"/>
        </w:numPr>
        <w:tabs>
          <w:tab w:val="clear" w:pos="4320"/>
          <w:tab w:val="clear" w:pos="9072"/>
        </w:tabs>
        <w:spacing w:line="360" w:lineRule="auto"/>
        <w:ind w:left="0" w:firstLine="0"/>
        <w:jc w:val="both"/>
      </w:pPr>
      <w:r>
        <w:rPr>
          <w:rFonts w:hint="eastAsia"/>
        </w:rPr>
        <w:t xml:space="preserve">On 17 October 2013, I dismissed the application of D2 and D3 to vary the costs order nisi that the </w:t>
      </w:r>
      <w:r>
        <w:t>plaintiff’</w:t>
      </w:r>
      <w:r>
        <w:rPr>
          <w:rFonts w:hint="eastAsia"/>
        </w:rPr>
        <w:t xml:space="preserve">s costs be paid by D2 and D3, to be taxed if not agreed, with certificate for counsel.  I said that reasons would be handed down.  This I now do. </w:t>
      </w:r>
    </w:p>
    <w:p w:rsidR="003D2AFC" w:rsidRDefault="003D2AFC" w:rsidP="0003766E">
      <w:pPr>
        <w:numPr>
          <w:ilvl w:val="0"/>
          <w:numId w:val="17"/>
        </w:numPr>
        <w:tabs>
          <w:tab w:val="clear" w:pos="4320"/>
          <w:tab w:val="clear" w:pos="9072"/>
        </w:tabs>
        <w:spacing w:line="360" w:lineRule="auto"/>
        <w:ind w:left="0" w:firstLine="0"/>
        <w:jc w:val="both"/>
      </w:pPr>
      <w:r>
        <w:rPr>
          <w:rFonts w:hint="eastAsia"/>
        </w:rPr>
        <w:lastRenderedPageBreak/>
        <w:t xml:space="preserve">The case was about the </w:t>
      </w:r>
      <w:r>
        <w:t>plaintiff’</w:t>
      </w:r>
      <w:r>
        <w:rPr>
          <w:rFonts w:hint="eastAsia"/>
        </w:rPr>
        <w:t xml:space="preserve">s claim for </w:t>
      </w:r>
      <w:r w:rsidR="00106DA1">
        <w:rPr>
          <w:rFonts w:eastAsia="PMingLiU" w:hint="eastAsia"/>
          <w:lang w:eastAsia="zh-TW"/>
        </w:rPr>
        <w:t xml:space="preserve">damages for </w:t>
      </w:r>
      <w:r>
        <w:rPr>
          <w:rFonts w:hint="eastAsia"/>
        </w:rPr>
        <w:t>personal injuries against D1, D2 and D3.  The facts and evidence of the case were as stated in my judgment dated 25 June 2013 (</w:t>
      </w:r>
      <w:r>
        <w:t>“</w:t>
      </w:r>
      <w:r>
        <w:rPr>
          <w:rFonts w:hint="eastAsia"/>
        </w:rPr>
        <w:t>the Judgment</w:t>
      </w:r>
      <w:r>
        <w:t>”</w:t>
      </w:r>
      <w:r>
        <w:rPr>
          <w:rFonts w:hint="eastAsia"/>
        </w:rPr>
        <w:t xml:space="preserve">) which I am not going to repeat.  In the event, I dismissed the </w:t>
      </w:r>
      <w:r>
        <w:t>plaintiff’</w:t>
      </w:r>
      <w:r>
        <w:rPr>
          <w:rFonts w:hint="eastAsia"/>
        </w:rPr>
        <w:t xml:space="preserve">s claim against D1, but allowed his claim against D2 and D3 and awarded him damages in the total amount of $42,250 comprising $35,000 for PSLA, $5,250 for sick leave, $1,000 for travelling expenses and $1,000 for medical expenses.  I also made a costs order nisi in the </w:t>
      </w:r>
      <w:r>
        <w:t>plaintiff’</w:t>
      </w:r>
      <w:r>
        <w:rPr>
          <w:rFonts w:hint="eastAsia"/>
        </w:rPr>
        <w:t xml:space="preserve">s favour as aforesaid.   </w:t>
      </w:r>
    </w:p>
    <w:p w:rsidR="0003766E" w:rsidRDefault="0003766E" w:rsidP="0003766E">
      <w:pPr>
        <w:pStyle w:val="ListParagraph"/>
        <w:spacing w:line="360" w:lineRule="auto"/>
      </w:pPr>
    </w:p>
    <w:p w:rsidR="003D2AFC" w:rsidRDefault="0003766E" w:rsidP="0003766E">
      <w:pPr>
        <w:numPr>
          <w:ilvl w:val="0"/>
          <w:numId w:val="17"/>
        </w:numPr>
        <w:tabs>
          <w:tab w:val="clear" w:pos="4320"/>
          <w:tab w:val="clear" w:pos="9072"/>
        </w:tabs>
        <w:spacing w:line="360" w:lineRule="auto"/>
        <w:ind w:left="0" w:firstLine="0"/>
        <w:jc w:val="both"/>
      </w:pPr>
      <w:r>
        <w:rPr>
          <w:rFonts w:hint="eastAsia"/>
        </w:rPr>
        <w:t xml:space="preserve">By a summons dated and filed on 4 September 2013, D2 and D3 asked that the costs order nisi be varied such that the </w:t>
      </w:r>
      <w:r>
        <w:t>plaintiff’</w:t>
      </w:r>
      <w:r>
        <w:rPr>
          <w:rFonts w:hint="eastAsia"/>
        </w:rPr>
        <w:t xml:space="preserve">s costs </w:t>
      </w:r>
      <w:proofErr w:type="gramStart"/>
      <w:r>
        <w:rPr>
          <w:rFonts w:hint="eastAsia"/>
        </w:rPr>
        <w:t>be</w:t>
      </w:r>
      <w:proofErr w:type="gramEnd"/>
      <w:r>
        <w:rPr>
          <w:rFonts w:hint="eastAsia"/>
        </w:rPr>
        <w:t xml:space="preserve"> paid by D2 and D3 according to the Small Claim Tribunal scale with no certificate for counsel. </w:t>
      </w:r>
      <w:r w:rsidR="003D2AFC">
        <w:rPr>
          <w:rFonts w:hint="eastAsia"/>
        </w:rPr>
        <w:t xml:space="preserve"> </w:t>
      </w:r>
    </w:p>
    <w:p w:rsidR="0003766E" w:rsidRDefault="0003766E" w:rsidP="0003766E">
      <w:pPr>
        <w:pStyle w:val="ListParagraph"/>
        <w:spacing w:line="360" w:lineRule="auto"/>
      </w:pPr>
    </w:p>
    <w:p w:rsidR="0003766E" w:rsidRPr="00C1232E" w:rsidRDefault="0003766E" w:rsidP="0003766E">
      <w:pPr>
        <w:tabs>
          <w:tab w:val="clear" w:pos="4320"/>
          <w:tab w:val="clear" w:pos="9072"/>
        </w:tabs>
        <w:spacing w:line="360" w:lineRule="auto"/>
        <w:jc w:val="both"/>
        <w:rPr>
          <w:i/>
        </w:rPr>
      </w:pPr>
      <w:r w:rsidRPr="00C1232E">
        <w:rPr>
          <w:rFonts w:hint="eastAsia"/>
          <w:i/>
        </w:rPr>
        <w:t>The application out of time</w:t>
      </w:r>
    </w:p>
    <w:p w:rsidR="0003766E" w:rsidRDefault="0003766E" w:rsidP="0003766E">
      <w:pPr>
        <w:tabs>
          <w:tab w:val="clear" w:pos="4320"/>
          <w:tab w:val="clear" w:pos="9072"/>
        </w:tabs>
        <w:spacing w:line="360" w:lineRule="auto"/>
        <w:jc w:val="both"/>
      </w:pPr>
    </w:p>
    <w:p w:rsidR="003D2AFC" w:rsidRDefault="003D2AFC" w:rsidP="0003766E">
      <w:pPr>
        <w:numPr>
          <w:ilvl w:val="0"/>
          <w:numId w:val="17"/>
        </w:numPr>
        <w:tabs>
          <w:tab w:val="clear" w:pos="4320"/>
          <w:tab w:val="clear" w:pos="9072"/>
        </w:tabs>
        <w:spacing w:line="360" w:lineRule="auto"/>
        <w:ind w:left="0" w:firstLine="0"/>
        <w:jc w:val="both"/>
      </w:pPr>
      <w:r>
        <w:rPr>
          <w:rFonts w:hint="eastAsia"/>
        </w:rPr>
        <w:t xml:space="preserve">According to O 42, r </w:t>
      </w:r>
      <w:proofErr w:type="gramStart"/>
      <w:r>
        <w:rPr>
          <w:rFonts w:hint="eastAsia"/>
        </w:rPr>
        <w:t>5B(</w:t>
      </w:r>
      <w:proofErr w:type="gramEnd"/>
      <w:r>
        <w:rPr>
          <w:rFonts w:hint="eastAsia"/>
        </w:rPr>
        <w:t>3) of the Rules of the District Court (</w:t>
      </w:r>
      <w:r>
        <w:t>“</w:t>
      </w:r>
      <w:r>
        <w:rPr>
          <w:rFonts w:hint="eastAsia"/>
        </w:rPr>
        <w:t>RDC</w:t>
      </w:r>
      <w:r>
        <w:t>”</w:t>
      </w:r>
      <w:r>
        <w:rPr>
          <w:rFonts w:hint="eastAsia"/>
        </w:rPr>
        <w:t xml:space="preserve">), </w:t>
      </w:r>
      <w:r w:rsidR="00106DA1">
        <w:rPr>
          <w:rFonts w:eastAsia="PMingLiU" w:hint="eastAsia"/>
          <w:lang w:eastAsia="zh-TW"/>
        </w:rPr>
        <w:t>an</w:t>
      </w:r>
      <w:r>
        <w:rPr>
          <w:rFonts w:hint="eastAsia"/>
        </w:rPr>
        <w:t xml:space="preserve"> application for variation of </w:t>
      </w:r>
      <w:r w:rsidR="00CD5D13">
        <w:rPr>
          <w:rFonts w:eastAsia="PMingLiU" w:hint="eastAsia"/>
          <w:lang w:eastAsia="zh-TW"/>
        </w:rPr>
        <w:t xml:space="preserve">an order </w:t>
      </w:r>
      <w:r>
        <w:rPr>
          <w:rFonts w:hint="eastAsia"/>
        </w:rPr>
        <w:t xml:space="preserve">nisi </w:t>
      </w:r>
      <w:r w:rsidR="00CD5D13">
        <w:rPr>
          <w:rFonts w:eastAsia="PMingLiU" w:hint="eastAsia"/>
          <w:lang w:eastAsia="zh-TW"/>
        </w:rPr>
        <w:t xml:space="preserve">as to costs </w:t>
      </w:r>
      <w:r>
        <w:rPr>
          <w:rFonts w:hint="eastAsia"/>
        </w:rPr>
        <w:t xml:space="preserve">should </w:t>
      </w:r>
      <w:r w:rsidR="00106DA1">
        <w:rPr>
          <w:rFonts w:eastAsia="PMingLiU" w:hint="eastAsia"/>
          <w:lang w:eastAsia="zh-TW"/>
        </w:rPr>
        <w:t xml:space="preserve">be </w:t>
      </w:r>
      <w:r>
        <w:rPr>
          <w:rFonts w:hint="eastAsia"/>
        </w:rPr>
        <w:t xml:space="preserve">made within 14 days after the date of judgment.  Therefore, </w:t>
      </w:r>
      <w:r w:rsidR="00CD5D13">
        <w:rPr>
          <w:rFonts w:eastAsia="PMingLiU" w:hint="eastAsia"/>
          <w:lang w:eastAsia="zh-TW"/>
        </w:rPr>
        <w:t xml:space="preserve">in the present case </w:t>
      </w:r>
      <w:r>
        <w:t>the</w:t>
      </w:r>
      <w:r>
        <w:rPr>
          <w:rFonts w:hint="eastAsia"/>
        </w:rPr>
        <w:t xml:space="preserve"> time expired on 9 July 2013.  On the face of it, there was an almost two months</w:t>
      </w:r>
      <w:r>
        <w:t>’</w:t>
      </w:r>
      <w:r>
        <w:rPr>
          <w:rFonts w:hint="eastAsia"/>
        </w:rPr>
        <w:t xml:space="preserve"> delay in the present application.</w:t>
      </w:r>
    </w:p>
    <w:p w:rsidR="003D2AFC" w:rsidRDefault="003D2AFC" w:rsidP="0003766E">
      <w:pPr>
        <w:tabs>
          <w:tab w:val="clear" w:pos="4320"/>
          <w:tab w:val="clear" w:pos="9072"/>
        </w:tabs>
        <w:spacing w:line="360" w:lineRule="auto"/>
        <w:jc w:val="both"/>
      </w:pPr>
    </w:p>
    <w:p w:rsidR="003D2AFC" w:rsidRDefault="003D2AFC" w:rsidP="0003766E">
      <w:pPr>
        <w:numPr>
          <w:ilvl w:val="0"/>
          <w:numId w:val="17"/>
        </w:numPr>
        <w:tabs>
          <w:tab w:val="clear" w:pos="4320"/>
          <w:tab w:val="clear" w:pos="9072"/>
        </w:tabs>
        <w:spacing w:line="360" w:lineRule="auto"/>
        <w:ind w:left="0" w:firstLine="0"/>
        <w:jc w:val="both"/>
      </w:pPr>
      <w:r>
        <w:rPr>
          <w:rFonts w:hint="eastAsia"/>
        </w:rPr>
        <w:t xml:space="preserve">What happened was that on 9 July 2013, the solicitors acting for D2 and D3 wrote to court </w:t>
      </w:r>
      <w:r>
        <w:t>saying</w:t>
      </w:r>
      <w:r>
        <w:rPr>
          <w:rFonts w:hint="eastAsia"/>
        </w:rPr>
        <w:t xml:space="preserve"> that they had instruction to apply for review of the cost order nisi.  The letter went on to state the grounds for variation and concluded by seeking the court</w:t>
      </w:r>
      <w:r>
        <w:t>’</w:t>
      </w:r>
      <w:r>
        <w:rPr>
          <w:rFonts w:hint="eastAsia"/>
        </w:rPr>
        <w:t xml:space="preserve">s </w:t>
      </w:r>
      <w:r>
        <w:t>“</w:t>
      </w:r>
      <w:r>
        <w:rPr>
          <w:rFonts w:hint="eastAsia"/>
        </w:rPr>
        <w:t>further direction</w:t>
      </w:r>
      <w:r>
        <w:t>”</w:t>
      </w:r>
      <w:r>
        <w:rPr>
          <w:rFonts w:hint="eastAsia"/>
        </w:rPr>
        <w:t xml:space="preserve">.  It is pertinent to note that the letter had not been copied to the </w:t>
      </w:r>
      <w:r>
        <w:t>plaintiff</w:t>
      </w:r>
      <w:r>
        <w:rPr>
          <w:rFonts w:hint="eastAsia"/>
        </w:rPr>
        <w:t xml:space="preserve"> or his </w:t>
      </w:r>
      <w:r>
        <w:rPr>
          <w:rFonts w:hint="eastAsia"/>
        </w:rPr>
        <w:lastRenderedPageBreak/>
        <w:t xml:space="preserve">legal representatives.  On the same day, the court replied by saying that </w:t>
      </w:r>
      <w:r>
        <w:t>“</w:t>
      </w:r>
      <w:r>
        <w:rPr>
          <w:rFonts w:hint="eastAsia"/>
        </w:rPr>
        <w:t>if you wish to apply for variation, then a formal application by way of summons is necessary.</w:t>
      </w:r>
      <w:r>
        <w:t>”</w:t>
      </w:r>
      <w:r>
        <w:rPr>
          <w:rFonts w:hint="eastAsia"/>
        </w:rPr>
        <w:t xml:space="preserve">  On 23 July 2013, a memorandum was filed indicating that the </w:t>
      </w:r>
      <w:r>
        <w:t>plaintiff</w:t>
      </w:r>
      <w:r>
        <w:rPr>
          <w:rFonts w:hint="eastAsia"/>
        </w:rPr>
        <w:t xml:space="preserve"> was applying for legal aid to prosecute an appeal and as a result the proceedings were </w:t>
      </w:r>
      <w:r w:rsidR="00CD5D13">
        <w:rPr>
          <w:rFonts w:eastAsia="PMingLiU"/>
          <w:lang w:eastAsia="zh-TW"/>
        </w:rPr>
        <w:t>“</w:t>
      </w:r>
      <w:r>
        <w:rPr>
          <w:rFonts w:hint="eastAsia"/>
        </w:rPr>
        <w:t>automatically stayed</w:t>
      </w:r>
      <w:r w:rsidR="00CD5D13">
        <w:rPr>
          <w:rFonts w:eastAsia="PMingLiU"/>
          <w:lang w:eastAsia="zh-TW"/>
        </w:rPr>
        <w:t>”</w:t>
      </w:r>
      <w:r>
        <w:rPr>
          <w:rFonts w:hint="eastAsia"/>
        </w:rPr>
        <w:t xml:space="preserve"> for a period of 42 days until 3 September 2013.</w:t>
      </w:r>
      <w:r>
        <w:rPr>
          <w:rStyle w:val="FootnoteReference"/>
        </w:rPr>
        <w:footnoteReference w:id="1"/>
      </w:r>
      <w:r>
        <w:rPr>
          <w:rFonts w:hint="eastAsia"/>
        </w:rPr>
        <w:t xml:space="preserve">  On 4 September 2013, </w:t>
      </w:r>
      <w:r w:rsidR="00106DA1">
        <w:rPr>
          <w:rFonts w:eastAsia="PMingLiU" w:hint="eastAsia"/>
          <w:lang w:eastAsia="zh-TW"/>
        </w:rPr>
        <w:t xml:space="preserve">the </w:t>
      </w:r>
      <w:r>
        <w:rPr>
          <w:rFonts w:hint="eastAsia"/>
        </w:rPr>
        <w:t xml:space="preserve">solicitors acting for D2 and D3 filed </w:t>
      </w:r>
      <w:r>
        <w:t>the</w:t>
      </w:r>
      <w:r>
        <w:rPr>
          <w:rFonts w:hint="eastAsia"/>
        </w:rPr>
        <w:t xml:space="preserve"> application for variation.  On 16</w:t>
      </w:r>
      <w:r w:rsidR="007F1A81">
        <w:t> </w:t>
      </w:r>
      <w:r>
        <w:rPr>
          <w:rFonts w:hint="eastAsia"/>
        </w:rPr>
        <w:t xml:space="preserve">September 2013, all parties were </w:t>
      </w:r>
      <w:r>
        <w:t>informed</w:t>
      </w:r>
      <w:r>
        <w:rPr>
          <w:rFonts w:hint="eastAsia"/>
        </w:rPr>
        <w:t xml:space="preserve"> that the </w:t>
      </w:r>
      <w:r>
        <w:t>plaintiff’</w:t>
      </w:r>
      <w:r>
        <w:rPr>
          <w:rFonts w:hint="eastAsia"/>
        </w:rPr>
        <w:t xml:space="preserve">s application for legal aid was refused. </w:t>
      </w:r>
    </w:p>
    <w:p w:rsidR="003D2AFC" w:rsidRDefault="003D2AFC" w:rsidP="0003766E">
      <w:pPr>
        <w:tabs>
          <w:tab w:val="clear" w:pos="4320"/>
          <w:tab w:val="clear" w:pos="9072"/>
        </w:tabs>
        <w:spacing w:line="360" w:lineRule="auto"/>
        <w:jc w:val="both"/>
      </w:pPr>
    </w:p>
    <w:p w:rsidR="003D2AFC" w:rsidRDefault="003D2AFC" w:rsidP="00F33DED">
      <w:pPr>
        <w:numPr>
          <w:ilvl w:val="0"/>
          <w:numId w:val="17"/>
        </w:numPr>
        <w:tabs>
          <w:tab w:val="clear" w:pos="4320"/>
          <w:tab w:val="clear" w:pos="9072"/>
        </w:tabs>
        <w:spacing w:line="360" w:lineRule="auto"/>
        <w:ind w:left="0" w:firstLine="0"/>
        <w:jc w:val="both"/>
      </w:pPr>
      <w:r>
        <w:rPr>
          <w:rFonts w:hint="eastAsia"/>
        </w:rPr>
        <w:t xml:space="preserve">The first thing for the court to decide in the present application is whether it is made out of time.  In my ruling it is and </w:t>
      </w:r>
      <w:r w:rsidR="00CD5D13">
        <w:rPr>
          <w:rFonts w:eastAsia="PMingLiU" w:hint="eastAsia"/>
          <w:lang w:eastAsia="zh-TW"/>
        </w:rPr>
        <w:t>my</w:t>
      </w:r>
      <w:r>
        <w:rPr>
          <w:rFonts w:hint="eastAsia"/>
        </w:rPr>
        <w:t xml:space="preserve"> reasons are as follows:</w:t>
      </w:r>
      <w:r w:rsidR="007F1A81">
        <w:rPr>
          <w:rFonts w:hint="eastAsia"/>
        </w:rPr>
        <w:t>-</w:t>
      </w:r>
      <w:r>
        <w:rPr>
          <w:rFonts w:hint="eastAsia"/>
        </w:rPr>
        <w:t xml:space="preserve"> </w:t>
      </w:r>
    </w:p>
    <w:p w:rsidR="003D2AFC" w:rsidRDefault="003D2AFC" w:rsidP="0003766E">
      <w:pPr>
        <w:tabs>
          <w:tab w:val="clear" w:pos="4320"/>
          <w:tab w:val="clear" w:pos="9072"/>
        </w:tabs>
        <w:spacing w:line="360" w:lineRule="auto"/>
        <w:jc w:val="both"/>
      </w:pPr>
    </w:p>
    <w:p w:rsidR="003D2AFC" w:rsidRDefault="003D2AFC" w:rsidP="0003766E">
      <w:pPr>
        <w:pStyle w:val="ListParagraph"/>
        <w:numPr>
          <w:ilvl w:val="0"/>
          <w:numId w:val="15"/>
        </w:numPr>
        <w:tabs>
          <w:tab w:val="left" w:pos="2160"/>
        </w:tabs>
        <w:spacing w:line="360" w:lineRule="auto"/>
        <w:ind w:left="2160" w:hanging="720"/>
      </w:pPr>
      <w:proofErr w:type="gramStart"/>
      <w:r>
        <w:rPr>
          <w:rFonts w:hint="eastAsia"/>
        </w:rPr>
        <w:t>an</w:t>
      </w:r>
      <w:proofErr w:type="gramEnd"/>
      <w:r>
        <w:rPr>
          <w:rFonts w:hint="eastAsia"/>
        </w:rPr>
        <w:t xml:space="preserve"> </w:t>
      </w:r>
      <w:r>
        <w:t>application</w:t>
      </w:r>
      <w:r>
        <w:rPr>
          <w:rFonts w:hint="eastAsia"/>
        </w:rPr>
        <w:t xml:space="preserve"> to vary an order nisi as to costs </w:t>
      </w:r>
      <w:r w:rsidR="00106DA1">
        <w:rPr>
          <w:rFonts w:eastAsia="PMingLiU" w:hint="eastAsia"/>
          <w:lang w:eastAsia="zh-TW"/>
        </w:rPr>
        <w:t xml:space="preserve">should </w:t>
      </w:r>
      <w:r>
        <w:rPr>
          <w:rFonts w:hint="eastAsia"/>
        </w:rPr>
        <w:t xml:space="preserve">be made by summons: see </w:t>
      </w:r>
      <w:r w:rsidR="00106DA1" w:rsidRPr="00106DA1">
        <w:rPr>
          <w:rFonts w:eastAsia="PMingLiU" w:hint="eastAsia"/>
          <w:i/>
          <w:lang w:eastAsia="zh-TW"/>
        </w:rPr>
        <w:t>PCCW-HKT Telephone Ltd v Telecom</w:t>
      </w:r>
      <w:r w:rsidR="00106DA1">
        <w:rPr>
          <w:rFonts w:eastAsia="PMingLiU" w:hint="eastAsia"/>
          <w:i/>
          <w:lang w:eastAsia="zh-TW"/>
        </w:rPr>
        <w:t>m</w:t>
      </w:r>
      <w:r w:rsidR="00106DA1" w:rsidRPr="00106DA1">
        <w:rPr>
          <w:rFonts w:eastAsia="PMingLiU" w:hint="eastAsia"/>
          <w:i/>
          <w:lang w:eastAsia="zh-TW"/>
        </w:rPr>
        <w:t>unications Authority</w:t>
      </w:r>
      <w:r w:rsidR="00106DA1">
        <w:rPr>
          <w:rFonts w:eastAsia="PMingLiU" w:hint="eastAsia"/>
          <w:lang w:eastAsia="zh-TW"/>
        </w:rPr>
        <w:t xml:space="preserve">, CACV 274/2003 (dated 7 September 2004); and also </w:t>
      </w:r>
      <w:r w:rsidRPr="00B734DD">
        <w:rPr>
          <w:rFonts w:hint="eastAsia"/>
          <w:i/>
        </w:rPr>
        <w:t>Hong Kong Civil Procedure 2013</w:t>
      </w:r>
      <w:r>
        <w:rPr>
          <w:rFonts w:hint="eastAsia"/>
        </w:rPr>
        <w:t xml:space="preserve">, </w:t>
      </w:r>
      <w:proofErr w:type="spellStart"/>
      <w:r>
        <w:rPr>
          <w:rFonts w:hint="eastAsia"/>
        </w:rPr>
        <w:t>para</w:t>
      </w:r>
      <w:proofErr w:type="spellEnd"/>
      <w:r>
        <w:rPr>
          <w:rFonts w:hint="eastAsia"/>
        </w:rPr>
        <w:t xml:space="preserve"> 32/6/9A.</w:t>
      </w:r>
      <w:r w:rsidR="00106DA1">
        <w:rPr>
          <w:rFonts w:hint="eastAsia"/>
        </w:rPr>
        <w:t xml:space="preserve">  The letter dated 9 July 2013 </w:t>
      </w:r>
      <w:r w:rsidR="00106DA1">
        <w:rPr>
          <w:rFonts w:eastAsia="PMingLiU" w:hint="eastAsia"/>
          <w:lang w:eastAsia="zh-TW"/>
        </w:rPr>
        <w:t>sh</w:t>
      </w:r>
      <w:r>
        <w:rPr>
          <w:rFonts w:hint="eastAsia"/>
        </w:rPr>
        <w:t xml:space="preserve">ould not be regarded as </w:t>
      </w:r>
      <w:r w:rsidR="00CD5D13">
        <w:rPr>
          <w:rFonts w:eastAsia="PMingLiU" w:hint="eastAsia"/>
          <w:lang w:eastAsia="zh-TW"/>
        </w:rPr>
        <w:t>a proper</w:t>
      </w:r>
      <w:r>
        <w:rPr>
          <w:rFonts w:hint="eastAsia"/>
        </w:rPr>
        <w:t xml:space="preserve"> </w:t>
      </w:r>
      <w:r>
        <w:t>application</w:t>
      </w:r>
      <w:r w:rsidR="00106DA1">
        <w:rPr>
          <w:rFonts w:eastAsia="PMingLiU" w:hint="eastAsia"/>
          <w:lang w:eastAsia="zh-TW"/>
        </w:rPr>
        <w:t>, as it was informal and it</w:t>
      </w:r>
      <w:r>
        <w:rPr>
          <w:rFonts w:hint="eastAsia"/>
        </w:rPr>
        <w:t xml:space="preserve"> </w:t>
      </w:r>
      <w:r w:rsidR="00CD5D13">
        <w:rPr>
          <w:rFonts w:eastAsia="PMingLiU" w:hint="eastAsia"/>
          <w:lang w:eastAsia="zh-TW"/>
        </w:rPr>
        <w:t>was no</w:t>
      </w:r>
      <w:r>
        <w:rPr>
          <w:rFonts w:hint="eastAsia"/>
        </w:rPr>
        <w:t xml:space="preserve">t copied to the </w:t>
      </w:r>
      <w:r>
        <w:t>plaintiff</w:t>
      </w:r>
      <w:r>
        <w:rPr>
          <w:rFonts w:hint="eastAsia"/>
        </w:rPr>
        <w:t xml:space="preserve">.  The solicitors should know that the costs order nisi could not be varied unilaterally by D2 and D3 without involving the </w:t>
      </w:r>
      <w:r>
        <w:t>plaintiff</w:t>
      </w:r>
      <w:r>
        <w:rPr>
          <w:rFonts w:hint="eastAsia"/>
        </w:rPr>
        <w:t xml:space="preserve">. </w:t>
      </w:r>
      <w:r w:rsidR="007F1A81">
        <w:rPr>
          <w:rFonts w:hint="eastAsia"/>
        </w:rPr>
        <w:t xml:space="preserve"> </w:t>
      </w:r>
      <w:r w:rsidR="00CD5D13">
        <w:rPr>
          <w:rFonts w:eastAsia="PMingLiU" w:hint="eastAsia"/>
          <w:lang w:eastAsia="zh-TW"/>
        </w:rPr>
        <w:t>Moreover, w</w:t>
      </w:r>
      <w:r>
        <w:rPr>
          <w:rFonts w:hint="eastAsia"/>
        </w:rPr>
        <w:t>hat the letter purported to do was to seek the court</w:t>
      </w:r>
      <w:r>
        <w:t>’</w:t>
      </w:r>
      <w:r>
        <w:rPr>
          <w:rFonts w:hint="eastAsia"/>
        </w:rPr>
        <w:t xml:space="preserve">s direction; and  </w:t>
      </w:r>
    </w:p>
    <w:p w:rsidR="003D2AFC" w:rsidRDefault="003D2AFC" w:rsidP="0003766E">
      <w:pPr>
        <w:pStyle w:val="ListParagraph"/>
        <w:tabs>
          <w:tab w:val="left" w:pos="2160"/>
        </w:tabs>
        <w:spacing w:line="360" w:lineRule="auto"/>
        <w:ind w:left="2160" w:hanging="720"/>
      </w:pPr>
    </w:p>
    <w:p w:rsidR="003D2AFC" w:rsidRDefault="003D2AFC" w:rsidP="0003766E">
      <w:pPr>
        <w:pStyle w:val="ListParagraph"/>
        <w:numPr>
          <w:ilvl w:val="0"/>
          <w:numId w:val="15"/>
        </w:numPr>
        <w:tabs>
          <w:tab w:val="left" w:pos="2160"/>
        </w:tabs>
        <w:spacing w:line="360" w:lineRule="auto"/>
        <w:ind w:left="2160" w:hanging="720"/>
      </w:pPr>
      <w:proofErr w:type="gramStart"/>
      <w:r>
        <w:rPr>
          <w:rFonts w:hint="eastAsia"/>
        </w:rPr>
        <w:lastRenderedPageBreak/>
        <w:t>despite</w:t>
      </w:r>
      <w:proofErr w:type="gramEnd"/>
      <w:r>
        <w:rPr>
          <w:rFonts w:hint="eastAsia"/>
        </w:rPr>
        <w:t xml:space="preserve"> the court</w:t>
      </w:r>
      <w:r>
        <w:t>’</w:t>
      </w:r>
      <w:r>
        <w:rPr>
          <w:rFonts w:hint="eastAsia"/>
        </w:rPr>
        <w:t xml:space="preserve">s speedy rely on 9 July 2013 </w:t>
      </w:r>
      <w:r>
        <w:t>that</w:t>
      </w:r>
      <w:r>
        <w:rPr>
          <w:rFonts w:hint="eastAsia"/>
        </w:rPr>
        <w:t xml:space="preserve"> a summons was necessary, none was filed until 4</w:t>
      </w:r>
      <w:r w:rsidR="007F1A81">
        <w:t> </w:t>
      </w:r>
      <w:r>
        <w:rPr>
          <w:rFonts w:hint="eastAsia"/>
        </w:rPr>
        <w:t xml:space="preserve">September 2013.  The </w:t>
      </w:r>
      <w:r w:rsidR="00CD5D13">
        <w:rPr>
          <w:rFonts w:eastAsia="PMingLiU"/>
          <w:lang w:eastAsia="zh-TW"/>
        </w:rPr>
        <w:t>“</w:t>
      </w:r>
      <w:r>
        <w:rPr>
          <w:rFonts w:hint="eastAsia"/>
        </w:rPr>
        <w:t>automatic stay</w:t>
      </w:r>
      <w:r w:rsidR="00CD5D13">
        <w:rPr>
          <w:rFonts w:eastAsia="PMingLiU"/>
          <w:lang w:eastAsia="zh-TW"/>
        </w:rPr>
        <w:t>”</w:t>
      </w:r>
      <w:r>
        <w:rPr>
          <w:rFonts w:hint="eastAsia"/>
        </w:rPr>
        <w:t xml:space="preserve"> as a result of the </w:t>
      </w:r>
      <w:r>
        <w:t>plaintiff’</w:t>
      </w:r>
      <w:r>
        <w:rPr>
          <w:rFonts w:hint="eastAsia"/>
        </w:rPr>
        <w:t xml:space="preserve">s legal aid application does not assist D2 and D3, as it cannot excuse the non-action on their part between 9 and 22 July 2013.  </w:t>
      </w:r>
    </w:p>
    <w:p w:rsidR="003D2AFC" w:rsidRDefault="003D2AFC" w:rsidP="0003766E">
      <w:pPr>
        <w:tabs>
          <w:tab w:val="clear" w:pos="4320"/>
          <w:tab w:val="clear" w:pos="9072"/>
        </w:tabs>
        <w:spacing w:line="360" w:lineRule="auto"/>
      </w:pPr>
    </w:p>
    <w:p w:rsidR="003D2AFC" w:rsidRDefault="003D2AFC" w:rsidP="0003766E">
      <w:pPr>
        <w:tabs>
          <w:tab w:val="clear" w:pos="4320"/>
          <w:tab w:val="clear" w:pos="9072"/>
        </w:tabs>
        <w:spacing w:line="360" w:lineRule="auto"/>
        <w:rPr>
          <w:i/>
        </w:rPr>
      </w:pPr>
      <w:r w:rsidRPr="00CD7F92">
        <w:rPr>
          <w:rFonts w:hint="eastAsia"/>
          <w:i/>
        </w:rPr>
        <w:t xml:space="preserve">The </w:t>
      </w:r>
      <w:r w:rsidRPr="00CD7F92">
        <w:rPr>
          <w:i/>
        </w:rPr>
        <w:t>absence</w:t>
      </w:r>
      <w:r w:rsidRPr="00CD7F92">
        <w:rPr>
          <w:rFonts w:hint="eastAsia"/>
          <w:i/>
        </w:rPr>
        <w:t xml:space="preserve"> of </w:t>
      </w:r>
      <w:r>
        <w:rPr>
          <w:rFonts w:hint="eastAsia"/>
          <w:i/>
        </w:rPr>
        <w:t>reasonable excuse</w:t>
      </w:r>
    </w:p>
    <w:p w:rsidR="007F1A81" w:rsidRPr="007F1A81" w:rsidRDefault="007F1A81" w:rsidP="0003766E">
      <w:pPr>
        <w:tabs>
          <w:tab w:val="clear" w:pos="4320"/>
          <w:tab w:val="clear" w:pos="9072"/>
        </w:tabs>
        <w:spacing w:line="360" w:lineRule="auto"/>
      </w:pPr>
    </w:p>
    <w:p w:rsidR="003D2AFC" w:rsidRDefault="003D2AFC" w:rsidP="00F33DED">
      <w:pPr>
        <w:numPr>
          <w:ilvl w:val="0"/>
          <w:numId w:val="17"/>
        </w:numPr>
        <w:tabs>
          <w:tab w:val="clear" w:pos="4320"/>
          <w:tab w:val="clear" w:pos="9072"/>
        </w:tabs>
        <w:spacing w:line="360" w:lineRule="auto"/>
        <w:ind w:left="0" w:firstLine="0"/>
        <w:jc w:val="both"/>
      </w:pPr>
      <w:r>
        <w:rPr>
          <w:rFonts w:hint="eastAsia"/>
        </w:rPr>
        <w:t xml:space="preserve">Despite the delay on the part of D2 and D3 and the fact that the summons was only filed after the expiration of the 14 days time limit, the court still have jurisdiction to grant an extension of time: see </w:t>
      </w:r>
      <w:r w:rsidRPr="0024077E">
        <w:rPr>
          <w:rFonts w:hint="eastAsia"/>
          <w:i/>
        </w:rPr>
        <w:t>Ma Wan Farming Ltd and Chief Executive in Council &amp; Another</w:t>
      </w:r>
      <w:r w:rsidR="007E0875">
        <w:rPr>
          <w:rFonts w:hint="eastAsia"/>
        </w:rPr>
        <w:t xml:space="preserve"> [1998] 2 HKLRD 314.  </w:t>
      </w:r>
      <w:r>
        <w:rPr>
          <w:rFonts w:hint="eastAsia"/>
        </w:rPr>
        <w:t xml:space="preserve">Whether or not to grant an extension is a matter of discretion of the court and the relevant considerations include the length of the delay, the reasons (if any) for the delay and the merit of the application for variation: see </w:t>
      </w:r>
      <w:r w:rsidRPr="00DE493A">
        <w:rPr>
          <w:rFonts w:hint="eastAsia"/>
          <w:i/>
        </w:rPr>
        <w:t xml:space="preserve">Tang Man Kit and </w:t>
      </w:r>
      <w:proofErr w:type="spellStart"/>
      <w:r w:rsidRPr="00DE493A">
        <w:rPr>
          <w:rFonts w:hint="eastAsia"/>
          <w:i/>
        </w:rPr>
        <w:t>Foo</w:t>
      </w:r>
      <w:proofErr w:type="spellEnd"/>
      <w:r w:rsidRPr="00DE493A">
        <w:rPr>
          <w:rFonts w:hint="eastAsia"/>
          <w:i/>
        </w:rPr>
        <w:t xml:space="preserve"> </w:t>
      </w:r>
      <w:proofErr w:type="spellStart"/>
      <w:r w:rsidRPr="00DE493A">
        <w:rPr>
          <w:rFonts w:hint="eastAsia"/>
          <w:i/>
        </w:rPr>
        <w:t>Tak</w:t>
      </w:r>
      <w:proofErr w:type="spellEnd"/>
      <w:r w:rsidRPr="00DE493A">
        <w:rPr>
          <w:rFonts w:hint="eastAsia"/>
          <w:i/>
        </w:rPr>
        <w:t xml:space="preserve"> </w:t>
      </w:r>
      <w:proofErr w:type="spellStart"/>
      <w:r w:rsidRPr="00DE493A">
        <w:rPr>
          <w:rFonts w:hint="eastAsia"/>
          <w:i/>
        </w:rPr>
        <w:t>Ching</w:t>
      </w:r>
      <w:proofErr w:type="spellEnd"/>
      <w:r w:rsidRPr="00DE493A">
        <w:rPr>
          <w:rFonts w:hint="eastAsia"/>
          <w:i/>
        </w:rPr>
        <w:t xml:space="preserve"> (suing as Managers of </w:t>
      </w:r>
      <w:proofErr w:type="spellStart"/>
      <w:r w:rsidRPr="00DE493A">
        <w:rPr>
          <w:rFonts w:hint="eastAsia"/>
          <w:i/>
        </w:rPr>
        <w:t>Wah</w:t>
      </w:r>
      <w:proofErr w:type="spellEnd"/>
      <w:r w:rsidRPr="00DE493A">
        <w:rPr>
          <w:rFonts w:hint="eastAsia"/>
          <w:i/>
        </w:rPr>
        <w:t xml:space="preserve"> Yan Mo Fan Heung) v Hip </w:t>
      </w:r>
      <w:proofErr w:type="spellStart"/>
      <w:r w:rsidRPr="00DE493A">
        <w:rPr>
          <w:rFonts w:hint="eastAsia"/>
          <w:i/>
        </w:rPr>
        <w:t>Hing</w:t>
      </w:r>
      <w:proofErr w:type="spellEnd"/>
      <w:r w:rsidRPr="00DE493A">
        <w:rPr>
          <w:rFonts w:hint="eastAsia"/>
          <w:i/>
        </w:rPr>
        <w:t xml:space="preserve"> Timber Co Ltd</w:t>
      </w:r>
      <w:r>
        <w:rPr>
          <w:rFonts w:hint="eastAsia"/>
        </w:rPr>
        <w:t xml:space="preserve">, CACV 137/ 2002 and </w:t>
      </w:r>
      <w:r w:rsidRPr="00DE493A">
        <w:rPr>
          <w:rFonts w:hint="eastAsia"/>
          <w:i/>
        </w:rPr>
        <w:t>Win Profit Corporation Ltd v World Orient Investment Ltd</w:t>
      </w:r>
      <w:r>
        <w:rPr>
          <w:rFonts w:hint="eastAsia"/>
        </w:rPr>
        <w:t>, HCA 1487/2009.</w:t>
      </w:r>
    </w:p>
    <w:p w:rsidR="007E0875" w:rsidRDefault="007E0875" w:rsidP="0003766E">
      <w:pPr>
        <w:tabs>
          <w:tab w:val="clear" w:pos="4320"/>
          <w:tab w:val="clear" w:pos="9072"/>
        </w:tabs>
        <w:spacing w:line="360" w:lineRule="auto"/>
        <w:jc w:val="both"/>
      </w:pPr>
    </w:p>
    <w:p w:rsidR="003D2AFC" w:rsidRDefault="003D2AFC" w:rsidP="00F33DED">
      <w:pPr>
        <w:numPr>
          <w:ilvl w:val="0"/>
          <w:numId w:val="17"/>
        </w:numPr>
        <w:tabs>
          <w:tab w:val="clear" w:pos="4320"/>
          <w:tab w:val="clear" w:pos="9072"/>
        </w:tabs>
        <w:spacing w:line="360" w:lineRule="auto"/>
        <w:ind w:left="0" w:firstLine="0"/>
        <w:jc w:val="both"/>
      </w:pPr>
      <w:r>
        <w:rPr>
          <w:rFonts w:hint="eastAsia"/>
        </w:rPr>
        <w:t xml:space="preserve">In the present </w:t>
      </w:r>
      <w:r>
        <w:t>application</w:t>
      </w:r>
      <w:r>
        <w:rPr>
          <w:rFonts w:hint="eastAsia"/>
        </w:rPr>
        <w:t>, as noted above there was a delay of almost two months.  Moreover, I find that no reasonable excuse has been shown for the delay:</w:t>
      </w:r>
      <w:r w:rsidR="0003766E">
        <w:rPr>
          <w:rFonts w:hint="eastAsia"/>
        </w:rPr>
        <w:t>-</w:t>
      </w:r>
    </w:p>
    <w:p w:rsidR="0003766E" w:rsidRDefault="0003766E" w:rsidP="0003766E">
      <w:pPr>
        <w:tabs>
          <w:tab w:val="clear" w:pos="4320"/>
          <w:tab w:val="clear" w:pos="9072"/>
        </w:tabs>
        <w:spacing w:line="360" w:lineRule="auto"/>
        <w:jc w:val="both"/>
      </w:pPr>
    </w:p>
    <w:p w:rsidR="003D2AFC" w:rsidRDefault="003D2AFC" w:rsidP="00F33DED">
      <w:pPr>
        <w:pStyle w:val="ListParagraph"/>
        <w:numPr>
          <w:ilvl w:val="0"/>
          <w:numId w:val="16"/>
        </w:numPr>
        <w:tabs>
          <w:tab w:val="left" w:pos="2160"/>
        </w:tabs>
        <w:spacing w:line="360" w:lineRule="auto"/>
        <w:ind w:left="2160" w:hanging="720"/>
      </w:pPr>
      <w:r>
        <w:rPr>
          <w:rFonts w:hint="eastAsia"/>
        </w:rPr>
        <w:t xml:space="preserve">D2 and D3 had filed no </w:t>
      </w:r>
      <w:r>
        <w:t>affirmation</w:t>
      </w:r>
      <w:r>
        <w:rPr>
          <w:rFonts w:hint="eastAsia"/>
        </w:rPr>
        <w:t xml:space="preserve"> to explain the delay and no reasons were proffered for the non-action between 9 and 22 July 2013; </w:t>
      </w:r>
    </w:p>
    <w:p w:rsidR="003D2AFC" w:rsidRDefault="003D2AFC" w:rsidP="00F33DED">
      <w:pPr>
        <w:pStyle w:val="ListParagraph"/>
        <w:tabs>
          <w:tab w:val="left" w:pos="2160"/>
        </w:tabs>
        <w:spacing w:line="360" w:lineRule="auto"/>
        <w:ind w:left="2160" w:hanging="720"/>
      </w:pPr>
    </w:p>
    <w:p w:rsidR="003D2AFC" w:rsidRDefault="003D2AFC" w:rsidP="00F33DED">
      <w:pPr>
        <w:pStyle w:val="ListParagraph"/>
        <w:numPr>
          <w:ilvl w:val="0"/>
          <w:numId w:val="16"/>
        </w:numPr>
        <w:tabs>
          <w:tab w:val="left" w:pos="2160"/>
        </w:tabs>
        <w:spacing w:line="360" w:lineRule="auto"/>
        <w:ind w:left="2160" w:hanging="720"/>
      </w:pPr>
      <w:proofErr w:type="gramStart"/>
      <w:r>
        <w:rPr>
          <w:rFonts w:hint="eastAsia"/>
        </w:rPr>
        <w:lastRenderedPageBreak/>
        <w:t>a</w:t>
      </w:r>
      <w:proofErr w:type="gramEnd"/>
      <w:r>
        <w:rPr>
          <w:rFonts w:hint="eastAsia"/>
        </w:rPr>
        <w:t xml:space="preserve"> distinction should be made between the filing of a summons for an application and the hearing of the application.  In my view, the </w:t>
      </w:r>
      <w:r>
        <w:t>plaintiff’</w:t>
      </w:r>
      <w:r>
        <w:rPr>
          <w:rFonts w:hint="eastAsia"/>
        </w:rPr>
        <w:t xml:space="preserve">s legal aid application would not prevent D2 and D3 from </w:t>
      </w:r>
      <w:r w:rsidRPr="00CD5D13">
        <w:rPr>
          <w:rFonts w:hint="eastAsia"/>
        </w:rPr>
        <w:t>filing</w:t>
      </w:r>
      <w:r>
        <w:rPr>
          <w:rFonts w:hint="eastAsia"/>
        </w:rPr>
        <w:t xml:space="preserve"> a summons for </w:t>
      </w:r>
      <w:proofErr w:type="gramStart"/>
      <w:r>
        <w:rPr>
          <w:rFonts w:hint="eastAsia"/>
        </w:rPr>
        <w:t>variation,</w:t>
      </w:r>
      <w:proofErr w:type="gramEnd"/>
      <w:r>
        <w:rPr>
          <w:rFonts w:hint="eastAsia"/>
        </w:rPr>
        <w:t xml:space="preserve"> it would only delay the hearing of the application.  The solicitors for D2 and D3 could have filed the summons and sought a hearing date after 3 Sept</w:t>
      </w:r>
      <w:r w:rsidR="009945A3">
        <w:rPr>
          <w:rFonts w:hint="eastAsia"/>
        </w:rPr>
        <w:t>ember 2013: see O 32 r 4, RDC; and</w:t>
      </w:r>
    </w:p>
    <w:p w:rsidR="003D2AFC" w:rsidRDefault="003D2AFC" w:rsidP="00F33DED">
      <w:pPr>
        <w:pStyle w:val="ListParagraph"/>
        <w:tabs>
          <w:tab w:val="left" w:pos="2160"/>
        </w:tabs>
        <w:spacing w:line="360" w:lineRule="auto"/>
        <w:ind w:left="2160" w:hanging="720"/>
      </w:pPr>
    </w:p>
    <w:p w:rsidR="003D2AFC" w:rsidRDefault="00106DA1" w:rsidP="00F33DED">
      <w:pPr>
        <w:pStyle w:val="ListParagraph"/>
        <w:numPr>
          <w:ilvl w:val="0"/>
          <w:numId w:val="16"/>
        </w:numPr>
        <w:tabs>
          <w:tab w:val="left" w:pos="2160"/>
        </w:tabs>
        <w:spacing w:line="360" w:lineRule="auto"/>
        <w:ind w:left="2160" w:hanging="720"/>
      </w:pPr>
      <w:proofErr w:type="gramStart"/>
      <w:r>
        <w:rPr>
          <w:rFonts w:eastAsia="PMingLiU" w:hint="eastAsia"/>
          <w:lang w:eastAsia="zh-TW"/>
        </w:rPr>
        <w:t>it</w:t>
      </w:r>
      <w:proofErr w:type="gramEnd"/>
      <w:r>
        <w:rPr>
          <w:rFonts w:eastAsia="PMingLiU" w:hint="eastAsia"/>
          <w:lang w:eastAsia="zh-TW"/>
        </w:rPr>
        <w:t xml:space="preserve"> could be seen from </w:t>
      </w:r>
      <w:r w:rsidR="003D2AFC">
        <w:rPr>
          <w:rFonts w:hint="eastAsia"/>
        </w:rPr>
        <w:t xml:space="preserve">the legal aid memorandum that the </w:t>
      </w:r>
      <w:r w:rsidR="003D2AFC">
        <w:t>plaintiff’</w:t>
      </w:r>
      <w:r w:rsidR="003D2AFC">
        <w:rPr>
          <w:rFonts w:hint="eastAsia"/>
        </w:rPr>
        <w:t xml:space="preserve">s legal aid </w:t>
      </w:r>
      <w:r w:rsidR="003D2AFC">
        <w:t>application</w:t>
      </w:r>
      <w:r w:rsidR="003D2AFC">
        <w:rPr>
          <w:rFonts w:hint="eastAsia"/>
        </w:rPr>
        <w:t xml:space="preserve"> was about a proposed appeal but not the costs order nisi.  Moreover, according to s 15 of the Legal Aid Ordinance, the proceedings would be stayed </w:t>
      </w:r>
      <w:r w:rsidR="003D2AFC">
        <w:t>“</w:t>
      </w:r>
      <w:r w:rsidR="003D2AFC">
        <w:rPr>
          <w:rFonts w:hint="eastAsia"/>
        </w:rPr>
        <w:t>unless otherwise ordered by the court in which the memorandum is filed</w:t>
      </w:r>
      <w:r w:rsidR="003D2AFC">
        <w:t>”</w:t>
      </w:r>
      <w:r w:rsidR="003D2AFC">
        <w:rPr>
          <w:rFonts w:hint="eastAsia"/>
        </w:rPr>
        <w:t xml:space="preserve">.  Therefore, what D2 and D3 could have done was to seek an order from the court that the application for variation </w:t>
      </w:r>
      <w:proofErr w:type="gramStart"/>
      <w:r w:rsidR="003D2AFC">
        <w:rPr>
          <w:rFonts w:hint="eastAsia"/>
        </w:rPr>
        <w:t>be</w:t>
      </w:r>
      <w:proofErr w:type="gramEnd"/>
      <w:r w:rsidR="003D2AFC">
        <w:rPr>
          <w:rFonts w:hint="eastAsia"/>
        </w:rPr>
        <w:t xml:space="preserve"> proceeded with regardless of the legal aid </w:t>
      </w:r>
      <w:r w:rsidR="003D2AFC">
        <w:t>application</w:t>
      </w:r>
      <w:r w:rsidR="003D2AFC">
        <w:rPr>
          <w:rFonts w:hint="eastAsia"/>
        </w:rPr>
        <w:t xml:space="preserve">.  In fact, had the solicitors made enquiries with the </w:t>
      </w:r>
      <w:r w:rsidR="003D2AFC">
        <w:t>plaintiff’</w:t>
      </w:r>
      <w:r w:rsidR="003D2AFC">
        <w:rPr>
          <w:rFonts w:hint="eastAsia"/>
        </w:rPr>
        <w:t xml:space="preserve">s solicitors, they would have found out </w:t>
      </w:r>
      <w:r w:rsidR="003D2AFC">
        <w:t>that</w:t>
      </w:r>
      <w:r w:rsidR="003D2AFC">
        <w:rPr>
          <w:rFonts w:hint="eastAsia"/>
        </w:rPr>
        <w:t xml:space="preserve"> the proposed appeal related only to the </w:t>
      </w:r>
      <w:r w:rsidR="003D2AFC">
        <w:t>plaintiff’</w:t>
      </w:r>
      <w:r w:rsidR="003D2AFC">
        <w:rPr>
          <w:rFonts w:hint="eastAsia"/>
        </w:rPr>
        <w:t xml:space="preserve">s claim against D1.  In the circumstances, the likelihood was that the </w:t>
      </w:r>
      <w:r w:rsidR="003D2AFC">
        <w:t>plaintiff</w:t>
      </w:r>
      <w:r w:rsidR="003D2AFC">
        <w:rPr>
          <w:rFonts w:hint="eastAsia"/>
        </w:rPr>
        <w:t xml:space="preserve"> would have consented to the application for variation being heard so as to avoid delay in the recovery of his costs from D2 and D3.  </w:t>
      </w:r>
    </w:p>
    <w:p w:rsidR="003D2AFC" w:rsidRDefault="003D2AFC" w:rsidP="009945A3">
      <w:pPr>
        <w:tabs>
          <w:tab w:val="clear" w:pos="4320"/>
          <w:tab w:val="clear" w:pos="9072"/>
        </w:tabs>
        <w:spacing w:line="360" w:lineRule="auto"/>
        <w:ind w:left="1440" w:hanging="1440"/>
        <w:jc w:val="both"/>
        <w:rPr>
          <w:rFonts w:eastAsia="PMingLiU"/>
          <w:lang w:eastAsia="zh-TW"/>
        </w:rPr>
      </w:pPr>
    </w:p>
    <w:p w:rsidR="00CD5D13" w:rsidRPr="00CD5D13" w:rsidRDefault="00CD5D13" w:rsidP="009945A3">
      <w:pPr>
        <w:tabs>
          <w:tab w:val="clear" w:pos="4320"/>
          <w:tab w:val="clear" w:pos="9072"/>
        </w:tabs>
        <w:spacing w:line="360" w:lineRule="auto"/>
        <w:ind w:left="1440" w:hanging="1440"/>
        <w:jc w:val="both"/>
        <w:rPr>
          <w:rFonts w:eastAsia="PMingLiU"/>
          <w:lang w:eastAsia="zh-TW"/>
        </w:rPr>
      </w:pPr>
    </w:p>
    <w:p w:rsidR="003D2AFC" w:rsidRDefault="003D2AFC" w:rsidP="0003766E">
      <w:pPr>
        <w:tabs>
          <w:tab w:val="clear" w:pos="4320"/>
          <w:tab w:val="clear" w:pos="9072"/>
        </w:tabs>
        <w:spacing w:line="360" w:lineRule="auto"/>
        <w:jc w:val="both"/>
        <w:rPr>
          <w:i/>
        </w:rPr>
      </w:pPr>
      <w:r w:rsidRPr="00CD7F92">
        <w:rPr>
          <w:rFonts w:hint="eastAsia"/>
          <w:i/>
        </w:rPr>
        <w:lastRenderedPageBreak/>
        <w:t>The lack of merits</w:t>
      </w:r>
    </w:p>
    <w:p w:rsidR="003D2AFC" w:rsidRPr="009945A3" w:rsidRDefault="003D2AFC" w:rsidP="0003766E">
      <w:pPr>
        <w:tabs>
          <w:tab w:val="clear" w:pos="4320"/>
          <w:tab w:val="clear" w:pos="9072"/>
        </w:tabs>
        <w:spacing w:line="360" w:lineRule="auto"/>
        <w:jc w:val="both"/>
      </w:pPr>
    </w:p>
    <w:p w:rsidR="003D2AFC" w:rsidRDefault="003D2AFC" w:rsidP="009945A3">
      <w:pPr>
        <w:numPr>
          <w:ilvl w:val="0"/>
          <w:numId w:val="17"/>
        </w:numPr>
        <w:tabs>
          <w:tab w:val="clear" w:pos="4320"/>
          <w:tab w:val="clear" w:pos="9072"/>
        </w:tabs>
        <w:spacing w:line="360" w:lineRule="auto"/>
        <w:ind w:left="0" w:firstLine="0"/>
        <w:jc w:val="both"/>
      </w:pPr>
      <w:r>
        <w:rPr>
          <w:rFonts w:hint="eastAsia"/>
        </w:rPr>
        <w:t xml:space="preserve">In the present case, the length of the delay and </w:t>
      </w:r>
      <w:r>
        <w:t>the</w:t>
      </w:r>
      <w:r>
        <w:rPr>
          <w:rFonts w:hint="eastAsia"/>
        </w:rPr>
        <w:t xml:space="preserve"> absence of reasonable excuse would be sufficient for me to decline to extend the time for making of the </w:t>
      </w:r>
      <w:r>
        <w:t>application</w:t>
      </w:r>
      <w:r>
        <w:rPr>
          <w:rFonts w:hint="eastAsia"/>
        </w:rPr>
        <w:t xml:space="preserve"> for variation: see </w:t>
      </w:r>
      <w:proofErr w:type="spellStart"/>
      <w:r w:rsidRPr="007C3B95">
        <w:rPr>
          <w:rFonts w:hint="eastAsia"/>
          <w:i/>
        </w:rPr>
        <w:t>Terkild</w:t>
      </w:r>
      <w:proofErr w:type="spellEnd"/>
      <w:r w:rsidRPr="007C3B95">
        <w:rPr>
          <w:rFonts w:hint="eastAsia"/>
          <w:i/>
        </w:rPr>
        <w:t xml:space="preserve"> Johan </w:t>
      </w:r>
      <w:proofErr w:type="spellStart"/>
      <w:r w:rsidRPr="007C3B95">
        <w:rPr>
          <w:rFonts w:hint="eastAsia"/>
          <w:i/>
        </w:rPr>
        <w:t>Terkildsen</w:t>
      </w:r>
      <w:proofErr w:type="spellEnd"/>
      <w:r w:rsidRPr="007C3B95">
        <w:rPr>
          <w:rFonts w:hint="eastAsia"/>
          <w:i/>
        </w:rPr>
        <w:t xml:space="preserve"> &amp; Another v Barber Asia Ltd &amp; Ors</w:t>
      </w:r>
      <w:r>
        <w:rPr>
          <w:rFonts w:hint="eastAsia"/>
        </w:rPr>
        <w:t xml:space="preserve">, HCA 1963/2003 (dated 31 May 2007).  However, for the sake of </w:t>
      </w:r>
      <w:r>
        <w:t>completeness</w:t>
      </w:r>
      <w:r>
        <w:rPr>
          <w:rFonts w:hint="eastAsia"/>
        </w:rPr>
        <w:t xml:space="preserve"> I would also address </w:t>
      </w:r>
      <w:r>
        <w:t>the</w:t>
      </w:r>
      <w:r>
        <w:rPr>
          <w:rFonts w:hint="eastAsia"/>
        </w:rPr>
        <w:t xml:space="preserve"> merits of the </w:t>
      </w:r>
      <w:r>
        <w:t>application</w:t>
      </w:r>
      <w:r>
        <w:rPr>
          <w:rFonts w:hint="eastAsia"/>
        </w:rPr>
        <w:t xml:space="preserve">.  </w:t>
      </w:r>
    </w:p>
    <w:p w:rsidR="003D2AFC" w:rsidRDefault="003D2AFC" w:rsidP="0003766E">
      <w:pPr>
        <w:tabs>
          <w:tab w:val="clear" w:pos="4320"/>
          <w:tab w:val="clear" w:pos="9072"/>
        </w:tabs>
        <w:spacing w:line="360" w:lineRule="auto"/>
        <w:jc w:val="both"/>
      </w:pPr>
    </w:p>
    <w:p w:rsidR="003D2AFC" w:rsidRDefault="003D2AFC" w:rsidP="009945A3">
      <w:pPr>
        <w:numPr>
          <w:ilvl w:val="0"/>
          <w:numId w:val="17"/>
        </w:numPr>
        <w:tabs>
          <w:tab w:val="clear" w:pos="4320"/>
          <w:tab w:val="clear" w:pos="9072"/>
        </w:tabs>
        <w:spacing w:line="360" w:lineRule="auto"/>
        <w:ind w:left="0" w:firstLine="0"/>
        <w:jc w:val="both"/>
      </w:pPr>
      <w:r>
        <w:rPr>
          <w:rFonts w:hint="eastAsia"/>
        </w:rPr>
        <w:t xml:space="preserve">In relation to the scale of costs to be applied in a civil case heard in the District Court, it has been held that O 62 r 3(2) combined with O 62, r 9(4)(b) of RDC are </w:t>
      </w:r>
      <w:r w:rsidR="00106DA1">
        <w:rPr>
          <w:rFonts w:eastAsia="PMingLiU" w:hint="eastAsia"/>
          <w:lang w:eastAsia="zh-TW"/>
        </w:rPr>
        <w:t>w</w:t>
      </w:r>
      <w:r>
        <w:rPr>
          <w:rFonts w:hint="eastAsia"/>
        </w:rPr>
        <w:t xml:space="preserve">ide </w:t>
      </w:r>
      <w:r>
        <w:t>enough</w:t>
      </w:r>
      <w:r>
        <w:rPr>
          <w:rFonts w:hint="eastAsia"/>
        </w:rPr>
        <w:t xml:space="preserve"> to entitle the court to order costs to be not more than a specified sum, or to be assessed on a basis, for want of a more certain term, similar to the scale applied in the Small Claims Tribunal: see </w:t>
      </w:r>
      <w:r w:rsidRPr="0038641D">
        <w:rPr>
          <w:rFonts w:hint="eastAsia"/>
          <w:i/>
        </w:rPr>
        <w:t xml:space="preserve">M </w:t>
      </w:r>
      <w:proofErr w:type="spellStart"/>
      <w:r w:rsidRPr="0038641D">
        <w:rPr>
          <w:rFonts w:hint="eastAsia"/>
          <w:i/>
        </w:rPr>
        <w:t>Beraha</w:t>
      </w:r>
      <w:proofErr w:type="spellEnd"/>
      <w:r w:rsidRPr="0038641D">
        <w:rPr>
          <w:rFonts w:hint="eastAsia"/>
          <w:i/>
        </w:rPr>
        <w:t xml:space="preserve"> &amp; Co v Ng </w:t>
      </w:r>
      <w:proofErr w:type="spellStart"/>
      <w:r w:rsidRPr="0038641D">
        <w:rPr>
          <w:rFonts w:hint="eastAsia"/>
          <w:i/>
        </w:rPr>
        <w:t>Wai</w:t>
      </w:r>
      <w:proofErr w:type="spellEnd"/>
      <w:r w:rsidRPr="0038641D">
        <w:rPr>
          <w:rFonts w:hint="eastAsia"/>
          <w:i/>
        </w:rPr>
        <w:t xml:space="preserve"> </w:t>
      </w:r>
      <w:proofErr w:type="spellStart"/>
      <w:r w:rsidRPr="0038641D">
        <w:rPr>
          <w:rFonts w:hint="eastAsia"/>
          <w:i/>
        </w:rPr>
        <w:t>Lun</w:t>
      </w:r>
      <w:proofErr w:type="spellEnd"/>
      <w:r>
        <w:rPr>
          <w:rFonts w:hint="eastAsia"/>
        </w:rPr>
        <w:t xml:space="preserve">, CACV 256/2003, applied in </w:t>
      </w:r>
      <w:r w:rsidRPr="0038641D">
        <w:rPr>
          <w:rFonts w:hint="eastAsia"/>
          <w:i/>
        </w:rPr>
        <w:t xml:space="preserve">Hoi Cheng Pan v </w:t>
      </w:r>
      <w:proofErr w:type="spellStart"/>
      <w:r w:rsidRPr="0038641D">
        <w:rPr>
          <w:rFonts w:hint="eastAsia"/>
          <w:i/>
        </w:rPr>
        <w:t>Headstart</w:t>
      </w:r>
      <w:proofErr w:type="spellEnd"/>
      <w:r w:rsidRPr="0038641D">
        <w:rPr>
          <w:rFonts w:hint="eastAsia"/>
          <w:i/>
        </w:rPr>
        <w:t xml:space="preserve"> Educational Group Ltd</w:t>
      </w:r>
      <w:r>
        <w:rPr>
          <w:rFonts w:hint="eastAsia"/>
        </w:rPr>
        <w:t xml:space="preserve">, DCCJ 4028/2006 (dated 27 April 2007).  In relation to cases of personal injuries, the Court of Appeal has said that the only </w:t>
      </w:r>
      <w:r>
        <w:t>relevant</w:t>
      </w:r>
      <w:r>
        <w:rPr>
          <w:rFonts w:hint="eastAsia"/>
        </w:rPr>
        <w:t xml:space="preserve"> consideration is whether at the commencement of the action, in view of the nature of the injury of the </w:t>
      </w:r>
      <w:r>
        <w:t>plaintiff</w:t>
      </w:r>
      <w:r>
        <w:rPr>
          <w:rFonts w:hint="eastAsia"/>
        </w:rPr>
        <w:t xml:space="preserve">, it was reasonable to say that he would recover more than $50,000, which is the jurisdiction limit of the Small Claim Tribunal: see </w:t>
      </w:r>
      <w:r w:rsidRPr="0038641D">
        <w:rPr>
          <w:rFonts w:hint="eastAsia"/>
          <w:i/>
        </w:rPr>
        <w:t>Cheung Yu Tin v Ho Hon Ka</w:t>
      </w:r>
      <w:r>
        <w:rPr>
          <w:rFonts w:hint="eastAsia"/>
        </w:rPr>
        <w:t xml:space="preserve"> [2006] 2 HKLRD 674, 687J.  </w:t>
      </w:r>
    </w:p>
    <w:p w:rsidR="003D2AFC" w:rsidRDefault="003D2AFC" w:rsidP="0003766E">
      <w:pPr>
        <w:tabs>
          <w:tab w:val="clear" w:pos="4320"/>
          <w:tab w:val="clear" w:pos="9072"/>
        </w:tabs>
        <w:spacing w:line="360" w:lineRule="auto"/>
        <w:jc w:val="both"/>
      </w:pPr>
    </w:p>
    <w:p w:rsidR="003D2AFC" w:rsidRDefault="003D2AFC" w:rsidP="0006251A">
      <w:pPr>
        <w:numPr>
          <w:ilvl w:val="0"/>
          <w:numId w:val="17"/>
        </w:numPr>
        <w:tabs>
          <w:tab w:val="clear" w:pos="4320"/>
          <w:tab w:val="clear" w:pos="9072"/>
        </w:tabs>
        <w:spacing w:line="360" w:lineRule="auto"/>
        <w:ind w:left="0" w:firstLine="0"/>
        <w:jc w:val="both"/>
      </w:pPr>
      <w:r>
        <w:rPr>
          <w:rFonts w:hint="eastAsia"/>
        </w:rPr>
        <w:t xml:space="preserve">In the present case, with respect, I am unable to say that there was not, at the commencement of the action, a reasonable prospect for the </w:t>
      </w:r>
      <w:r>
        <w:t>plaintiff</w:t>
      </w:r>
      <w:r>
        <w:rPr>
          <w:rFonts w:hint="eastAsia"/>
        </w:rPr>
        <w:t xml:space="preserve"> to recover more than $50,000 as damages.  The two cases relied upon by the </w:t>
      </w:r>
      <w:r>
        <w:t>plaintiff</w:t>
      </w:r>
      <w:r>
        <w:rPr>
          <w:rFonts w:hint="eastAsia"/>
        </w:rPr>
        <w:t xml:space="preserve">, namely </w:t>
      </w:r>
      <w:r w:rsidRPr="00236E71">
        <w:rPr>
          <w:rFonts w:hint="eastAsia"/>
          <w:i/>
        </w:rPr>
        <w:t>Tsang Ka Hung Barry v Tang Yuk Ling</w:t>
      </w:r>
      <w:r>
        <w:rPr>
          <w:rFonts w:hint="eastAsia"/>
        </w:rPr>
        <w:t xml:space="preserve">, DCPI 525/2007 and </w:t>
      </w:r>
      <w:proofErr w:type="spellStart"/>
      <w:r w:rsidRPr="00236E71">
        <w:rPr>
          <w:rFonts w:hint="eastAsia"/>
          <w:i/>
        </w:rPr>
        <w:t>Tse</w:t>
      </w:r>
      <w:proofErr w:type="spellEnd"/>
      <w:r w:rsidRPr="00236E71">
        <w:rPr>
          <w:rFonts w:hint="eastAsia"/>
          <w:i/>
        </w:rPr>
        <w:t xml:space="preserve"> </w:t>
      </w:r>
      <w:proofErr w:type="spellStart"/>
      <w:r w:rsidRPr="00236E71">
        <w:rPr>
          <w:rFonts w:hint="eastAsia"/>
          <w:i/>
        </w:rPr>
        <w:t>Parc</w:t>
      </w:r>
      <w:proofErr w:type="spellEnd"/>
      <w:r w:rsidRPr="00236E71">
        <w:rPr>
          <w:rFonts w:hint="eastAsia"/>
          <w:i/>
        </w:rPr>
        <w:t xml:space="preserve"> </w:t>
      </w:r>
      <w:proofErr w:type="spellStart"/>
      <w:r w:rsidRPr="00236E71">
        <w:rPr>
          <w:rFonts w:hint="eastAsia"/>
          <w:i/>
        </w:rPr>
        <w:t>Ki</w:t>
      </w:r>
      <w:proofErr w:type="spellEnd"/>
      <w:r w:rsidRPr="00236E71">
        <w:rPr>
          <w:rFonts w:hint="eastAsia"/>
          <w:i/>
        </w:rPr>
        <w:t xml:space="preserve"> v Atlantic Team Ltd</w:t>
      </w:r>
      <w:r>
        <w:rPr>
          <w:rFonts w:hint="eastAsia"/>
        </w:rPr>
        <w:t xml:space="preserve">, DCPI 1981/2006, </w:t>
      </w:r>
      <w:r>
        <w:rPr>
          <w:rFonts w:hint="eastAsia"/>
        </w:rPr>
        <w:lastRenderedPageBreak/>
        <w:t xml:space="preserve">show that for injuries similar to but a bit more serious than those suffered by the </w:t>
      </w:r>
      <w:r>
        <w:t>plaintiff</w:t>
      </w:r>
      <w:r>
        <w:rPr>
          <w:rFonts w:hint="eastAsia"/>
        </w:rPr>
        <w:t xml:space="preserve">, awards in the region of $40,000 to $50,000 have been made for PSLA alone.  Although the total amount of damages awarded to the </w:t>
      </w:r>
      <w:r>
        <w:t>plaintiff</w:t>
      </w:r>
      <w:r>
        <w:rPr>
          <w:rFonts w:hint="eastAsia"/>
        </w:rPr>
        <w:t xml:space="preserve"> was less than $50,000, it came very close to it.  In my judgment, it was reasonable for </w:t>
      </w:r>
      <w:r>
        <w:t>the</w:t>
      </w:r>
      <w:r>
        <w:rPr>
          <w:rFonts w:hint="eastAsia"/>
        </w:rPr>
        <w:t xml:space="preserve"> </w:t>
      </w:r>
      <w:r>
        <w:t>plaintiff</w:t>
      </w:r>
      <w:r>
        <w:rPr>
          <w:rFonts w:hint="eastAsia"/>
        </w:rPr>
        <w:t xml:space="preserve"> to have brought his case against the defendants in the District Court rather than the Small Claim Tribunal.  </w:t>
      </w:r>
    </w:p>
    <w:p w:rsidR="003D2AFC" w:rsidRDefault="003D2AFC" w:rsidP="0003766E">
      <w:pPr>
        <w:tabs>
          <w:tab w:val="clear" w:pos="4320"/>
          <w:tab w:val="clear" w:pos="9072"/>
        </w:tabs>
        <w:spacing w:line="360" w:lineRule="auto"/>
        <w:jc w:val="both"/>
      </w:pPr>
    </w:p>
    <w:p w:rsidR="003D2AFC" w:rsidRDefault="003D2AFC" w:rsidP="0006251A">
      <w:pPr>
        <w:numPr>
          <w:ilvl w:val="0"/>
          <w:numId w:val="17"/>
        </w:numPr>
        <w:tabs>
          <w:tab w:val="clear" w:pos="4320"/>
          <w:tab w:val="clear" w:pos="9072"/>
        </w:tabs>
        <w:spacing w:line="360" w:lineRule="auto"/>
        <w:ind w:left="0" w:firstLine="0"/>
        <w:jc w:val="both"/>
      </w:pPr>
      <w:r>
        <w:rPr>
          <w:rFonts w:hint="eastAsia"/>
        </w:rPr>
        <w:t xml:space="preserve">As regards certificate for counsel, Ms Wang, counsel for D2 and D3, submitted that the </w:t>
      </w:r>
      <w:r>
        <w:t>plaintiff’</w:t>
      </w:r>
      <w:r>
        <w:rPr>
          <w:rFonts w:hint="eastAsia"/>
        </w:rPr>
        <w:t xml:space="preserve">s case could have been competently handled by a solicitor appearing alone without engaging counsel.  On this I begged to differ.  First, I note that D2 and D3 were represented </w:t>
      </w:r>
      <w:r w:rsidR="00106DA1">
        <w:rPr>
          <w:rFonts w:eastAsia="PMingLiU" w:hint="eastAsia"/>
          <w:lang w:eastAsia="zh-TW"/>
        </w:rPr>
        <w:t xml:space="preserve">at the trial </w:t>
      </w:r>
      <w:r>
        <w:rPr>
          <w:rFonts w:hint="eastAsia"/>
        </w:rPr>
        <w:t xml:space="preserve">by </w:t>
      </w:r>
      <w:r w:rsidR="00106DA1">
        <w:rPr>
          <w:rFonts w:eastAsia="PMingLiU" w:hint="eastAsia"/>
          <w:lang w:eastAsia="zh-TW"/>
        </w:rPr>
        <w:t xml:space="preserve">both </w:t>
      </w:r>
      <w:r>
        <w:rPr>
          <w:rFonts w:hint="eastAsia"/>
        </w:rPr>
        <w:t>Ms</w:t>
      </w:r>
      <w:r w:rsidR="0006251A">
        <w:t> </w:t>
      </w:r>
      <w:r>
        <w:rPr>
          <w:rFonts w:hint="eastAsia"/>
        </w:rPr>
        <w:t xml:space="preserve">Wang and a firm of solicitors.  Secondly, as can be seen from the </w:t>
      </w:r>
      <w:r w:rsidR="0006251A">
        <w:rPr>
          <w:rFonts w:hint="eastAsia"/>
        </w:rPr>
        <w:t>j</w:t>
      </w:r>
      <w:r>
        <w:rPr>
          <w:rFonts w:hint="eastAsia"/>
        </w:rPr>
        <w:t>udgment, a number of factual and legal issues arose during the trial.  In my view, the degree complexity of a case should be not judg</w:t>
      </w:r>
      <w:r w:rsidR="00106DA1">
        <w:rPr>
          <w:rFonts w:eastAsia="PMingLiU" w:hint="eastAsia"/>
          <w:lang w:eastAsia="zh-TW"/>
        </w:rPr>
        <w:t xml:space="preserve">ed </w:t>
      </w:r>
      <w:r>
        <w:rPr>
          <w:rFonts w:hint="eastAsia"/>
        </w:rPr>
        <w:t xml:space="preserve">solely on the basis of the pleadings but </w:t>
      </w:r>
      <w:r>
        <w:t>also</w:t>
      </w:r>
      <w:r>
        <w:rPr>
          <w:rFonts w:hint="eastAsia"/>
        </w:rPr>
        <w:t xml:space="preserve"> on what actually </w:t>
      </w:r>
      <w:r>
        <w:t>transpired</w:t>
      </w:r>
      <w:r>
        <w:rPr>
          <w:rFonts w:hint="eastAsia"/>
        </w:rPr>
        <w:t xml:space="preserve"> or arose during the trial.  </w:t>
      </w:r>
      <w:r w:rsidR="00106DA1">
        <w:rPr>
          <w:rFonts w:eastAsia="PMingLiU" w:hint="eastAsia"/>
          <w:lang w:eastAsia="zh-TW"/>
        </w:rPr>
        <w:t xml:space="preserve">This is because pre-trial assessment about the complexity of a case </w:t>
      </w:r>
      <w:r w:rsidR="00CD5D13">
        <w:rPr>
          <w:rFonts w:eastAsia="PMingLiU" w:hint="eastAsia"/>
          <w:lang w:eastAsia="zh-TW"/>
        </w:rPr>
        <w:t xml:space="preserve">may turn out to </w:t>
      </w:r>
      <w:r w:rsidR="00106DA1">
        <w:rPr>
          <w:rFonts w:eastAsia="PMingLiU" w:hint="eastAsia"/>
          <w:lang w:eastAsia="zh-TW"/>
        </w:rPr>
        <w:t xml:space="preserve">be wrong and it </w:t>
      </w:r>
      <w:r>
        <w:rPr>
          <w:rFonts w:hint="eastAsia"/>
        </w:rPr>
        <w:t>is not uncommon to find</w:t>
      </w:r>
      <w:r w:rsidR="00106DA1">
        <w:rPr>
          <w:rFonts w:eastAsia="PMingLiU" w:hint="eastAsia"/>
          <w:lang w:eastAsia="zh-TW"/>
        </w:rPr>
        <w:t xml:space="preserve">, for all sorts of </w:t>
      </w:r>
      <w:proofErr w:type="gramStart"/>
      <w:r w:rsidR="00106DA1">
        <w:rPr>
          <w:rFonts w:eastAsia="PMingLiU" w:hint="eastAsia"/>
          <w:lang w:eastAsia="zh-TW"/>
        </w:rPr>
        <w:t>reasons,</w:t>
      </w:r>
      <w:r>
        <w:rPr>
          <w:rFonts w:hint="eastAsia"/>
        </w:rPr>
        <w:t xml:space="preserve"> that</w:t>
      </w:r>
      <w:proofErr w:type="gramEnd"/>
      <w:r>
        <w:rPr>
          <w:rFonts w:hint="eastAsia"/>
        </w:rPr>
        <w:t xml:space="preserve"> a seemingly simple case </w:t>
      </w:r>
      <w:r w:rsidR="00106DA1">
        <w:rPr>
          <w:rFonts w:eastAsia="PMingLiU" w:hint="eastAsia"/>
          <w:lang w:eastAsia="zh-TW"/>
        </w:rPr>
        <w:t xml:space="preserve">may </w:t>
      </w:r>
      <w:r>
        <w:rPr>
          <w:rFonts w:hint="eastAsia"/>
        </w:rPr>
        <w:t xml:space="preserve">turn out to be more complicated that it appears on papers.  In all the circumstances, it is my judgment that the attendance of counsel to represent the </w:t>
      </w:r>
      <w:r>
        <w:t>plaintiff</w:t>
      </w:r>
      <w:r>
        <w:rPr>
          <w:rFonts w:hint="eastAsia"/>
        </w:rPr>
        <w:t xml:space="preserve"> at the trial was proper. </w:t>
      </w:r>
    </w:p>
    <w:p w:rsidR="003D2AFC" w:rsidRDefault="003D2AFC" w:rsidP="0003766E">
      <w:pPr>
        <w:tabs>
          <w:tab w:val="clear" w:pos="4320"/>
          <w:tab w:val="clear" w:pos="9072"/>
        </w:tabs>
        <w:spacing w:line="360" w:lineRule="auto"/>
        <w:jc w:val="both"/>
      </w:pPr>
    </w:p>
    <w:p w:rsidR="003D2AFC" w:rsidRDefault="003D2AFC" w:rsidP="0006251A">
      <w:pPr>
        <w:numPr>
          <w:ilvl w:val="0"/>
          <w:numId w:val="17"/>
        </w:numPr>
        <w:tabs>
          <w:tab w:val="clear" w:pos="4320"/>
          <w:tab w:val="clear" w:pos="9072"/>
        </w:tabs>
        <w:spacing w:line="360" w:lineRule="auto"/>
        <w:ind w:left="0" w:firstLine="0"/>
        <w:jc w:val="both"/>
      </w:pPr>
      <w:r>
        <w:rPr>
          <w:rFonts w:hint="eastAsia"/>
        </w:rPr>
        <w:t>With respect, I am unable to accept Ms Wang</w:t>
      </w:r>
      <w:r>
        <w:t>’</w:t>
      </w:r>
      <w:r>
        <w:rPr>
          <w:rFonts w:hint="eastAsia"/>
        </w:rPr>
        <w:t xml:space="preserve">s submission on the applicable scale and the appropriateness of counsel certificate.  </w:t>
      </w:r>
    </w:p>
    <w:p w:rsidR="003D2AFC" w:rsidRDefault="003D2AFC" w:rsidP="0003766E">
      <w:pPr>
        <w:tabs>
          <w:tab w:val="clear" w:pos="4320"/>
          <w:tab w:val="clear" w:pos="9072"/>
        </w:tabs>
        <w:spacing w:line="360" w:lineRule="auto"/>
        <w:jc w:val="both"/>
        <w:rPr>
          <w:rFonts w:eastAsia="PMingLiU"/>
          <w:lang w:eastAsia="zh-TW"/>
        </w:rPr>
      </w:pPr>
    </w:p>
    <w:p w:rsidR="00106DA1" w:rsidRDefault="00106DA1" w:rsidP="0003766E">
      <w:pPr>
        <w:tabs>
          <w:tab w:val="clear" w:pos="4320"/>
          <w:tab w:val="clear" w:pos="9072"/>
        </w:tabs>
        <w:spacing w:line="360" w:lineRule="auto"/>
        <w:jc w:val="both"/>
        <w:rPr>
          <w:rFonts w:eastAsia="PMingLiU"/>
          <w:lang w:eastAsia="zh-TW"/>
        </w:rPr>
      </w:pPr>
    </w:p>
    <w:p w:rsidR="00106DA1" w:rsidRDefault="00106DA1" w:rsidP="0003766E">
      <w:pPr>
        <w:tabs>
          <w:tab w:val="clear" w:pos="4320"/>
          <w:tab w:val="clear" w:pos="9072"/>
        </w:tabs>
        <w:spacing w:line="360" w:lineRule="auto"/>
        <w:jc w:val="both"/>
        <w:rPr>
          <w:rFonts w:eastAsia="PMingLiU"/>
          <w:lang w:eastAsia="zh-TW"/>
        </w:rPr>
      </w:pPr>
    </w:p>
    <w:p w:rsidR="003D2AFC" w:rsidRPr="004959BC" w:rsidRDefault="003D2AFC" w:rsidP="0003766E">
      <w:pPr>
        <w:tabs>
          <w:tab w:val="clear" w:pos="4320"/>
          <w:tab w:val="clear" w:pos="9072"/>
        </w:tabs>
        <w:spacing w:line="360" w:lineRule="auto"/>
        <w:jc w:val="both"/>
        <w:rPr>
          <w:i/>
        </w:rPr>
      </w:pPr>
      <w:r w:rsidRPr="004959BC">
        <w:rPr>
          <w:rFonts w:hint="eastAsia"/>
          <w:i/>
        </w:rPr>
        <w:lastRenderedPageBreak/>
        <w:t>Order</w:t>
      </w:r>
    </w:p>
    <w:p w:rsidR="003D2AFC" w:rsidRDefault="003D2AFC" w:rsidP="0003766E">
      <w:pPr>
        <w:tabs>
          <w:tab w:val="clear" w:pos="4320"/>
          <w:tab w:val="clear" w:pos="9072"/>
        </w:tabs>
        <w:spacing w:line="360" w:lineRule="auto"/>
        <w:jc w:val="both"/>
      </w:pPr>
    </w:p>
    <w:p w:rsidR="003D2AFC" w:rsidRDefault="003D2AFC" w:rsidP="0006251A">
      <w:pPr>
        <w:numPr>
          <w:ilvl w:val="0"/>
          <w:numId w:val="17"/>
        </w:numPr>
        <w:tabs>
          <w:tab w:val="clear" w:pos="4320"/>
          <w:tab w:val="clear" w:pos="9072"/>
        </w:tabs>
        <w:spacing w:line="360" w:lineRule="auto"/>
        <w:ind w:left="0" w:firstLine="0"/>
        <w:jc w:val="both"/>
      </w:pPr>
      <w:r>
        <w:rPr>
          <w:rFonts w:hint="eastAsia"/>
        </w:rPr>
        <w:t>Based on all of the above, I dismiss D2</w:t>
      </w:r>
      <w:r>
        <w:t>’</w:t>
      </w:r>
      <w:r>
        <w:rPr>
          <w:rFonts w:hint="eastAsia"/>
        </w:rPr>
        <w:t>s and D3</w:t>
      </w:r>
      <w:r>
        <w:t>’</w:t>
      </w:r>
      <w:r>
        <w:rPr>
          <w:rFonts w:hint="eastAsia"/>
        </w:rPr>
        <w:t xml:space="preserve">s application for variation of the costs order nisi.  I make </w:t>
      </w:r>
      <w:r>
        <w:t>the</w:t>
      </w:r>
      <w:r w:rsidR="0006251A">
        <w:rPr>
          <w:rFonts w:hint="eastAsia"/>
        </w:rPr>
        <w:t xml:space="preserve"> costs order nisi absolute.</w:t>
      </w:r>
    </w:p>
    <w:p w:rsidR="003D2AFC" w:rsidRDefault="003D2AFC" w:rsidP="0003766E">
      <w:pPr>
        <w:tabs>
          <w:tab w:val="clear" w:pos="4320"/>
          <w:tab w:val="clear" w:pos="9072"/>
        </w:tabs>
        <w:spacing w:line="360" w:lineRule="auto"/>
        <w:jc w:val="both"/>
      </w:pPr>
    </w:p>
    <w:p w:rsidR="003D2AFC" w:rsidRDefault="003D2AFC" w:rsidP="0006251A">
      <w:pPr>
        <w:numPr>
          <w:ilvl w:val="0"/>
          <w:numId w:val="17"/>
        </w:numPr>
        <w:tabs>
          <w:tab w:val="clear" w:pos="4320"/>
          <w:tab w:val="clear" w:pos="9072"/>
        </w:tabs>
        <w:spacing w:line="360" w:lineRule="auto"/>
        <w:ind w:left="0" w:firstLine="0"/>
        <w:jc w:val="both"/>
      </w:pPr>
      <w:r>
        <w:rPr>
          <w:rFonts w:hint="eastAsia"/>
        </w:rPr>
        <w:t xml:space="preserve">As regards the </w:t>
      </w:r>
      <w:r>
        <w:t>costs</w:t>
      </w:r>
      <w:r>
        <w:rPr>
          <w:rFonts w:hint="eastAsia"/>
        </w:rPr>
        <w:t xml:space="preserve"> of the present application, both sides agree that the costs should follow the event.  Therefore, I award the </w:t>
      </w:r>
      <w:r>
        <w:t xml:space="preserve">plaintiff </w:t>
      </w:r>
      <w:r>
        <w:rPr>
          <w:rFonts w:hint="eastAsia"/>
        </w:rPr>
        <w:t>costs of this application, to be taxed if not agreed, with certificate</w:t>
      </w:r>
      <w:r w:rsidRPr="004959BC">
        <w:rPr>
          <w:rFonts w:hint="eastAsia"/>
        </w:rPr>
        <w:t xml:space="preserve"> </w:t>
      </w:r>
      <w:r>
        <w:rPr>
          <w:rFonts w:hint="eastAsia"/>
        </w:rPr>
        <w:t xml:space="preserve">for counsel. </w:t>
      </w:r>
    </w:p>
    <w:p w:rsidR="003D2AFC" w:rsidRDefault="003D2AFC" w:rsidP="0003766E">
      <w:pPr>
        <w:tabs>
          <w:tab w:val="clear" w:pos="9072"/>
        </w:tabs>
        <w:spacing w:line="360" w:lineRule="auto"/>
        <w:jc w:val="both"/>
      </w:pPr>
    </w:p>
    <w:p w:rsidR="003D2AFC" w:rsidRDefault="003D2AFC" w:rsidP="0003766E">
      <w:pPr>
        <w:tabs>
          <w:tab w:val="clear" w:pos="9072"/>
        </w:tabs>
        <w:spacing w:line="360" w:lineRule="auto"/>
        <w:jc w:val="both"/>
      </w:pPr>
    </w:p>
    <w:p w:rsidR="003D2AFC" w:rsidRDefault="003D2AFC" w:rsidP="0003766E">
      <w:pPr>
        <w:tabs>
          <w:tab w:val="clear" w:pos="9072"/>
        </w:tabs>
        <w:spacing w:line="360" w:lineRule="auto"/>
        <w:jc w:val="both"/>
      </w:pPr>
    </w:p>
    <w:p w:rsidR="003D2AFC" w:rsidRDefault="003D2AFC" w:rsidP="003D2AFC">
      <w:pPr>
        <w:tabs>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E595B">
        <w:rPr>
          <w:rFonts w:hint="eastAsia"/>
        </w:rPr>
        <w:t xml:space="preserve"> </w:t>
      </w:r>
      <w:proofErr w:type="gramStart"/>
      <w:r>
        <w:rPr>
          <w:rFonts w:hint="eastAsia"/>
        </w:rPr>
        <w:t>(</w:t>
      </w:r>
      <w:r w:rsidR="0006251A">
        <w:rPr>
          <w:rFonts w:hint="eastAsia"/>
        </w:rPr>
        <w:t xml:space="preserve"> </w:t>
      </w:r>
      <w:r>
        <w:rPr>
          <w:rFonts w:hint="eastAsia"/>
        </w:rPr>
        <w:t>Alex</w:t>
      </w:r>
      <w:proofErr w:type="gramEnd"/>
      <w:r>
        <w:rPr>
          <w:rFonts w:hint="eastAsia"/>
        </w:rPr>
        <w:t xml:space="preserve"> Lee</w:t>
      </w:r>
      <w:r w:rsidR="0006251A">
        <w:rPr>
          <w:rFonts w:hint="eastAsia"/>
        </w:rPr>
        <w:t xml:space="preserve"> </w:t>
      </w:r>
      <w:r>
        <w:rPr>
          <w:rFonts w:hint="eastAsia"/>
        </w:rPr>
        <w:t>)</w:t>
      </w:r>
    </w:p>
    <w:p w:rsidR="003D2AFC" w:rsidRDefault="003D2AFC" w:rsidP="003D2AFC">
      <w:pPr>
        <w:tabs>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sidR="0006251A">
        <w:rPr>
          <w:rFonts w:hint="eastAsia"/>
        </w:rPr>
        <w:tab/>
      </w:r>
      <w:r>
        <w:rPr>
          <w:rFonts w:hint="eastAsia"/>
        </w:rPr>
        <w:t xml:space="preserve">District </w:t>
      </w:r>
      <w:r w:rsidR="0006251A">
        <w:rPr>
          <w:rFonts w:hint="eastAsia"/>
        </w:rPr>
        <w:t>Judge</w:t>
      </w:r>
    </w:p>
    <w:p w:rsidR="005C23D7" w:rsidRDefault="005C23D7" w:rsidP="003D2AFC">
      <w:pPr>
        <w:tabs>
          <w:tab w:val="clear" w:pos="9072"/>
        </w:tabs>
        <w:jc w:val="both"/>
      </w:pPr>
    </w:p>
    <w:p w:rsidR="005C23D7" w:rsidRDefault="005C23D7" w:rsidP="003D2AFC">
      <w:pPr>
        <w:tabs>
          <w:tab w:val="clear" w:pos="9072"/>
        </w:tabs>
        <w:jc w:val="both"/>
      </w:pPr>
    </w:p>
    <w:p w:rsidR="005C23D7" w:rsidRDefault="005C23D7" w:rsidP="005C23D7">
      <w:pPr>
        <w:tabs>
          <w:tab w:val="clear" w:pos="9072"/>
        </w:tabs>
        <w:jc w:val="both"/>
      </w:pPr>
      <w:proofErr w:type="spellStart"/>
      <w:proofErr w:type="gramStart"/>
      <w:r w:rsidRPr="005C23D7">
        <w:rPr>
          <w:rFonts w:hint="eastAsia"/>
        </w:rPr>
        <w:t>Mr</w:t>
      </w:r>
      <w:proofErr w:type="spellEnd"/>
      <w:r w:rsidRPr="005C23D7">
        <w:rPr>
          <w:rFonts w:hint="eastAsia"/>
        </w:rPr>
        <w:t xml:space="preserve"> Victor Chiu, instructed by Messrs Lee &amp; Associates Law Office, </w:t>
      </w:r>
      <w:r w:rsidRPr="005C23D7">
        <w:rPr>
          <w:rFonts w:hint="eastAsia"/>
          <w:bCs/>
        </w:rPr>
        <w:t>for Plaintiff</w:t>
      </w:r>
      <w:r w:rsidRPr="005C23D7">
        <w:rPr>
          <w:rFonts w:hint="eastAsia"/>
        </w:rPr>
        <w:t>.</w:t>
      </w:r>
      <w:proofErr w:type="gramEnd"/>
    </w:p>
    <w:p w:rsidR="005C23D7" w:rsidRPr="005C23D7" w:rsidRDefault="005C23D7" w:rsidP="005C23D7">
      <w:pPr>
        <w:tabs>
          <w:tab w:val="clear" w:pos="9072"/>
        </w:tabs>
        <w:jc w:val="both"/>
      </w:pPr>
    </w:p>
    <w:p w:rsidR="005C23D7" w:rsidRPr="005C23D7" w:rsidRDefault="005C23D7" w:rsidP="005C23D7">
      <w:pPr>
        <w:tabs>
          <w:tab w:val="clear" w:pos="9072"/>
        </w:tabs>
        <w:jc w:val="both"/>
      </w:pPr>
      <w:proofErr w:type="gramStart"/>
      <w:r w:rsidRPr="005C23D7">
        <w:rPr>
          <w:rFonts w:hint="eastAsia"/>
          <w:bCs/>
        </w:rPr>
        <w:t>Ms Athena W</w:t>
      </w:r>
      <w:r w:rsidR="00DD739B">
        <w:rPr>
          <w:rFonts w:hint="eastAsia"/>
          <w:bCs/>
        </w:rPr>
        <w:t>a</w:t>
      </w:r>
      <w:r w:rsidRPr="005C23D7">
        <w:rPr>
          <w:rFonts w:hint="eastAsia"/>
          <w:bCs/>
        </w:rPr>
        <w:t>ng, instructed by Messrs Cheung &amp; Liu, for 2</w:t>
      </w:r>
      <w:r w:rsidRPr="005C23D7">
        <w:rPr>
          <w:rFonts w:hint="eastAsia"/>
          <w:bCs/>
          <w:vertAlign w:val="superscript"/>
        </w:rPr>
        <w:t>nd</w:t>
      </w:r>
      <w:r w:rsidRPr="005C23D7">
        <w:rPr>
          <w:rFonts w:hint="eastAsia"/>
          <w:bCs/>
        </w:rPr>
        <w:t xml:space="preserve"> and 3</w:t>
      </w:r>
      <w:r w:rsidRPr="005C23D7">
        <w:rPr>
          <w:rFonts w:hint="eastAsia"/>
          <w:bCs/>
          <w:vertAlign w:val="superscript"/>
        </w:rPr>
        <w:t>rd</w:t>
      </w:r>
      <w:r w:rsidRPr="005C23D7">
        <w:rPr>
          <w:rFonts w:hint="eastAsia"/>
          <w:bCs/>
        </w:rPr>
        <w:t xml:space="preserve"> defendants.</w:t>
      </w:r>
      <w:proofErr w:type="gramEnd"/>
    </w:p>
    <w:p w:rsidR="005C23D7" w:rsidRPr="00015469" w:rsidRDefault="005C23D7" w:rsidP="003D2AFC">
      <w:pPr>
        <w:tabs>
          <w:tab w:val="clear" w:pos="9072"/>
        </w:tabs>
        <w:jc w:val="both"/>
      </w:pPr>
    </w:p>
    <w:p w:rsidR="003D2AFC" w:rsidRDefault="003D2AFC" w:rsidP="00B0106A">
      <w:pPr>
        <w:tabs>
          <w:tab w:val="clear" w:pos="4320"/>
          <w:tab w:val="clear" w:pos="9072"/>
        </w:tabs>
        <w:spacing w:line="360" w:lineRule="auto"/>
        <w:jc w:val="both"/>
        <w:rPr>
          <w:u w:val="single"/>
        </w:rPr>
      </w:pPr>
    </w:p>
    <w:sectPr w:rsidR="003D2AFC"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288" w:rsidRDefault="005D5288">
      <w:r>
        <w:separator/>
      </w:r>
    </w:p>
  </w:endnote>
  <w:endnote w:type="continuationSeparator" w:id="0">
    <w:p w:rsidR="005D5288" w:rsidRDefault="005D52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黑体">
    <w:altName w:val="SimHei"/>
    <w:panose1 w:val="02010609060101010101"/>
    <w:charset w:val="86"/>
    <w:family w:val="modern"/>
    <w:notTrueType/>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D58" w:rsidRDefault="00C53CEE">
    <w:pPr>
      <w:pStyle w:val="Footer"/>
      <w:framePr w:wrap="around" w:vAnchor="text" w:hAnchor="margin" w:xAlign="right" w:y="1"/>
      <w:rPr>
        <w:rStyle w:val="PageNumber"/>
      </w:rPr>
    </w:pPr>
    <w:r>
      <w:rPr>
        <w:rStyle w:val="PageNumber"/>
      </w:rPr>
      <w:fldChar w:fldCharType="begin"/>
    </w:r>
    <w:r w:rsidR="00BC6D58">
      <w:rPr>
        <w:rStyle w:val="PageNumber"/>
      </w:rPr>
      <w:instrText xml:space="preserve">PAGE  </w:instrText>
    </w:r>
    <w:r>
      <w:rPr>
        <w:rStyle w:val="PageNumber"/>
      </w:rPr>
      <w:fldChar w:fldCharType="end"/>
    </w:r>
  </w:p>
  <w:p w:rsidR="00BC6D58" w:rsidRDefault="00BC6D5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D58" w:rsidRDefault="00BC6D58">
    <w:pPr>
      <w:pStyle w:val="Footer"/>
      <w:framePr w:wrap="around" w:vAnchor="text" w:hAnchor="margin" w:xAlign="right" w:y="1"/>
      <w:rPr>
        <w:rStyle w:val="PageNumber"/>
      </w:rPr>
    </w:pPr>
  </w:p>
  <w:p w:rsidR="00BC6D58" w:rsidRDefault="00BC6D5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288" w:rsidRDefault="005D5288">
      <w:r>
        <w:separator/>
      </w:r>
    </w:p>
  </w:footnote>
  <w:footnote w:type="continuationSeparator" w:id="0">
    <w:p w:rsidR="005D5288" w:rsidRDefault="005D5288">
      <w:r>
        <w:continuationSeparator/>
      </w:r>
    </w:p>
  </w:footnote>
  <w:footnote w:id="1">
    <w:p w:rsidR="003D2AFC" w:rsidRDefault="003D2AFC" w:rsidP="003D2AFC">
      <w:pPr>
        <w:pStyle w:val="FootnoteText"/>
      </w:pPr>
      <w:r>
        <w:rPr>
          <w:rStyle w:val="FootnoteReference"/>
        </w:rPr>
        <w:footnoteRef/>
      </w:r>
      <w:r>
        <w:t xml:space="preserve"> </w:t>
      </w:r>
      <w:r>
        <w:rPr>
          <w:rFonts w:hint="eastAsia"/>
        </w:rPr>
        <w:t xml:space="preserve"> See s 15 of the Legal Aid Ordinance, Cap 91 and s7A of the Legal Aid Regulations, Cap 91A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D58" w:rsidRDefault="00C53CEE">
    <w:pPr>
      <w:pStyle w:val="Header"/>
    </w:pPr>
    <w:r w:rsidRPr="00C53CEE">
      <w:rPr>
        <w:noProof/>
        <w:sz w:val="20"/>
      </w:rPr>
      <w:pict>
        <v:shapetype id="_x0000_t202" coordsize="21600,21600" o:spt="202" path="m,l,21600r21600,l21600,xe">
          <v:stroke joinstyle="miter"/>
          <v:path gradientshapeok="t" o:connecttype="rect"/>
        </v:shapetype>
        <v:shape id="_x0000_s2049" type="#_x0000_t202" style="position:absolute;left:0;text-align:left;margin-left:-63pt;margin-top:12.05pt;width:27pt;height:783pt;z-index:251655168" o:allowincell="f" stroked="f">
          <v:textbox style="mso-next-textbox:#_x0000_s2049">
            <w:txbxContent>
              <w:p w:rsidR="00BC6D58" w:rsidRDefault="00BC6D58">
                <w:pPr>
                  <w:rPr>
                    <w:b/>
                    <w:sz w:val="20"/>
                  </w:rPr>
                </w:pPr>
                <w:r>
                  <w:rPr>
                    <w:rFonts w:hint="eastAsia"/>
                    <w:b/>
                    <w:sz w:val="20"/>
                  </w:rPr>
                  <w:t>A</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B</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C</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2"/>
                  <w:rPr>
                    <w:sz w:val="16"/>
                  </w:rPr>
                </w:pPr>
                <w:r>
                  <w:rPr>
                    <w:rFonts w:hint="eastAsia"/>
                  </w:rPr>
                  <w:t>D</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E</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F</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G</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H</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I</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J</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K</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L</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M</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N</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O</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P</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Q</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R</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S</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T</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U</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3"/>
                  <w:jc w:val="left"/>
                </w:pPr>
                <w:r>
                  <w:rPr>
                    <w:rFonts w:hint="eastAsia"/>
                  </w:rPr>
                  <w:t>V</w:t>
                </w:r>
              </w:p>
            </w:txbxContent>
          </v:textbox>
        </v:shape>
      </w:pict>
    </w:r>
    <w:r w:rsidRPr="00C53CEE">
      <w:rPr>
        <w:noProof/>
        <w:sz w:val="20"/>
      </w:rPr>
      <w:pict>
        <v:shape id="_x0000_s2051" type="#_x0000_t202" style="position:absolute;left:0;text-align:left;margin-left:-63pt;margin-top:-19.15pt;width:45pt;height:23.4pt;z-index:251657216" o:allowincell="f" stroked="f">
          <v:textbox style="mso-next-textbox:#_x0000_s2051">
            <w:txbxContent>
              <w:p w:rsidR="00BC6D58" w:rsidRDefault="00BC6D58">
                <w:pPr>
                  <w:rPr>
                    <w:rFonts w:eastAsia="黑体"/>
                    <w:b/>
                    <w:sz w:val="18"/>
                  </w:rPr>
                </w:pPr>
              </w:p>
            </w:txbxContent>
          </v:textbox>
        </v:shape>
      </w:pict>
    </w:r>
    <w:r w:rsidRPr="00C53CEE">
      <w:rPr>
        <w:noProof/>
        <w:sz w:val="20"/>
      </w:rPr>
      <w:pict>
        <v:shape id="_x0000_s2050" type="#_x0000_t202" style="position:absolute;left:0;text-align:left;margin-left:471.4pt;margin-top:12.25pt;width:32.6pt;height:11in;z-index:251656192" o:allowincell="f" stroked="f">
          <v:textbox style="mso-next-textbox:#_x0000_s2050">
            <w:txbxContent>
              <w:p w:rsidR="00BC6D58" w:rsidRDefault="00BC6D58">
                <w:pPr>
                  <w:rPr>
                    <w:b/>
                    <w:sz w:val="20"/>
                  </w:rPr>
                </w:pPr>
                <w:r>
                  <w:rPr>
                    <w:rFonts w:hint="eastAsia"/>
                    <w:b/>
                    <w:sz w:val="20"/>
                  </w:rPr>
                  <w:t>A</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B</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C</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2"/>
                  <w:rPr>
                    <w:sz w:val="16"/>
                  </w:rPr>
                </w:pPr>
                <w:r>
                  <w:rPr>
                    <w:rFonts w:hint="eastAsia"/>
                  </w:rPr>
                  <w:t>D</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E</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F</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G</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H</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I</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J</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K</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L</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M</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N</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O</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P</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Q</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R</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S</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T</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U</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D58" w:rsidRDefault="00BC6D58">
    <w:pPr>
      <w:pStyle w:val="Header"/>
      <w:rPr>
        <w:sz w:val="28"/>
      </w:rPr>
    </w:pPr>
    <w:r>
      <w:rPr>
        <w:rFonts w:hint="eastAsia"/>
        <w:sz w:val="28"/>
      </w:rPr>
      <w:t xml:space="preserve">- </w:t>
    </w:r>
    <w:r w:rsidR="00C53CEE">
      <w:rPr>
        <w:rStyle w:val="PageNumber"/>
        <w:sz w:val="28"/>
      </w:rPr>
      <w:fldChar w:fldCharType="begin"/>
    </w:r>
    <w:r>
      <w:rPr>
        <w:rStyle w:val="PageNumber"/>
        <w:sz w:val="28"/>
      </w:rPr>
      <w:instrText xml:space="preserve"> PAGE </w:instrText>
    </w:r>
    <w:r w:rsidR="00C53CEE">
      <w:rPr>
        <w:rStyle w:val="PageNumber"/>
        <w:sz w:val="28"/>
      </w:rPr>
      <w:fldChar w:fldCharType="separate"/>
    </w:r>
    <w:r w:rsidR="00B6707F">
      <w:rPr>
        <w:rStyle w:val="PageNumber"/>
        <w:noProof/>
        <w:sz w:val="28"/>
      </w:rPr>
      <w:t>2</w:t>
    </w:r>
    <w:r w:rsidR="00C53CEE">
      <w:rPr>
        <w:rStyle w:val="PageNumber"/>
        <w:sz w:val="28"/>
      </w:rPr>
      <w:fldChar w:fldCharType="end"/>
    </w:r>
    <w:r>
      <w:rPr>
        <w:rStyle w:val="PageNumber"/>
        <w:rFonts w:hint="eastAsia"/>
        <w:sz w:val="28"/>
      </w:rPr>
      <w:t xml:space="preserve"> -</w:t>
    </w:r>
    <w:r w:rsidR="00C53CEE">
      <w:rPr>
        <w:noProof/>
        <w:sz w:val="28"/>
      </w:rPr>
      <w:pict>
        <v:shapetype id="_x0000_t202" coordsize="21600,21600" o:spt="202" path="m,l,21600r21600,l21600,xe">
          <v:stroke joinstyle="miter"/>
          <v:path gradientshapeok="t" o:connecttype="rect"/>
        </v:shapetype>
        <v:shape id="_x0000_s2052" type="#_x0000_t202" style="position:absolute;left:0;text-align:left;margin-left:-63pt;margin-top:12.05pt;width:27pt;height:783pt;z-index:251658240;mso-position-horizontal-relative:text;mso-position-vertical-relative:text" o:allowincell="f" stroked="f">
          <v:textbox style="mso-next-textbox:#_x0000_s2052">
            <w:txbxContent>
              <w:p w:rsidR="00BC6D58" w:rsidRDefault="00BC6D58">
                <w:pPr>
                  <w:rPr>
                    <w:b/>
                    <w:sz w:val="20"/>
                  </w:rPr>
                </w:pPr>
                <w:r>
                  <w:rPr>
                    <w:rFonts w:hint="eastAsia"/>
                    <w:b/>
                    <w:sz w:val="20"/>
                  </w:rPr>
                  <w:t>A</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B</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C</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2"/>
                  <w:rPr>
                    <w:sz w:val="16"/>
                  </w:rPr>
                </w:pPr>
                <w:r>
                  <w:rPr>
                    <w:rFonts w:hint="eastAsia"/>
                  </w:rPr>
                  <w:t>D</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E</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F</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G</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H</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I</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J</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K</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L</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M</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N</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O</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P</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Q</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R</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S</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T</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U</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3"/>
                  <w:jc w:val="left"/>
                </w:pPr>
                <w:r>
                  <w:rPr>
                    <w:rFonts w:hint="eastAsia"/>
                  </w:rPr>
                  <w:t>V</w:t>
                </w:r>
              </w:p>
            </w:txbxContent>
          </v:textbox>
        </v:shape>
      </w:pict>
    </w:r>
    <w:r w:rsidR="00C53CEE">
      <w:rPr>
        <w:noProof/>
        <w:sz w:val="28"/>
      </w:rPr>
      <w:pict>
        <v:shape id="_x0000_s2054" type="#_x0000_t202" style="position:absolute;left:0;text-align:left;margin-left:-63pt;margin-top:-19.15pt;width:45pt;height:23.4pt;z-index:251660288;mso-position-horizontal-relative:text;mso-position-vertical-relative:text" o:allowincell="f" stroked="f">
          <v:textbox style="mso-next-textbox:#_x0000_s2054">
            <w:txbxContent>
              <w:p w:rsidR="00BC6D58" w:rsidRPr="009330F4" w:rsidRDefault="00BC6D58" w:rsidP="009330F4"/>
            </w:txbxContent>
          </v:textbox>
        </v:shape>
      </w:pict>
    </w:r>
    <w:r w:rsidR="00C53CEE">
      <w:rPr>
        <w:noProof/>
        <w:sz w:val="28"/>
      </w:rPr>
      <w:pict>
        <v:shape id="_x0000_s2053" type="#_x0000_t202" style="position:absolute;left:0;text-align:left;margin-left:471.4pt;margin-top:12.25pt;width:32.6pt;height:11in;z-index:251659264;mso-position-horizontal-relative:text;mso-position-vertical-relative:text" o:allowincell="f" stroked="f">
          <v:textbox style="mso-next-textbox:#_x0000_s2053">
            <w:txbxContent>
              <w:p w:rsidR="00BC6D58" w:rsidRDefault="00BC6D58">
                <w:pPr>
                  <w:rPr>
                    <w:b/>
                    <w:sz w:val="20"/>
                  </w:rPr>
                </w:pPr>
                <w:r>
                  <w:rPr>
                    <w:rFonts w:hint="eastAsia"/>
                    <w:b/>
                    <w:sz w:val="20"/>
                  </w:rPr>
                  <w:t>A</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B</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C</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2"/>
                  <w:rPr>
                    <w:sz w:val="16"/>
                  </w:rPr>
                </w:pPr>
                <w:r>
                  <w:rPr>
                    <w:rFonts w:hint="eastAsia"/>
                  </w:rPr>
                  <w:t>D</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E</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20"/>
                  </w:rPr>
                </w:pPr>
                <w:r>
                  <w:rPr>
                    <w:rFonts w:hint="eastAsia"/>
                    <w:b/>
                    <w:sz w:val="20"/>
                  </w:rPr>
                  <w:t>F</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G</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H</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I</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J</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K</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L</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M</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N</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O</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P</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Q</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R</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S</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T</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rPr>
                    <w:b/>
                    <w:sz w:val="16"/>
                  </w:rPr>
                </w:pPr>
                <w:r>
                  <w:rPr>
                    <w:rFonts w:hint="eastAsia"/>
                    <w:b/>
                    <w:sz w:val="20"/>
                  </w:rPr>
                  <w:t>U</w:t>
                </w:r>
              </w:p>
              <w:p w:rsidR="00BC6D58" w:rsidRDefault="00BC6D58">
                <w:pPr>
                  <w:rPr>
                    <w:b/>
                    <w:sz w:val="10"/>
                  </w:rPr>
                </w:pPr>
              </w:p>
              <w:p w:rsidR="00BC6D58" w:rsidRDefault="00BC6D58">
                <w:pPr>
                  <w:rPr>
                    <w:b/>
                    <w:sz w:val="16"/>
                  </w:rPr>
                </w:pPr>
              </w:p>
              <w:p w:rsidR="00BC6D58" w:rsidRDefault="00BC6D58">
                <w:pPr>
                  <w:rPr>
                    <w:b/>
                    <w:sz w:val="16"/>
                  </w:rPr>
                </w:pPr>
              </w:p>
              <w:p w:rsidR="00BC6D58" w:rsidRDefault="00BC6D58">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nsid w:val="00986CA8"/>
    <w:multiLevelType w:val="hybridMultilevel"/>
    <w:tmpl w:val="83DCF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3FA1303"/>
    <w:multiLevelType w:val="hybridMultilevel"/>
    <w:tmpl w:val="758E36E8"/>
    <w:lvl w:ilvl="0" w:tplc="BC047C8C">
      <w:start w:val="9"/>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6056ED6"/>
    <w:multiLevelType w:val="hybridMultilevel"/>
    <w:tmpl w:val="9F70F8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0561532"/>
    <w:multiLevelType w:val="hybridMultilevel"/>
    <w:tmpl w:val="A11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37F12"/>
    <w:multiLevelType w:val="hybridMultilevel"/>
    <w:tmpl w:val="3EAE0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7102F45"/>
    <w:multiLevelType w:val="hybridMultilevel"/>
    <w:tmpl w:val="09DEFFA6"/>
    <w:lvl w:ilvl="0" w:tplc="7C32E7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7E470AB"/>
    <w:multiLevelType w:val="hybridMultilevel"/>
    <w:tmpl w:val="C6E6DBE4"/>
    <w:lvl w:ilvl="0" w:tplc="0409000F">
      <w:start w:val="1"/>
      <w:numFmt w:val="decimal"/>
      <w:lvlText w:val="%1."/>
      <w:lvlJc w:val="left"/>
      <w:pPr>
        <w:ind w:left="4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D527558"/>
    <w:multiLevelType w:val="hybridMultilevel"/>
    <w:tmpl w:val="F7A2C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4">
    <w:nsid w:val="5D40285E"/>
    <w:multiLevelType w:val="multilevel"/>
    <w:tmpl w:val="3C029DCC"/>
    <w:lvl w:ilvl="0">
      <w:start w:val="1"/>
      <w:numFmt w:val="decimal"/>
      <w:lvlText w:val="(%1)"/>
      <w:lvlJc w:val="left"/>
      <w:pPr>
        <w:ind w:left="360" w:hanging="360"/>
      </w:pPr>
      <w:rPr>
        <w:rFonts w:ascii="Times New Roman" w:eastAsia="宋体"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656D62EA"/>
    <w:multiLevelType w:val="hybridMultilevel"/>
    <w:tmpl w:val="EFB47AC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9A4502F"/>
    <w:multiLevelType w:val="hybridMultilevel"/>
    <w:tmpl w:val="09DEFFA6"/>
    <w:lvl w:ilvl="0" w:tplc="7C32E7E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7AD872D4"/>
    <w:multiLevelType w:val="hybridMultilevel"/>
    <w:tmpl w:val="1E2E2C4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11"/>
  </w:num>
  <w:num w:numId="3">
    <w:abstractNumId w:val="3"/>
  </w:num>
  <w:num w:numId="4">
    <w:abstractNumId w:val="6"/>
  </w:num>
  <w:num w:numId="5">
    <w:abstractNumId w:val="14"/>
  </w:num>
  <w:num w:numId="6">
    <w:abstractNumId w:val="0"/>
  </w:num>
  <w:num w:numId="7">
    <w:abstractNumId w:val="4"/>
  </w:num>
  <w:num w:numId="8">
    <w:abstractNumId w:val="15"/>
  </w:num>
  <w:num w:numId="9">
    <w:abstractNumId w:val="2"/>
  </w:num>
  <w:num w:numId="10">
    <w:abstractNumId w:val="18"/>
  </w:num>
  <w:num w:numId="11">
    <w:abstractNumId w:val="16"/>
  </w:num>
  <w:num w:numId="12">
    <w:abstractNumId w:val="8"/>
  </w:num>
  <w:num w:numId="13">
    <w:abstractNumId w:val="1"/>
  </w:num>
  <w:num w:numId="14">
    <w:abstractNumId w:val="5"/>
  </w:num>
  <w:num w:numId="15">
    <w:abstractNumId w:val="9"/>
  </w:num>
  <w:num w:numId="16">
    <w:abstractNumId w:val="17"/>
  </w:num>
  <w:num w:numId="17">
    <w:abstractNumId w:val="10"/>
  </w:num>
  <w:num w:numId="18">
    <w:abstractNumId w:val="7"/>
  </w:num>
  <w:num w:numId="19">
    <w:abstractNumId w:val="1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useFELayout/>
  </w:compat>
  <w:rsids>
    <w:rsidRoot w:val="00797282"/>
    <w:rsid w:val="00026FEC"/>
    <w:rsid w:val="000276DA"/>
    <w:rsid w:val="00027A80"/>
    <w:rsid w:val="0003766E"/>
    <w:rsid w:val="0006251A"/>
    <w:rsid w:val="000630D4"/>
    <w:rsid w:val="00071913"/>
    <w:rsid w:val="00074C3A"/>
    <w:rsid w:val="000A6D97"/>
    <w:rsid w:val="000B2159"/>
    <w:rsid w:val="000D27BA"/>
    <w:rsid w:val="000E0FE5"/>
    <w:rsid w:val="000E3EAD"/>
    <w:rsid w:val="000E67EA"/>
    <w:rsid w:val="000F7898"/>
    <w:rsid w:val="00106DA1"/>
    <w:rsid w:val="001112B7"/>
    <w:rsid w:val="0011432D"/>
    <w:rsid w:val="00121267"/>
    <w:rsid w:val="00142AC4"/>
    <w:rsid w:val="001615E1"/>
    <w:rsid w:val="0018615B"/>
    <w:rsid w:val="00197536"/>
    <w:rsid w:val="001A3672"/>
    <w:rsid w:val="001B54EB"/>
    <w:rsid w:val="001E595B"/>
    <w:rsid w:val="00237577"/>
    <w:rsid w:val="002548E0"/>
    <w:rsid w:val="00256CB9"/>
    <w:rsid w:val="002627E0"/>
    <w:rsid w:val="00295D4C"/>
    <w:rsid w:val="002961BE"/>
    <w:rsid w:val="0030629B"/>
    <w:rsid w:val="00316C03"/>
    <w:rsid w:val="00374B60"/>
    <w:rsid w:val="0038766A"/>
    <w:rsid w:val="003C48B3"/>
    <w:rsid w:val="003D2AFC"/>
    <w:rsid w:val="003E159F"/>
    <w:rsid w:val="003F1DF5"/>
    <w:rsid w:val="00410F83"/>
    <w:rsid w:val="00436033"/>
    <w:rsid w:val="00436C1A"/>
    <w:rsid w:val="00440246"/>
    <w:rsid w:val="0045132A"/>
    <w:rsid w:val="00457FEE"/>
    <w:rsid w:val="00462DFD"/>
    <w:rsid w:val="004922B1"/>
    <w:rsid w:val="00495004"/>
    <w:rsid w:val="004A611B"/>
    <w:rsid w:val="004C0017"/>
    <w:rsid w:val="004D1B4A"/>
    <w:rsid w:val="004E294A"/>
    <w:rsid w:val="004F1104"/>
    <w:rsid w:val="004F771B"/>
    <w:rsid w:val="00503595"/>
    <w:rsid w:val="0054741E"/>
    <w:rsid w:val="00547E57"/>
    <w:rsid w:val="00557098"/>
    <w:rsid w:val="00572678"/>
    <w:rsid w:val="00574A88"/>
    <w:rsid w:val="005765E4"/>
    <w:rsid w:val="00594929"/>
    <w:rsid w:val="005B2841"/>
    <w:rsid w:val="005B5F93"/>
    <w:rsid w:val="005C23D7"/>
    <w:rsid w:val="005C6F0F"/>
    <w:rsid w:val="005D15C3"/>
    <w:rsid w:val="005D269D"/>
    <w:rsid w:val="005D5288"/>
    <w:rsid w:val="006050E1"/>
    <w:rsid w:val="00616832"/>
    <w:rsid w:val="006441D9"/>
    <w:rsid w:val="00661021"/>
    <w:rsid w:val="006908F8"/>
    <w:rsid w:val="006C2032"/>
    <w:rsid w:val="007105E2"/>
    <w:rsid w:val="0071363D"/>
    <w:rsid w:val="00723C90"/>
    <w:rsid w:val="0073207B"/>
    <w:rsid w:val="00733F90"/>
    <w:rsid w:val="007353E6"/>
    <w:rsid w:val="00741288"/>
    <w:rsid w:val="00773CC6"/>
    <w:rsid w:val="007777F5"/>
    <w:rsid w:val="00797282"/>
    <w:rsid w:val="007B2841"/>
    <w:rsid w:val="007C39A7"/>
    <w:rsid w:val="007D328D"/>
    <w:rsid w:val="007E0875"/>
    <w:rsid w:val="007F1A81"/>
    <w:rsid w:val="00801A2C"/>
    <w:rsid w:val="00803A01"/>
    <w:rsid w:val="00804532"/>
    <w:rsid w:val="00804852"/>
    <w:rsid w:val="008125BC"/>
    <w:rsid w:val="00822808"/>
    <w:rsid w:val="00831801"/>
    <w:rsid w:val="00870AAA"/>
    <w:rsid w:val="00870AEB"/>
    <w:rsid w:val="0087516D"/>
    <w:rsid w:val="008B646D"/>
    <w:rsid w:val="008C01B9"/>
    <w:rsid w:val="008D5F6A"/>
    <w:rsid w:val="008D6E31"/>
    <w:rsid w:val="008D6EAF"/>
    <w:rsid w:val="008E0B89"/>
    <w:rsid w:val="008F5B58"/>
    <w:rsid w:val="00904B13"/>
    <w:rsid w:val="00923407"/>
    <w:rsid w:val="009250EB"/>
    <w:rsid w:val="00930078"/>
    <w:rsid w:val="009330F4"/>
    <w:rsid w:val="009945A3"/>
    <w:rsid w:val="00996712"/>
    <w:rsid w:val="009A4D9A"/>
    <w:rsid w:val="009B5CC6"/>
    <w:rsid w:val="009D74D6"/>
    <w:rsid w:val="009E0ECF"/>
    <w:rsid w:val="009E3101"/>
    <w:rsid w:val="009F472C"/>
    <w:rsid w:val="00A46B41"/>
    <w:rsid w:val="00A5530D"/>
    <w:rsid w:val="00A60622"/>
    <w:rsid w:val="00A70C1D"/>
    <w:rsid w:val="00A715BD"/>
    <w:rsid w:val="00A85CA0"/>
    <w:rsid w:val="00AA1A0E"/>
    <w:rsid w:val="00AA362A"/>
    <w:rsid w:val="00AA6C0A"/>
    <w:rsid w:val="00AB57BA"/>
    <w:rsid w:val="00AC635C"/>
    <w:rsid w:val="00B0106A"/>
    <w:rsid w:val="00B040E9"/>
    <w:rsid w:val="00B07E5A"/>
    <w:rsid w:val="00B24C10"/>
    <w:rsid w:val="00B61346"/>
    <w:rsid w:val="00B63DC1"/>
    <w:rsid w:val="00B6707F"/>
    <w:rsid w:val="00B86D22"/>
    <w:rsid w:val="00BA30CD"/>
    <w:rsid w:val="00BC6D58"/>
    <w:rsid w:val="00BC7657"/>
    <w:rsid w:val="00BE3790"/>
    <w:rsid w:val="00BE5363"/>
    <w:rsid w:val="00C120CB"/>
    <w:rsid w:val="00C24723"/>
    <w:rsid w:val="00C375E7"/>
    <w:rsid w:val="00C4316D"/>
    <w:rsid w:val="00C5255E"/>
    <w:rsid w:val="00C53CEE"/>
    <w:rsid w:val="00C64863"/>
    <w:rsid w:val="00CB0760"/>
    <w:rsid w:val="00CC4F76"/>
    <w:rsid w:val="00CD5D13"/>
    <w:rsid w:val="00D146A7"/>
    <w:rsid w:val="00D254E0"/>
    <w:rsid w:val="00D41143"/>
    <w:rsid w:val="00D61E66"/>
    <w:rsid w:val="00D62800"/>
    <w:rsid w:val="00D64883"/>
    <w:rsid w:val="00DC44C4"/>
    <w:rsid w:val="00DD739B"/>
    <w:rsid w:val="00DF5815"/>
    <w:rsid w:val="00E0086F"/>
    <w:rsid w:val="00E14CB1"/>
    <w:rsid w:val="00E15071"/>
    <w:rsid w:val="00E26939"/>
    <w:rsid w:val="00E763E4"/>
    <w:rsid w:val="00E80958"/>
    <w:rsid w:val="00E86BAC"/>
    <w:rsid w:val="00EA5C24"/>
    <w:rsid w:val="00EB393E"/>
    <w:rsid w:val="00EC1314"/>
    <w:rsid w:val="00ED3B65"/>
    <w:rsid w:val="00F33DED"/>
    <w:rsid w:val="00F3582F"/>
    <w:rsid w:val="00F36876"/>
    <w:rsid w:val="00F40A41"/>
    <w:rsid w:val="00F41688"/>
    <w:rsid w:val="00F445BB"/>
    <w:rsid w:val="00F820E8"/>
    <w:rsid w:val="00F90DF0"/>
    <w:rsid w:val="00F922D6"/>
    <w:rsid w:val="00F93EE6"/>
    <w:rsid w:val="00FB792C"/>
    <w:rsid w:val="00FC42E6"/>
    <w:rsid w:val="00FD128D"/>
    <w:rsid w:val="00FD3810"/>
    <w:rsid w:val="00FD6BA5"/>
    <w:rsid w:val="00FF6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CEE"/>
    <w:pPr>
      <w:tabs>
        <w:tab w:val="left" w:pos="1440"/>
        <w:tab w:val="center" w:pos="4320"/>
        <w:tab w:val="right" w:pos="9072"/>
      </w:tabs>
      <w:snapToGrid w:val="0"/>
    </w:pPr>
    <w:rPr>
      <w:sz w:val="28"/>
    </w:rPr>
  </w:style>
  <w:style w:type="paragraph" w:styleId="Heading1">
    <w:name w:val="heading 1"/>
    <w:basedOn w:val="Normal"/>
    <w:next w:val="Normal"/>
    <w:qFormat/>
    <w:rsid w:val="00C53CEE"/>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C53CEE"/>
    <w:pPr>
      <w:keepNext/>
      <w:snapToGrid/>
      <w:outlineLvl w:val="1"/>
    </w:pPr>
    <w:rPr>
      <w:b/>
      <w:bCs/>
      <w:sz w:val="20"/>
      <w:szCs w:val="24"/>
    </w:rPr>
  </w:style>
  <w:style w:type="paragraph" w:styleId="Heading3">
    <w:name w:val="heading 3"/>
    <w:basedOn w:val="Normal"/>
    <w:next w:val="Normal"/>
    <w:qFormat/>
    <w:rsid w:val="00C53CEE"/>
    <w:pPr>
      <w:keepNext/>
      <w:snapToGrid/>
      <w:jc w:val="center"/>
      <w:outlineLvl w:val="2"/>
    </w:pPr>
    <w:rPr>
      <w:b/>
      <w:bCs/>
      <w:sz w:val="20"/>
      <w:szCs w:val="24"/>
    </w:rPr>
  </w:style>
  <w:style w:type="paragraph" w:styleId="Heading4">
    <w:name w:val="heading 4"/>
    <w:basedOn w:val="Normal"/>
    <w:next w:val="Normal"/>
    <w:qFormat/>
    <w:rsid w:val="00C53CEE"/>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C53CEE"/>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C53CEE"/>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C53CEE"/>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C53CEE"/>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C53CEE"/>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C53CEE"/>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C53CEE"/>
    <w:pPr>
      <w:tabs>
        <w:tab w:val="center" w:pos="4153"/>
        <w:tab w:val="right" w:pos="8306"/>
      </w:tabs>
      <w:jc w:val="center"/>
    </w:pPr>
    <w:rPr>
      <w:sz w:val="18"/>
    </w:rPr>
  </w:style>
  <w:style w:type="paragraph" w:customStyle="1" w:styleId="altd">
    <w:name w:val="altd"/>
    <w:basedOn w:val="Normal"/>
    <w:rsid w:val="00C53CEE"/>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C53CEE"/>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C53CEE"/>
    <w:rPr>
      <w:b w:val="0"/>
    </w:rPr>
  </w:style>
  <w:style w:type="paragraph" w:customStyle="1" w:styleId="normal3">
    <w:name w:val="normal3"/>
    <w:basedOn w:val="Normal"/>
    <w:rsid w:val="00C53CEE"/>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C53CEE"/>
    <w:pPr>
      <w:spacing w:line="240" w:lineRule="auto"/>
      <w:jc w:val="right"/>
    </w:pPr>
    <w:rPr>
      <w:b w:val="0"/>
    </w:rPr>
  </w:style>
  <w:style w:type="paragraph" w:styleId="Footer">
    <w:name w:val="footer"/>
    <w:basedOn w:val="Normal"/>
    <w:semiHidden/>
    <w:rsid w:val="00C53CEE"/>
    <w:pPr>
      <w:tabs>
        <w:tab w:val="center" w:pos="4153"/>
        <w:tab w:val="right" w:pos="8306"/>
      </w:tabs>
    </w:pPr>
    <w:rPr>
      <w:sz w:val="20"/>
    </w:rPr>
  </w:style>
  <w:style w:type="character" w:styleId="PageNumber">
    <w:name w:val="page number"/>
    <w:basedOn w:val="DefaultParagraphFont"/>
    <w:semiHidden/>
    <w:rsid w:val="00C53CEE"/>
  </w:style>
  <w:style w:type="paragraph" w:customStyle="1" w:styleId="Draft">
    <w:name w:val="Draft"/>
    <w:basedOn w:val="Normal"/>
    <w:rsid w:val="00C53CEE"/>
    <w:pPr>
      <w:spacing w:line="600" w:lineRule="exact"/>
    </w:pPr>
  </w:style>
  <w:style w:type="paragraph" w:customStyle="1" w:styleId="Final">
    <w:name w:val="Final"/>
    <w:basedOn w:val="Draft"/>
    <w:rsid w:val="00C53CEE"/>
    <w:pPr>
      <w:spacing w:line="360" w:lineRule="auto"/>
    </w:pPr>
  </w:style>
  <w:style w:type="paragraph" w:customStyle="1" w:styleId="Quotation">
    <w:name w:val="Quotation"/>
    <w:basedOn w:val="Normal"/>
    <w:rsid w:val="00C53CEE"/>
    <w:pPr>
      <w:tabs>
        <w:tab w:val="left" w:pos="1872"/>
        <w:tab w:val="left" w:pos="2304"/>
      </w:tabs>
      <w:spacing w:before="240"/>
      <w:ind w:left="1440" w:right="720"/>
    </w:pPr>
    <w:rPr>
      <w:kern w:val="2"/>
      <w:sz w:val="24"/>
    </w:rPr>
  </w:style>
  <w:style w:type="paragraph" w:customStyle="1" w:styleId="Hanging">
    <w:name w:val="Hanging"/>
    <w:basedOn w:val="Normal"/>
    <w:rsid w:val="00C53CEE"/>
    <w:pPr>
      <w:snapToGrid/>
      <w:spacing w:before="120" w:line="440" w:lineRule="exact"/>
      <w:ind w:left="1440" w:hanging="720"/>
    </w:pPr>
    <w:rPr>
      <w:kern w:val="2"/>
    </w:rPr>
  </w:style>
  <w:style w:type="paragraph" w:customStyle="1" w:styleId="hspace">
    <w:name w:val="hspace"/>
    <w:basedOn w:val="Normal"/>
    <w:rsid w:val="00C53CEE"/>
    <w:pPr>
      <w:spacing w:line="200" w:lineRule="exact"/>
    </w:pPr>
  </w:style>
  <w:style w:type="paragraph" w:customStyle="1" w:styleId="Heading">
    <w:name w:val="Heading"/>
    <w:basedOn w:val="Normal"/>
    <w:rsid w:val="00C53CEE"/>
    <w:pPr>
      <w:spacing w:line="360" w:lineRule="auto"/>
    </w:pPr>
  </w:style>
  <w:style w:type="paragraph" w:customStyle="1" w:styleId="Indent3">
    <w:name w:val="Indent3"/>
    <w:basedOn w:val="Normal"/>
    <w:rsid w:val="00C53CEE"/>
    <w:pPr>
      <w:ind w:left="4320"/>
    </w:pPr>
  </w:style>
  <w:style w:type="paragraph" w:styleId="BlockText">
    <w:name w:val="Block Text"/>
    <w:basedOn w:val="Normal"/>
    <w:semiHidden/>
    <w:rsid w:val="00C53CEE"/>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C53CEE"/>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C53CEE"/>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C53CEE"/>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C53CEE"/>
    <w:pPr>
      <w:spacing w:line="480" w:lineRule="auto"/>
      <w:jc w:val="both"/>
    </w:pPr>
    <w:rPr>
      <w:sz w:val="26"/>
    </w:rPr>
  </w:style>
  <w:style w:type="paragraph" w:styleId="BodyTextIndent3">
    <w:name w:val="Body Text Indent 3"/>
    <w:basedOn w:val="Normal"/>
    <w:semiHidden/>
    <w:rsid w:val="00C53CEE"/>
    <w:pPr>
      <w:tabs>
        <w:tab w:val="clear" w:pos="4320"/>
      </w:tabs>
      <w:ind w:left="1120" w:hanging="1120"/>
    </w:pPr>
    <w:rPr>
      <w:sz w:val="26"/>
    </w:rPr>
  </w:style>
  <w:style w:type="paragraph" w:styleId="Title">
    <w:name w:val="Title"/>
    <w:basedOn w:val="Normal"/>
    <w:qFormat/>
    <w:rsid w:val="00C53CEE"/>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C53CEE"/>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FootnoteText">
    <w:name w:val="footnote text"/>
    <w:basedOn w:val="Normal"/>
    <w:link w:val="FootnoteTextChar"/>
    <w:uiPriority w:val="99"/>
    <w:semiHidden/>
    <w:unhideWhenUsed/>
    <w:rsid w:val="003D2AFC"/>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3D2AFC"/>
    <w:rPr>
      <w:lang w:val="en-GB"/>
    </w:rPr>
  </w:style>
  <w:style w:type="character" w:styleId="FootnoteReference">
    <w:name w:val="footnote reference"/>
    <w:basedOn w:val="DefaultParagraphFont"/>
    <w:uiPriority w:val="99"/>
    <w:semiHidden/>
    <w:unhideWhenUsed/>
    <w:rsid w:val="003D2AFC"/>
    <w:rPr>
      <w:vertAlign w:val="superscript"/>
    </w:rPr>
  </w:style>
</w:styles>
</file>

<file path=word/webSettings.xml><?xml version="1.0" encoding="utf-8"?>
<w:webSettings xmlns:r="http://schemas.openxmlformats.org/officeDocument/2006/relationships" xmlns:w="http://schemas.openxmlformats.org/wordprocessingml/2006/main">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DECD8-4182-4625-A5CF-6F64AD9E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30</TotalTime>
  <Pages>8</Pages>
  <Words>1796</Words>
  <Characters>8282</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Judiciary</cp:lastModifiedBy>
  <cp:revision>8</cp:revision>
  <cp:lastPrinted>2013-10-23T04:10:00Z</cp:lastPrinted>
  <dcterms:created xsi:type="dcterms:W3CDTF">2013-10-23T02:29:00Z</dcterms:created>
  <dcterms:modified xsi:type="dcterms:W3CDTF">2013-10-23T04:13:00Z</dcterms:modified>
</cp:coreProperties>
</file>