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462" w:rsidRDefault="00AE7462">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Pr>
          <w:rFonts w:hint="eastAsia"/>
          <w:b w:val="0"/>
          <w:bCs w:val="0"/>
          <w:sz w:val="28"/>
          <w:szCs w:val="26"/>
        </w:rPr>
        <w:t xml:space="preserve"> </w:t>
      </w:r>
      <w:r>
        <w:rPr>
          <w:b w:val="0"/>
          <w:bCs w:val="0"/>
          <w:sz w:val="28"/>
          <w:szCs w:val="26"/>
        </w:rPr>
        <w:t>26</w:t>
      </w:r>
      <w:r>
        <w:rPr>
          <w:rFonts w:hint="eastAsia"/>
          <w:b w:val="0"/>
          <w:bCs w:val="0"/>
          <w:sz w:val="28"/>
          <w:szCs w:val="26"/>
        </w:rPr>
        <w:t>23/2</w:t>
      </w:r>
      <w:r>
        <w:rPr>
          <w:b w:val="0"/>
          <w:bCs w:val="0"/>
          <w:sz w:val="28"/>
          <w:szCs w:val="26"/>
        </w:rPr>
        <w:t>00</w:t>
      </w:r>
      <w:r>
        <w:rPr>
          <w:rFonts w:hint="eastAsia"/>
          <w:b w:val="0"/>
          <w:bCs w:val="0"/>
          <w:sz w:val="28"/>
          <w:szCs w:val="26"/>
        </w:rPr>
        <w:t>8</w:t>
      </w:r>
    </w:p>
    <w:p w:rsidR="00AE7462" w:rsidRDefault="00AE7462">
      <w:pPr>
        <w:pStyle w:val="normal3"/>
        <w:tabs>
          <w:tab w:val="clear" w:pos="4320"/>
          <w:tab w:val="clear" w:pos="4500"/>
          <w:tab w:val="clear" w:pos="9000"/>
          <w:tab w:val="clear" w:pos="9072"/>
        </w:tabs>
        <w:overflowPunct/>
        <w:autoSpaceDE/>
        <w:autoSpaceDN/>
        <w:rPr>
          <w:rFonts w:eastAsia="SimSun"/>
          <w:lang w:val="en-US"/>
        </w:rPr>
      </w:pPr>
    </w:p>
    <w:p w:rsidR="00AE7462" w:rsidRDefault="00AE7462">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AE7462" w:rsidRDefault="00AE7462">
      <w:pPr>
        <w:tabs>
          <w:tab w:val="clear" w:pos="4320"/>
          <w:tab w:val="clear" w:pos="9072"/>
        </w:tabs>
        <w:spacing w:line="360" w:lineRule="auto"/>
        <w:jc w:val="center"/>
        <w:rPr>
          <w:b/>
          <w:szCs w:val="26"/>
        </w:rPr>
      </w:pPr>
      <w:r>
        <w:rPr>
          <w:b/>
          <w:szCs w:val="26"/>
        </w:rPr>
        <w:t>IN THE DISTRICT COURT OF THE</w:t>
      </w:r>
    </w:p>
    <w:p w:rsidR="00AE7462" w:rsidRDefault="00AE7462">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AE7462" w:rsidRDefault="00AE7462">
      <w:pPr>
        <w:tabs>
          <w:tab w:val="clear" w:pos="4320"/>
          <w:tab w:val="clear" w:pos="9072"/>
        </w:tabs>
        <w:spacing w:line="360" w:lineRule="auto"/>
        <w:jc w:val="center"/>
        <w:rPr>
          <w:szCs w:val="26"/>
        </w:rPr>
      </w:pPr>
      <w:r>
        <w:rPr>
          <w:szCs w:val="26"/>
        </w:rPr>
        <w:t>PERSONAL INJURIES ACTION NO. 26</w:t>
      </w:r>
      <w:r>
        <w:rPr>
          <w:rFonts w:hint="eastAsia"/>
          <w:szCs w:val="26"/>
        </w:rPr>
        <w:t>23 OF 2008</w:t>
      </w:r>
    </w:p>
    <w:p w:rsidR="00AE7462" w:rsidRDefault="00AE7462">
      <w:pPr>
        <w:tabs>
          <w:tab w:val="clear" w:pos="4320"/>
          <w:tab w:val="clear" w:pos="9072"/>
        </w:tabs>
        <w:spacing w:line="360" w:lineRule="auto"/>
        <w:jc w:val="center"/>
        <w:rPr>
          <w:szCs w:val="26"/>
        </w:rPr>
      </w:pPr>
      <w:r>
        <w:rPr>
          <w:szCs w:val="26"/>
        </w:rPr>
        <w:t>____________</w:t>
      </w:r>
    </w:p>
    <w:p w:rsidR="00AE7462" w:rsidRDefault="00AE7462">
      <w:pPr>
        <w:tabs>
          <w:tab w:val="clear" w:pos="4320"/>
          <w:tab w:val="clear" w:pos="9072"/>
        </w:tabs>
        <w:spacing w:line="360" w:lineRule="auto"/>
        <w:rPr>
          <w:szCs w:val="26"/>
        </w:rPr>
      </w:pPr>
      <w:r>
        <w:rPr>
          <w:szCs w:val="26"/>
        </w:rPr>
        <w:t>BETWEEN</w:t>
      </w:r>
    </w:p>
    <w:p w:rsidR="00AE7462" w:rsidRDefault="00AE7462">
      <w:pPr>
        <w:tabs>
          <w:tab w:val="clear" w:pos="1440"/>
          <w:tab w:val="clear" w:pos="4320"/>
          <w:tab w:val="clear" w:pos="9072"/>
          <w:tab w:val="left" w:pos="2940"/>
          <w:tab w:val="left" w:pos="7140"/>
        </w:tabs>
        <w:spacing w:line="360" w:lineRule="auto"/>
        <w:ind w:right="-36"/>
        <w:rPr>
          <w:rFonts w:eastAsia="PMingLiU" w:hint="eastAsia"/>
          <w:szCs w:val="26"/>
          <w:lang w:eastAsia="zh-TW"/>
        </w:rPr>
      </w:pPr>
      <w:r>
        <w:rPr>
          <w:szCs w:val="26"/>
        </w:rPr>
        <w:tab/>
      </w:r>
      <w:r>
        <w:rPr>
          <w:rFonts w:hint="eastAsia"/>
          <w:szCs w:val="26"/>
        </w:rPr>
        <w:t>WONG HIU CHING</w:t>
      </w:r>
      <w:r>
        <w:rPr>
          <w:szCs w:val="26"/>
        </w:rPr>
        <w:tab/>
      </w:r>
      <w:r>
        <w:rPr>
          <w:rFonts w:eastAsia="PMingLiU" w:hint="eastAsia"/>
          <w:szCs w:val="26"/>
          <w:lang w:eastAsia="zh-TW"/>
        </w:rPr>
        <w:t>Pla</w:t>
      </w:r>
      <w:r>
        <w:rPr>
          <w:rFonts w:hint="eastAsia"/>
          <w:szCs w:val="26"/>
        </w:rPr>
        <w:t>intiff</w:t>
      </w:r>
    </w:p>
    <w:p w:rsidR="00AE7462" w:rsidRDefault="00AE7462">
      <w:pPr>
        <w:tabs>
          <w:tab w:val="clear" w:pos="1440"/>
          <w:tab w:val="clear" w:pos="4320"/>
          <w:tab w:val="clear" w:pos="9072"/>
          <w:tab w:val="left" w:pos="1540"/>
          <w:tab w:val="center" w:pos="4200"/>
          <w:tab w:val="left" w:pos="6720"/>
          <w:tab w:val="right" w:pos="8504"/>
        </w:tabs>
        <w:spacing w:line="360" w:lineRule="auto"/>
        <w:ind w:right="-29"/>
        <w:jc w:val="center"/>
        <w:rPr>
          <w:szCs w:val="26"/>
        </w:rPr>
      </w:pPr>
      <w:r>
        <w:rPr>
          <w:szCs w:val="26"/>
        </w:rPr>
        <w:t>and</w:t>
      </w:r>
    </w:p>
    <w:p w:rsidR="00AE7462" w:rsidRDefault="00AE7462">
      <w:pPr>
        <w:tabs>
          <w:tab w:val="clear" w:pos="1440"/>
          <w:tab w:val="clear" w:pos="4320"/>
          <w:tab w:val="clear" w:pos="9072"/>
          <w:tab w:val="left" w:pos="3220"/>
          <w:tab w:val="left" w:pos="7140"/>
        </w:tabs>
        <w:spacing w:line="360" w:lineRule="auto"/>
        <w:ind w:right="-29"/>
        <w:rPr>
          <w:szCs w:val="26"/>
        </w:rPr>
      </w:pPr>
      <w:r>
        <w:rPr>
          <w:szCs w:val="26"/>
        </w:rPr>
        <w:tab/>
      </w:r>
      <w:r>
        <w:rPr>
          <w:rFonts w:hint="eastAsia"/>
          <w:szCs w:val="26"/>
        </w:rPr>
        <w:t>LAM PUI LING</w:t>
      </w:r>
      <w:r>
        <w:rPr>
          <w:szCs w:val="26"/>
        </w:rPr>
        <w:tab/>
      </w:r>
      <w:r>
        <w:rPr>
          <w:rFonts w:hint="eastAsia"/>
          <w:szCs w:val="26"/>
        </w:rPr>
        <w:t>Defendant</w:t>
      </w:r>
    </w:p>
    <w:p w:rsidR="00AE7462" w:rsidRDefault="00AE7462">
      <w:pPr>
        <w:tabs>
          <w:tab w:val="clear" w:pos="4320"/>
          <w:tab w:val="clear" w:pos="9072"/>
        </w:tabs>
        <w:spacing w:line="360" w:lineRule="auto"/>
        <w:jc w:val="center"/>
        <w:rPr>
          <w:szCs w:val="26"/>
        </w:rPr>
      </w:pPr>
      <w:r>
        <w:rPr>
          <w:szCs w:val="26"/>
        </w:rPr>
        <w:t>____________</w:t>
      </w:r>
    </w:p>
    <w:p w:rsidR="00AE7462" w:rsidRDefault="00AE7462">
      <w:pPr>
        <w:tabs>
          <w:tab w:val="clear" w:pos="4320"/>
          <w:tab w:val="clear" w:pos="9072"/>
        </w:tabs>
        <w:spacing w:line="360" w:lineRule="auto"/>
        <w:rPr>
          <w:rFonts w:hint="eastAsia"/>
          <w:szCs w:val="26"/>
        </w:rPr>
      </w:pPr>
    </w:p>
    <w:p w:rsidR="00AE7462" w:rsidRDefault="00AE7462">
      <w:pPr>
        <w:tabs>
          <w:tab w:val="clear" w:pos="4320"/>
          <w:tab w:val="clear" w:pos="9072"/>
        </w:tabs>
        <w:spacing w:line="360" w:lineRule="auto"/>
        <w:rPr>
          <w:rFonts w:hint="eastAsia"/>
          <w:szCs w:val="26"/>
        </w:rPr>
      </w:pPr>
      <w:r>
        <w:rPr>
          <w:rFonts w:hint="eastAsia"/>
          <w:szCs w:val="26"/>
        </w:rPr>
        <w:t>Coram</w:t>
      </w:r>
      <w:r>
        <w:rPr>
          <w:szCs w:val="26"/>
        </w:rPr>
        <w:t>: H.H. Judge Chow</w:t>
      </w:r>
    </w:p>
    <w:p w:rsidR="00AE7462" w:rsidRDefault="00AE7462">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 xml:space="preserve"> o</w:t>
      </w:r>
      <w:r>
        <w:rPr>
          <w:szCs w:val="26"/>
        </w:rPr>
        <w:t xml:space="preserve">f Hearing: </w:t>
      </w:r>
      <w:r>
        <w:rPr>
          <w:rFonts w:hint="eastAsia"/>
          <w:szCs w:val="26"/>
        </w:rPr>
        <w:t>29</w:t>
      </w:r>
      <w:r>
        <w:rPr>
          <w:rFonts w:hint="eastAsia"/>
          <w:szCs w:val="26"/>
          <w:vertAlign w:val="superscript"/>
        </w:rPr>
        <w:t>th</w:t>
      </w:r>
      <w:r>
        <w:rPr>
          <w:rFonts w:hint="eastAsia"/>
          <w:szCs w:val="26"/>
        </w:rPr>
        <w:t xml:space="preserve"> May 2009</w:t>
      </w:r>
    </w:p>
    <w:p w:rsidR="00AE7462" w:rsidRDefault="00AE7462">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szCs w:val="26"/>
        </w:rPr>
        <w:t>Decision:</w:t>
      </w:r>
      <w:r>
        <w:rPr>
          <w:rFonts w:hint="eastAsia"/>
          <w:szCs w:val="26"/>
        </w:rPr>
        <w:t xml:space="preserve"> 12</w:t>
      </w:r>
      <w:r>
        <w:rPr>
          <w:rFonts w:hint="eastAsia"/>
          <w:szCs w:val="26"/>
          <w:vertAlign w:val="superscript"/>
        </w:rPr>
        <w:t>th</w:t>
      </w:r>
      <w:r>
        <w:rPr>
          <w:rFonts w:hint="eastAsia"/>
          <w:szCs w:val="26"/>
        </w:rPr>
        <w:t xml:space="preserve"> June, 2009</w:t>
      </w:r>
    </w:p>
    <w:p w:rsidR="00AE7462" w:rsidRDefault="00AE7462">
      <w:pPr>
        <w:tabs>
          <w:tab w:val="clear" w:pos="4320"/>
          <w:tab w:val="clear" w:pos="9072"/>
        </w:tabs>
        <w:spacing w:line="360" w:lineRule="auto"/>
        <w:rPr>
          <w:rFonts w:eastAsia="PMingLiU" w:hint="eastAsia"/>
          <w:szCs w:val="26"/>
          <w:lang w:eastAsia="zh-TW"/>
        </w:rPr>
      </w:pPr>
    </w:p>
    <w:p w:rsidR="00AE7462" w:rsidRDefault="00AE7462">
      <w:pPr>
        <w:keepNext/>
        <w:tabs>
          <w:tab w:val="clear" w:pos="4320"/>
          <w:tab w:val="clear" w:pos="9072"/>
        </w:tabs>
        <w:spacing w:line="360" w:lineRule="auto"/>
        <w:jc w:val="center"/>
        <w:rPr>
          <w:rFonts w:hint="eastAsia"/>
          <w:szCs w:val="26"/>
          <w:u w:val="single"/>
        </w:rPr>
      </w:pPr>
      <w:r>
        <w:rPr>
          <w:rFonts w:eastAsia="PMingLiU"/>
          <w:szCs w:val="26"/>
          <w:u w:val="single"/>
          <w:lang w:eastAsia="zh-TW"/>
        </w:rPr>
        <w:t>DECISION</w:t>
      </w:r>
    </w:p>
    <w:p w:rsidR="00AE7462" w:rsidRDefault="00AE7462">
      <w:pPr>
        <w:pStyle w:val="normal1"/>
        <w:tabs>
          <w:tab w:val="clear" w:pos="1411"/>
          <w:tab w:val="clear" w:pos="4320"/>
          <w:tab w:val="clear" w:pos="9072"/>
        </w:tabs>
        <w:overflowPunct/>
        <w:autoSpaceDE/>
        <w:autoSpaceDN/>
        <w:rPr>
          <w:rFonts w:eastAsia="SimSun" w:hint="eastAsia"/>
          <w:bCs w:val="0"/>
          <w:caps w:val="0"/>
          <w:szCs w:val="26"/>
          <w:lang w:val="en-US"/>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szCs w:val="26"/>
        </w:rPr>
        <w:t xml:space="preserve">This is the Plaintiff’s application </w:t>
      </w:r>
      <w:r>
        <w:rPr>
          <w:rFonts w:hint="eastAsia"/>
          <w:szCs w:val="26"/>
        </w:rPr>
        <w:t>under section 30 of the Limitation Ordinance (</w:t>
      </w:r>
      <w:r>
        <w:rPr>
          <w:szCs w:val="26"/>
        </w:rPr>
        <w:t>“</w:t>
      </w:r>
      <w:r>
        <w:rPr>
          <w:rFonts w:hint="eastAsia"/>
          <w:szCs w:val="26"/>
        </w:rPr>
        <w:t>the Ordinance</w:t>
      </w:r>
      <w:r>
        <w:rPr>
          <w:szCs w:val="26"/>
        </w:rPr>
        <w:t>”</w:t>
      </w:r>
      <w:r>
        <w:rPr>
          <w:rFonts w:hint="eastAsia"/>
          <w:szCs w:val="26"/>
        </w:rPr>
        <w:t xml:space="preserve">) for leave to proceed with this action against the </w:t>
      </w:r>
      <w:r>
        <w:rPr>
          <w:szCs w:val="26"/>
        </w:rPr>
        <w:t>Defendant</w:t>
      </w:r>
      <w:r>
        <w:rPr>
          <w:rFonts w:hint="eastAsia"/>
          <w:szCs w:val="26"/>
        </w:rPr>
        <w:t xml:space="preserve"> despite the expiration of the period specified in section 27 of the Ordinance.</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The Claim</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In the statement of claim, it is the Plaintiff</w:t>
      </w:r>
      <w:r>
        <w:rPr>
          <w:szCs w:val="26"/>
        </w:rPr>
        <w:t>’</w:t>
      </w:r>
      <w:r>
        <w:rPr>
          <w:rFonts w:hint="eastAsia"/>
          <w:szCs w:val="26"/>
        </w:rPr>
        <w:t xml:space="preserve">s allegation that on 14.7.2005 at about 0014 hours, the </w:t>
      </w:r>
      <w:r>
        <w:rPr>
          <w:szCs w:val="26"/>
        </w:rPr>
        <w:t>Plaintiff</w:t>
      </w:r>
      <w:r>
        <w:rPr>
          <w:rFonts w:hint="eastAsia"/>
          <w:szCs w:val="26"/>
        </w:rPr>
        <w:t xml:space="preserve"> was a passenger inside a taxi which ran along Gascoigne Road.  When it reached the junction with </w:t>
      </w:r>
      <w:r>
        <w:rPr>
          <w:rFonts w:hint="eastAsia"/>
          <w:szCs w:val="26"/>
        </w:rPr>
        <w:lastRenderedPageBreak/>
        <w:t xml:space="preserve">Jordan Road, the taxi collided with a private car driven by the </w:t>
      </w:r>
      <w:r>
        <w:rPr>
          <w:szCs w:val="26"/>
        </w:rPr>
        <w:t>Defendant</w:t>
      </w:r>
      <w:r>
        <w:rPr>
          <w:rFonts w:hint="eastAsia"/>
          <w:szCs w:val="26"/>
        </w:rPr>
        <w:t>, (</w:t>
      </w:r>
      <w:r>
        <w:rPr>
          <w:szCs w:val="26"/>
        </w:rPr>
        <w:t>“</w:t>
      </w:r>
      <w:r>
        <w:rPr>
          <w:rFonts w:hint="eastAsia"/>
          <w:szCs w:val="26"/>
        </w:rPr>
        <w:t>the Accident</w:t>
      </w:r>
      <w:r>
        <w:rPr>
          <w:szCs w:val="26"/>
        </w:rPr>
        <w:t>”</w:t>
      </w:r>
      <w:r>
        <w:rPr>
          <w:rFonts w:hint="eastAsia"/>
          <w:szCs w:val="26"/>
        </w:rPr>
        <w:t xml:space="preserve">).  As a result, the </w:t>
      </w:r>
      <w:r>
        <w:rPr>
          <w:szCs w:val="26"/>
        </w:rPr>
        <w:t>Plaintiff</w:t>
      </w:r>
      <w:r>
        <w:rPr>
          <w:rFonts w:hint="eastAsia"/>
          <w:szCs w:val="26"/>
        </w:rPr>
        <w:t xml:space="preserve"> suffered personal injuries.</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January 2007, the </w:t>
      </w:r>
      <w:r>
        <w:rPr>
          <w:szCs w:val="26"/>
        </w:rPr>
        <w:t>Plaintiff</w:t>
      </w:r>
      <w:r>
        <w:rPr>
          <w:rFonts w:hint="eastAsia"/>
          <w:szCs w:val="26"/>
        </w:rPr>
        <w:t xml:space="preserve"> gave instructions to her former solicitors Messrs. Tam, Pun &amp; Yipp (</w:t>
      </w:r>
      <w:r>
        <w:rPr>
          <w:szCs w:val="26"/>
        </w:rPr>
        <w:t>“</w:t>
      </w:r>
      <w:r>
        <w:rPr>
          <w:rFonts w:hint="eastAsia"/>
          <w:szCs w:val="26"/>
        </w:rPr>
        <w:t>TPY</w:t>
      </w:r>
      <w:r>
        <w:rPr>
          <w:szCs w:val="26"/>
        </w:rPr>
        <w:t>”</w:t>
      </w:r>
      <w:r>
        <w:rPr>
          <w:rFonts w:hint="eastAsia"/>
          <w:szCs w:val="26"/>
        </w:rPr>
        <w:t xml:space="preserve">) to institute a claim against the </w:t>
      </w:r>
      <w:r>
        <w:rPr>
          <w:szCs w:val="26"/>
        </w:rPr>
        <w:t>Defendant</w:t>
      </w:r>
      <w:r>
        <w:rPr>
          <w:rFonts w:hint="eastAsia"/>
          <w:szCs w:val="26"/>
        </w:rPr>
        <w:t xml:space="preserve"> for damages for personal injuries she sustained as a result of the Accident.</w:t>
      </w:r>
    </w:p>
    <w:p w:rsidR="00AE7462" w:rsidRDefault="00AE7462">
      <w:pPr>
        <w:widowControl w:val="0"/>
        <w:tabs>
          <w:tab w:val="clear" w:pos="1440"/>
          <w:tab w:val="clear" w:pos="4320"/>
          <w:tab w:val="clear" w:pos="9072"/>
          <w:tab w:val="left" w:pos="1400"/>
        </w:tabs>
        <w:spacing w:line="360" w:lineRule="auto"/>
        <w:jc w:val="both"/>
        <w:rPr>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October 2007, the handling solicitor (a Mr. Chiu Che Kuen) of the case passed away without leaving any arrangement to TPY for the cases handled by him.  These cases include the </w:t>
      </w:r>
      <w:r>
        <w:rPr>
          <w:szCs w:val="26"/>
        </w:rPr>
        <w:t>Plaintiff’</w:t>
      </w:r>
      <w:r>
        <w:rPr>
          <w:rFonts w:hint="eastAsia"/>
          <w:szCs w:val="26"/>
        </w:rPr>
        <w:t>s file.  Then Mr. Paul Yau, a partner of TPY, instructed a litigation clerk to pass to him all the files hanled by Mr. Chiu Che Kuen, but due to inadvertence, the clerk failed to pass to Mr. Paul Yau the Plaintiff</w:t>
      </w:r>
      <w:r>
        <w:rPr>
          <w:szCs w:val="26"/>
        </w:rPr>
        <w:t>’</w:t>
      </w:r>
      <w:r>
        <w:rPr>
          <w:rFonts w:hint="eastAsia"/>
          <w:szCs w:val="26"/>
        </w:rPr>
        <w:t>s file.  In December 2008, Mr. Paul Yau came to know the existence of the Plaintiff</w:t>
      </w:r>
      <w:r>
        <w:rPr>
          <w:szCs w:val="26"/>
        </w:rPr>
        <w:t>’</w:t>
      </w:r>
      <w:r>
        <w:rPr>
          <w:rFonts w:hint="eastAsia"/>
          <w:szCs w:val="26"/>
        </w:rPr>
        <w:t>s file.</w:t>
      </w:r>
    </w:p>
    <w:p w:rsidR="00AE7462" w:rsidRDefault="00AE7462">
      <w:pPr>
        <w:widowControl w:val="0"/>
        <w:tabs>
          <w:tab w:val="clear" w:pos="1440"/>
          <w:tab w:val="clear" w:pos="4320"/>
          <w:tab w:val="clear" w:pos="9072"/>
          <w:tab w:val="left" w:pos="1400"/>
        </w:tabs>
        <w:spacing w:line="360" w:lineRule="auto"/>
        <w:jc w:val="both"/>
        <w:rPr>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On 5.12.2008 TPY issued the present writ for the </w:t>
      </w:r>
      <w:r>
        <w:rPr>
          <w:szCs w:val="26"/>
        </w:rPr>
        <w:t>Plaintiff</w:t>
      </w:r>
      <w:r>
        <w:rPr>
          <w:rFonts w:hint="eastAsia"/>
          <w:szCs w:val="26"/>
        </w:rPr>
        <w:t xml:space="preserve"> against the </w:t>
      </w:r>
      <w:r>
        <w:rPr>
          <w:szCs w:val="26"/>
        </w:rPr>
        <w:t>Defendant</w:t>
      </w:r>
      <w:r>
        <w:rPr>
          <w:rFonts w:hint="eastAsia"/>
          <w:szCs w:val="26"/>
        </w:rPr>
        <w:t>.  By then 3 years and 4 months and 20 days had elapsed since the Accident.</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The Law</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Section 27 of the Ordinance provides that subject to section 30 of the Ordinance, an action has to be brought within 3 years of </w:t>
      </w:r>
      <w:r>
        <w:rPr>
          <w:szCs w:val="26"/>
        </w:rPr>
        <w:t>the</w:t>
      </w:r>
      <w:r>
        <w:rPr>
          <w:rFonts w:hint="eastAsia"/>
          <w:szCs w:val="26"/>
        </w:rPr>
        <w:t xml:space="preserve"> occurrence of the Accident.  Section 30 confers upon this Court an unfettered discretion to disregard the 3 years</w:t>
      </w:r>
      <w:r>
        <w:rPr>
          <w:szCs w:val="26"/>
        </w:rPr>
        <w:t>’</w:t>
      </w:r>
      <w:r>
        <w:rPr>
          <w:rFonts w:hint="eastAsia"/>
          <w:szCs w:val="26"/>
        </w:rPr>
        <w:t xml:space="preserve"> limitation period if it would be equitable to allow the action to proceed.  But in the exercise of this discretion, this Court has to pay regard to all the circumstances of the case, </w:t>
      </w:r>
      <w:r>
        <w:rPr>
          <w:rFonts w:hint="eastAsia"/>
          <w:szCs w:val="26"/>
        </w:rPr>
        <w:lastRenderedPageBreak/>
        <w:t xml:space="preserve">including in particular the factors listed out in section 30 (3) of </w:t>
      </w:r>
      <w:r>
        <w:rPr>
          <w:szCs w:val="26"/>
        </w:rPr>
        <w:t>the</w:t>
      </w:r>
      <w:r>
        <w:rPr>
          <w:rFonts w:hint="eastAsia"/>
          <w:szCs w:val="26"/>
        </w:rPr>
        <w:t xml:space="preserve"> Ordinance.</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w:t>
      </w:r>
      <w:r>
        <w:rPr>
          <w:rFonts w:hint="eastAsia"/>
          <w:i/>
          <w:iCs/>
          <w:szCs w:val="26"/>
        </w:rPr>
        <w:t>Chuck Wai Man v. Asia Television Limited</w:t>
      </w:r>
      <w:r>
        <w:rPr>
          <w:rFonts w:hint="eastAsia"/>
          <w:szCs w:val="26"/>
        </w:rPr>
        <w:t xml:space="preserve"> (CACV 29/2008) the Hon. Tang V.P. stated:-</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tabs>
          <w:tab w:val="clear" w:pos="1440"/>
          <w:tab w:val="clear" w:pos="4320"/>
          <w:tab w:val="clear" w:pos="9072"/>
          <w:tab w:val="left" w:pos="1400"/>
        </w:tabs>
        <w:spacing w:line="360" w:lineRule="auto"/>
        <w:ind w:left="1400" w:right="746"/>
        <w:jc w:val="both"/>
        <w:rPr>
          <w:rFonts w:hint="eastAsia"/>
          <w:szCs w:val="26"/>
        </w:rPr>
      </w:pPr>
      <w:r>
        <w:rPr>
          <w:szCs w:val="26"/>
        </w:rPr>
        <w:t>‘</w:t>
      </w:r>
      <w:r>
        <w:rPr>
          <w:rFonts w:hint="eastAsia"/>
          <w:szCs w:val="26"/>
        </w:rPr>
        <w:t xml:space="preserve">The correct approach is well settled.  As Lord Hoffmann said in Horton v. Sadler [2007] 1AC 307 </w:t>
      </w:r>
      <w:r>
        <w:rPr>
          <w:szCs w:val="26"/>
        </w:rPr>
        <w:t>…</w:t>
      </w:r>
      <w:r>
        <w:rPr>
          <w:rFonts w:hint="eastAsia"/>
          <w:szCs w:val="26"/>
        </w:rPr>
        <w:t xml:space="preserve"> </w:t>
      </w:r>
      <w:r>
        <w:rPr>
          <w:szCs w:val="26"/>
        </w:rPr>
        <w:t>…</w:t>
      </w:r>
      <w:r>
        <w:rPr>
          <w:rFonts w:hint="eastAsia"/>
          <w:szCs w:val="26"/>
        </w:rPr>
        <w:t xml:space="preserve"> </w:t>
      </w:r>
      <w:r>
        <w:rPr>
          <w:szCs w:val="26"/>
        </w:rPr>
        <w:t>…</w:t>
      </w:r>
      <w:r>
        <w:rPr>
          <w:rFonts w:hint="eastAsia"/>
          <w:szCs w:val="26"/>
        </w:rPr>
        <w:t xml:space="preserve"> </w:t>
      </w:r>
      <w:r>
        <w:rPr>
          <w:szCs w:val="26"/>
        </w:rPr>
        <w:t>…</w:t>
      </w:r>
      <w:r>
        <w:rPr>
          <w:rFonts w:hint="eastAsia"/>
          <w:szCs w:val="26"/>
        </w:rPr>
        <w:t>: -</w:t>
      </w:r>
    </w:p>
    <w:p w:rsidR="00AE7462" w:rsidRDefault="00AE7462">
      <w:pPr>
        <w:widowControl w:val="0"/>
        <w:tabs>
          <w:tab w:val="clear" w:pos="1440"/>
          <w:tab w:val="clear" w:pos="4320"/>
          <w:tab w:val="clear" w:pos="9072"/>
          <w:tab w:val="left" w:pos="1400"/>
        </w:tabs>
        <w:spacing w:line="360" w:lineRule="auto"/>
        <w:ind w:left="1400" w:right="746"/>
        <w:jc w:val="both"/>
        <w:rPr>
          <w:rFonts w:hint="eastAsia"/>
          <w:szCs w:val="26"/>
        </w:rPr>
      </w:pPr>
    </w:p>
    <w:p w:rsidR="00AE7462" w:rsidRDefault="00AE7462">
      <w:pPr>
        <w:widowControl w:val="0"/>
        <w:tabs>
          <w:tab w:val="clear" w:pos="1440"/>
          <w:tab w:val="clear" w:pos="4320"/>
          <w:tab w:val="clear" w:pos="9072"/>
          <w:tab w:val="left" w:pos="2240"/>
        </w:tabs>
        <w:spacing w:line="360" w:lineRule="auto"/>
        <w:ind w:left="2240" w:right="746"/>
        <w:jc w:val="both"/>
        <w:rPr>
          <w:rFonts w:hint="eastAsia"/>
          <w:szCs w:val="26"/>
        </w:rPr>
      </w:pPr>
      <w:r>
        <w:rPr>
          <w:szCs w:val="26"/>
        </w:rPr>
        <w:t>“……</w:t>
      </w:r>
      <w:r>
        <w:rPr>
          <w:rFonts w:hint="eastAsia"/>
          <w:szCs w:val="26"/>
        </w:rPr>
        <w:t xml:space="preserve"> the practice of the courts has been regularly to exercise the discretion in favour of the p</w:t>
      </w:r>
      <w:r>
        <w:rPr>
          <w:szCs w:val="26"/>
        </w:rPr>
        <w:t>laintiff</w:t>
      </w:r>
      <w:r>
        <w:rPr>
          <w:rFonts w:hint="eastAsia"/>
          <w:szCs w:val="26"/>
        </w:rPr>
        <w:t xml:space="preserve"> in all cases in which the d</w:t>
      </w:r>
      <w:r>
        <w:rPr>
          <w:szCs w:val="26"/>
        </w:rPr>
        <w:t>efendant</w:t>
      </w:r>
      <w:r>
        <w:rPr>
          <w:rFonts w:hint="eastAsia"/>
          <w:szCs w:val="26"/>
        </w:rPr>
        <w:t xml:space="preserve"> cannot show that he has been prejudiced by the delay.</w:t>
      </w:r>
      <w:r>
        <w:rPr>
          <w:szCs w:val="26"/>
        </w:rPr>
        <w:t>”</w:t>
      </w:r>
    </w:p>
    <w:p w:rsidR="00AE7462" w:rsidRDefault="00AE7462">
      <w:pPr>
        <w:widowControl w:val="0"/>
        <w:tabs>
          <w:tab w:val="clear" w:pos="1440"/>
          <w:tab w:val="clear" w:pos="4320"/>
          <w:tab w:val="clear" w:pos="9072"/>
          <w:tab w:val="left" w:pos="2240"/>
        </w:tabs>
        <w:spacing w:line="360" w:lineRule="auto"/>
        <w:ind w:left="2240" w:right="746"/>
        <w:jc w:val="both"/>
        <w:rPr>
          <w:rFonts w:hint="eastAsia"/>
          <w:szCs w:val="26"/>
        </w:rPr>
      </w:pPr>
      <w:r>
        <w:rPr>
          <w:rFonts w:hint="eastAsia"/>
          <w:szCs w:val="26"/>
        </w:rPr>
        <w:t>and that: -</w:t>
      </w:r>
    </w:p>
    <w:p w:rsidR="00AE7462" w:rsidRDefault="00AE7462">
      <w:pPr>
        <w:widowControl w:val="0"/>
        <w:tabs>
          <w:tab w:val="clear" w:pos="1440"/>
          <w:tab w:val="clear" w:pos="4320"/>
          <w:tab w:val="clear" w:pos="9072"/>
          <w:tab w:val="left" w:pos="2240"/>
        </w:tabs>
        <w:spacing w:line="360" w:lineRule="auto"/>
        <w:ind w:left="2240" w:right="746"/>
        <w:jc w:val="both"/>
        <w:rPr>
          <w:rFonts w:hint="eastAsia"/>
          <w:szCs w:val="26"/>
        </w:rPr>
      </w:pPr>
      <w:r>
        <w:rPr>
          <w:szCs w:val="26"/>
        </w:rPr>
        <w:t>“……</w:t>
      </w:r>
      <w:r>
        <w:rPr>
          <w:rFonts w:hint="eastAsia"/>
          <w:szCs w:val="26"/>
        </w:rPr>
        <w:t xml:space="preserve"> the plea of limitation </w:t>
      </w:r>
      <w:r>
        <w:rPr>
          <w:szCs w:val="26"/>
        </w:rPr>
        <w:t>which</w:t>
      </w:r>
      <w:r>
        <w:rPr>
          <w:rFonts w:hint="eastAsia"/>
          <w:szCs w:val="26"/>
        </w:rPr>
        <w:t xml:space="preserve"> the statute confers upon the d</w:t>
      </w:r>
      <w:r>
        <w:rPr>
          <w:szCs w:val="26"/>
        </w:rPr>
        <w:t>efendant</w:t>
      </w:r>
      <w:r>
        <w:rPr>
          <w:rFonts w:hint="eastAsia"/>
          <w:szCs w:val="26"/>
        </w:rPr>
        <w:t xml:space="preserve"> is, in the absence of </w:t>
      </w:r>
      <w:r>
        <w:rPr>
          <w:szCs w:val="26"/>
        </w:rPr>
        <w:t>forensic</w:t>
      </w:r>
      <w:r>
        <w:rPr>
          <w:rFonts w:hint="eastAsia"/>
          <w:szCs w:val="26"/>
        </w:rPr>
        <w:t xml:space="preserve"> prejudice, described as a windfall of which he can </w:t>
      </w:r>
      <w:r>
        <w:rPr>
          <w:szCs w:val="26"/>
        </w:rPr>
        <w:t>properly</w:t>
      </w:r>
      <w:r>
        <w:rPr>
          <w:rFonts w:hint="eastAsia"/>
          <w:szCs w:val="26"/>
        </w:rPr>
        <w:t xml:space="preserve"> be deprived.</w:t>
      </w:r>
      <w:r>
        <w:rPr>
          <w:szCs w:val="26"/>
        </w:rPr>
        <w:t>”</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In this case the delay is 4 months and 20 days.  It is not a long delay.  It was not caused by the </w:t>
      </w:r>
      <w:r>
        <w:rPr>
          <w:szCs w:val="26"/>
        </w:rPr>
        <w:t>Plaintiff</w:t>
      </w:r>
      <w:r>
        <w:rPr>
          <w:rFonts w:hint="eastAsia"/>
          <w:szCs w:val="26"/>
        </w:rPr>
        <w:t xml:space="preserve">.  It was caused by the death of Mr. Chiu and subsequently by the litigation clerk of TPY.  There is no </w:t>
      </w:r>
      <w:r>
        <w:rPr>
          <w:szCs w:val="26"/>
        </w:rPr>
        <w:t>evidence</w:t>
      </w:r>
      <w:r>
        <w:rPr>
          <w:rFonts w:hint="eastAsia"/>
          <w:szCs w:val="26"/>
        </w:rPr>
        <w:t xml:space="preserve"> to show that the </w:t>
      </w:r>
      <w:r>
        <w:rPr>
          <w:szCs w:val="26"/>
        </w:rPr>
        <w:t>Defendant</w:t>
      </w:r>
      <w:r>
        <w:rPr>
          <w:rFonts w:hint="eastAsia"/>
          <w:szCs w:val="26"/>
        </w:rPr>
        <w:t xml:space="preserve"> would suffer evidential or forensic prejudice if this Court disregards the limitation period.  Hence it is equitable to allow the action to proceed.  Being bound by the rule of law applied by the Court of Appeal in </w:t>
      </w:r>
      <w:r>
        <w:rPr>
          <w:rFonts w:hint="eastAsia"/>
          <w:i/>
          <w:iCs/>
          <w:szCs w:val="26"/>
        </w:rPr>
        <w:t>Chuck Wai Man</w:t>
      </w:r>
      <w:r>
        <w:rPr>
          <w:rFonts w:hint="eastAsia"/>
          <w:szCs w:val="26"/>
        </w:rPr>
        <w:t xml:space="preserve">, this Court will exercise the statutory discretion in faovur of the </w:t>
      </w:r>
      <w:r>
        <w:rPr>
          <w:szCs w:val="26"/>
        </w:rPr>
        <w:t>Plaintiff</w:t>
      </w:r>
      <w:r>
        <w:rPr>
          <w:rFonts w:hint="eastAsia"/>
          <w:szCs w:val="26"/>
        </w:rPr>
        <w:t xml:space="preserve">.  The </w:t>
      </w:r>
      <w:r>
        <w:rPr>
          <w:szCs w:val="26"/>
        </w:rPr>
        <w:t>Defendant</w:t>
      </w:r>
      <w:r>
        <w:rPr>
          <w:rFonts w:hint="eastAsia"/>
          <w:szCs w:val="26"/>
        </w:rPr>
        <w:t xml:space="preserve"> cited the case </w:t>
      </w:r>
      <w:r>
        <w:rPr>
          <w:rFonts w:hint="eastAsia"/>
          <w:i/>
          <w:iCs/>
          <w:szCs w:val="26"/>
        </w:rPr>
        <w:t>of Ng Keung Lung v. Lam C</w:t>
      </w:r>
      <w:r>
        <w:rPr>
          <w:rFonts w:hint="eastAsia"/>
          <w:i/>
          <w:iCs/>
          <w:szCs w:val="26"/>
        </w:rPr>
        <w:t>hik Suen</w:t>
      </w:r>
      <w:r>
        <w:rPr>
          <w:rFonts w:hint="eastAsia"/>
          <w:szCs w:val="26"/>
        </w:rPr>
        <w:t xml:space="preserve"> HCPI 512/2004 as an authority to oppose the </w:t>
      </w:r>
      <w:r>
        <w:rPr>
          <w:szCs w:val="26"/>
        </w:rPr>
        <w:t>Plaintiff’</w:t>
      </w:r>
      <w:r>
        <w:rPr>
          <w:rFonts w:hint="eastAsia"/>
          <w:szCs w:val="26"/>
        </w:rPr>
        <w:t xml:space="preserve">s application.  But in that case the rule of law adopted by </w:t>
      </w:r>
      <w:r>
        <w:rPr>
          <w:rFonts w:hint="eastAsia"/>
          <w:i/>
          <w:iCs/>
          <w:szCs w:val="26"/>
        </w:rPr>
        <w:t>Chuck Wai Man</w:t>
      </w:r>
      <w:r>
        <w:rPr>
          <w:rFonts w:hint="eastAsia"/>
          <w:szCs w:val="26"/>
        </w:rPr>
        <w:t xml:space="preserve"> was not referred to.  Hence that case offers no </w:t>
      </w:r>
      <w:r>
        <w:rPr>
          <w:szCs w:val="26"/>
        </w:rPr>
        <w:t>assistance</w:t>
      </w:r>
      <w:r>
        <w:rPr>
          <w:rFonts w:hint="eastAsia"/>
          <w:szCs w:val="26"/>
        </w:rPr>
        <w:t xml:space="preserve"> as a guidance to this Court as to how to exercise its discretion towards the facts of this case.  Furthermore, in that case, the Court held that:-</w:t>
      </w:r>
    </w:p>
    <w:p w:rsidR="00AE7462" w:rsidRDefault="00AE7462">
      <w:pPr>
        <w:widowControl w:val="0"/>
        <w:tabs>
          <w:tab w:val="clear" w:pos="1440"/>
          <w:tab w:val="clear" w:pos="4320"/>
          <w:tab w:val="clear" w:pos="9072"/>
          <w:tab w:val="left" w:pos="1400"/>
        </w:tabs>
        <w:spacing w:line="360" w:lineRule="auto"/>
        <w:ind w:left="1418" w:right="1218"/>
        <w:jc w:val="both"/>
        <w:rPr>
          <w:rFonts w:hint="eastAsia"/>
          <w:szCs w:val="26"/>
        </w:rPr>
      </w:pPr>
      <w:r>
        <w:rPr>
          <w:szCs w:val="26"/>
        </w:rPr>
        <w:t>“…</w:t>
      </w:r>
      <w:r>
        <w:rPr>
          <w:rFonts w:hint="eastAsia"/>
          <w:szCs w:val="26"/>
        </w:rPr>
        <w:t xml:space="preserve"> </w:t>
      </w:r>
      <w:r>
        <w:rPr>
          <w:szCs w:val="26"/>
        </w:rPr>
        <w:t>…</w:t>
      </w:r>
      <w:r>
        <w:rPr>
          <w:rFonts w:hint="eastAsia"/>
          <w:szCs w:val="26"/>
        </w:rPr>
        <w:t xml:space="preserve"> there is nothing that could be </w:t>
      </w:r>
      <w:r>
        <w:rPr>
          <w:szCs w:val="26"/>
        </w:rPr>
        <w:t>said</w:t>
      </w:r>
      <w:r>
        <w:rPr>
          <w:rFonts w:hint="eastAsia"/>
          <w:szCs w:val="26"/>
        </w:rPr>
        <w:t xml:space="preserve"> in favour of the Plaintiff.  He could offer no reason for the delay.  There was a total failure to take prompt action </w:t>
      </w:r>
      <w:r>
        <w:rPr>
          <w:szCs w:val="26"/>
        </w:rPr>
        <w:t>…</w:t>
      </w:r>
      <w:r>
        <w:rPr>
          <w:rFonts w:hint="eastAsia"/>
          <w:szCs w:val="26"/>
        </w:rPr>
        <w:t xml:space="preserve"> </w:t>
      </w:r>
      <w:r>
        <w:rPr>
          <w:szCs w:val="26"/>
        </w:rPr>
        <w:t>…</w:t>
      </w:r>
      <w:r>
        <w:rPr>
          <w:rFonts w:hint="eastAsia"/>
          <w:szCs w:val="26"/>
        </w:rPr>
        <w:t xml:space="preserve"> There is no equity that the Court </w:t>
      </w:r>
      <w:r>
        <w:rPr>
          <w:szCs w:val="26"/>
        </w:rPr>
        <w:t>should</w:t>
      </w:r>
      <w:r>
        <w:rPr>
          <w:rFonts w:hint="eastAsia"/>
          <w:szCs w:val="26"/>
        </w:rPr>
        <w:t xml:space="preserve"> come to the aid of a party so guilty of dilatory conduct. </w:t>
      </w:r>
      <w:r>
        <w:rPr>
          <w:szCs w:val="26"/>
        </w:rPr>
        <w:t>…</w:t>
      </w:r>
      <w:r>
        <w:rPr>
          <w:rFonts w:hint="eastAsia"/>
          <w:szCs w:val="26"/>
        </w:rPr>
        <w:t xml:space="preserve"> </w:t>
      </w:r>
      <w:r>
        <w:rPr>
          <w:szCs w:val="26"/>
        </w:rPr>
        <w:t>…</w:t>
      </w:r>
      <w:r>
        <w:rPr>
          <w:rFonts w:hint="eastAsia"/>
          <w:szCs w:val="26"/>
        </w:rPr>
        <w:t xml:space="preserve"> On the facts of the case, it would not be equitable to allow the </w:t>
      </w:r>
      <w:r>
        <w:rPr>
          <w:szCs w:val="26"/>
        </w:rPr>
        <w:t>action</w:t>
      </w:r>
      <w:r>
        <w:rPr>
          <w:rFonts w:hint="eastAsia"/>
          <w:szCs w:val="26"/>
        </w:rPr>
        <w:t xml:space="preserve"> to proceed.</w:t>
      </w:r>
      <w:r>
        <w:rPr>
          <w:szCs w:val="26"/>
        </w:rPr>
        <w:t>”</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tabs>
          <w:tab w:val="clear" w:pos="1440"/>
          <w:tab w:val="clear" w:pos="4320"/>
          <w:tab w:val="clear" w:pos="9072"/>
          <w:tab w:val="left" w:pos="1400"/>
        </w:tabs>
        <w:spacing w:line="360" w:lineRule="auto"/>
        <w:jc w:val="both"/>
        <w:rPr>
          <w:rFonts w:hint="eastAsia"/>
          <w:szCs w:val="26"/>
        </w:rPr>
      </w:pPr>
      <w:r>
        <w:rPr>
          <w:rFonts w:hint="eastAsia"/>
          <w:szCs w:val="26"/>
        </w:rPr>
        <w:t xml:space="preserve">The facts of Ng Keung Lung are </w:t>
      </w:r>
      <w:r>
        <w:rPr>
          <w:szCs w:val="26"/>
        </w:rPr>
        <w:t>different</w:t>
      </w:r>
      <w:r>
        <w:rPr>
          <w:rFonts w:hint="eastAsia"/>
          <w:szCs w:val="26"/>
        </w:rPr>
        <w:t xml:space="preserve"> from those of the </w:t>
      </w:r>
      <w:r>
        <w:rPr>
          <w:szCs w:val="26"/>
        </w:rPr>
        <w:t>present</w:t>
      </w:r>
      <w:r>
        <w:rPr>
          <w:rFonts w:hint="eastAsia"/>
          <w:szCs w:val="26"/>
        </w:rPr>
        <w:t xml:space="preserve"> case, where there is a good reason for the delay to </w:t>
      </w:r>
      <w:r>
        <w:rPr>
          <w:szCs w:val="26"/>
        </w:rPr>
        <w:t>institute</w:t>
      </w:r>
      <w:r>
        <w:rPr>
          <w:rFonts w:hint="eastAsia"/>
          <w:szCs w:val="26"/>
        </w:rPr>
        <w:t xml:space="preserve"> the claim.  So the case of Ng Kung Lung should not be followed.</w:t>
      </w:r>
    </w:p>
    <w:p w:rsidR="00AE7462" w:rsidRDefault="00AE7462">
      <w:pPr>
        <w:widowControl w:val="0"/>
        <w:tabs>
          <w:tab w:val="clear" w:pos="1440"/>
          <w:tab w:val="clear" w:pos="4320"/>
          <w:tab w:val="clear" w:pos="9072"/>
          <w:tab w:val="left" w:pos="1400"/>
        </w:tabs>
        <w:spacing w:line="360" w:lineRule="auto"/>
        <w:jc w:val="both"/>
        <w:rPr>
          <w:rFonts w:hint="eastAsia"/>
          <w:szCs w:val="26"/>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rPr>
          <w:rFonts w:hint="eastAsia"/>
        </w:rPr>
      </w:pPr>
      <w:r>
        <w:rPr>
          <w:rFonts w:hint="eastAsia"/>
        </w:rPr>
        <w:t xml:space="preserve">I therefore make an order in terms of the </w:t>
      </w:r>
      <w:r>
        <w:t>Plaintiff’</w:t>
      </w:r>
      <w:r>
        <w:rPr>
          <w:rFonts w:hint="eastAsia"/>
        </w:rPr>
        <w:t xml:space="preserve">s application.  </w:t>
      </w:r>
    </w:p>
    <w:p w:rsidR="00AE7462" w:rsidRDefault="00AE7462">
      <w:pPr>
        <w:widowControl w:val="0"/>
        <w:tabs>
          <w:tab w:val="clear" w:pos="1440"/>
          <w:tab w:val="clear" w:pos="4320"/>
          <w:tab w:val="clear" w:pos="9072"/>
          <w:tab w:val="left" w:pos="1400"/>
        </w:tabs>
        <w:spacing w:line="360" w:lineRule="auto"/>
        <w:jc w:val="both"/>
        <w:rPr>
          <w:rFonts w:hint="eastAsia"/>
        </w:rPr>
      </w:pPr>
    </w:p>
    <w:p w:rsidR="00AE7462" w:rsidRDefault="00AE7462">
      <w:pPr>
        <w:widowControl w:val="0"/>
        <w:tabs>
          <w:tab w:val="clear" w:pos="1440"/>
          <w:tab w:val="clear" w:pos="4320"/>
          <w:tab w:val="clear" w:pos="9072"/>
          <w:tab w:val="left" w:pos="1400"/>
        </w:tabs>
        <w:spacing w:line="360" w:lineRule="auto"/>
        <w:jc w:val="both"/>
        <w:rPr>
          <w:rFonts w:hint="eastAsia"/>
        </w:rPr>
      </w:pPr>
      <w:r>
        <w:rPr>
          <w:rFonts w:hint="eastAsia"/>
          <w:u w:val="single"/>
        </w:rPr>
        <w:t>Costs</w:t>
      </w:r>
    </w:p>
    <w:p w:rsidR="00AE7462" w:rsidRDefault="00AE7462">
      <w:pPr>
        <w:widowControl w:val="0"/>
        <w:tabs>
          <w:tab w:val="clear" w:pos="1440"/>
          <w:tab w:val="clear" w:pos="4320"/>
          <w:tab w:val="clear" w:pos="9072"/>
          <w:tab w:val="left" w:pos="1400"/>
        </w:tabs>
        <w:spacing w:line="360" w:lineRule="auto"/>
        <w:jc w:val="both"/>
        <w:rPr>
          <w:rFonts w:hint="eastAsia"/>
        </w:rPr>
      </w:pPr>
    </w:p>
    <w:p w:rsidR="00AE7462" w:rsidRDefault="00AE7462">
      <w:pPr>
        <w:widowControl w:val="0"/>
        <w:numPr>
          <w:ilvl w:val="0"/>
          <w:numId w:val="55"/>
        </w:numPr>
        <w:tabs>
          <w:tab w:val="clear" w:pos="480"/>
          <w:tab w:val="clear" w:pos="1440"/>
          <w:tab w:val="clear" w:pos="4320"/>
          <w:tab w:val="clear" w:pos="9072"/>
          <w:tab w:val="left" w:pos="1400"/>
        </w:tabs>
        <w:spacing w:line="360" w:lineRule="auto"/>
        <w:ind w:left="0" w:firstLine="0"/>
        <w:jc w:val="both"/>
      </w:pPr>
      <w:r>
        <w:t>I make an order nisi</w:t>
      </w:r>
      <w:r>
        <w:rPr>
          <w:rFonts w:hint="eastAsia"/>
        </w:rPr>
        <w:t xml:space="preserve"> for cost</w:t>
      </w:r>
      <w:r>
        <w:t>, to be made absolute 14 days’ time, that the Plaintiff</w:t>
      </w:r>
      <w:r>
        <w:rPr>
          <w:rFonts w:hint="eastAsia"/>
        </w:rPr>
        <w:t xml:space="preserve"> </w:t>
      </w:r>
      <w:r>
        <w:t>do pay the Defendant</w:t>
      </w:r>
      <w:r>
        <w:rPr>
          <w:rFonts w:hint="eastAsia"/>
        </w:rPr>
        <w:t xml:space="preserve"> </w:t>
      </w:r>
      <w:r>
        <w:t xml:space="preserve">costs of </w:t>
      </w:r>
      <w:r>
        <w:rPr>
          <w:rFonts w:hint="eastAsia"/>
        </w:rPr>
        <w:t xml:space="preserve">this summons (including all the preparation work for done for this summons), but the </w:t>
      </w:r>
      <w:r>
        <w:t>Defendant</w:t>
      </w:r>
      <w:r>
        <w:rPr>
          <w:rFonts w:hint="eastAsia"/>
        </w:rPr>
        <w:t xml:space="preserve"> do pay costs to the </w:t>
      </w:r>
      <w:r>
        <w:t>Plaintiff</w:t>
      </w:r>
      <w:r>
        <w:rPr>
          <w:rFonts w:hint="eastAsia"/>
        </w:rPr>
        <w:t xml:space="preserve"> in </w:t>
      </w:r>
      <w:r>
        <w:t>respect</w:t>
      </w:r>
      <w:r>
        <w:rPr>
          <w:rFonts w:hint="eastAsia"/>
        </w:rPr>
        <w:t xml:space="preserve"> of the hearing of this application, to be taxed</w:t>
      </w:r>
      <w:r>
        <w:t>, if not agreed</w:t>
      </w:r>
      <w:r>
        <w:rPr>
          <w:rFonts w:hint="eastAsia"/>
        </w:rPr>
        <w:t>, with certificate for Counsel</w:t>
      </w:r>
      <w:r>
        <w:t>.</w:t>
      </w:r>
    </w:p>
    <w:p w:rsidR="00AE7462" w:rsidRDefault="00AE7462">
      <w:pPr>
        <w:widowControl w:val="0"/>
        <w:tabs>
          <w:tab w:val="clear" w:pos="1440"/>
          <w:tab w:val="clear" w:pos="4320"/>
          <w:tab w:val="clear" w:pos="9072"/>
        </w:tabs>
        <w:spacing w:line="360" w:lineRule="auto"/>
        <w:jc w:val="both"/>
        <w:rPr>
          <w:szCs w:val="26"/>
        </w:rPr>
      </w:pPr>
    </w:p>
    <w:p w:rsidR="00AE7462" w:rsidRDefault="00AE7462">
      <w:pPr>
        <w:widowControl w:val="0"/>
        <w:tabs>
          <w:tab w:val="clear" w:pos="1440"/>
          <w:tab w:val="clear" w:pos="4320"/>
          <w:tab w:val="clear" w:pos="9072"/>
        </w:tabs>
        <w:spacing w:line="360" w:lineRule="auto"/>
        <w:jc w:val="both"/>
        <w:rPr>
          <w:szCs w:val="26"/>
        </w:rPr>
      </w:pPr>
    </w:p>
    <w:p w:rsidR="00AE7462" w:rsidRDefault="00AE7462">
      <w:pPr>
        <w:widowControl w:val="0"/>
        <w:tabs>
          <w:tab w:val="clear" w:pos="4320"/>
          <w:tab w:val="clear" w:pos="9072"/>
          <w:tab w:val="left" w:pos="1400"/>
          <w:tab w:val="num" w:pos="1440"/>
        </w:tabs>
        <w:spacing w:line="360" w:lineRule="auto"/>
        <w:jc w:val="both"/>
        <w:rPr>
          <w:rFonts w:hint="eastAsia"/>
          <w:szCs w:val="26"/>
        </w:rPr>
      </w:pPr>
    </w:p>
    <w:p w:rsidR="00AE7462" w:rsidRDefault="00AE7462">
      <w:pPr>
        <w:tabs>
          <w:tab w:val="clear" w:pos="1440"/>
          <w:tab w:val="clear" w:pos="4320"/>
          <w:tab w:val="clear" w:pos="9072"/>
          <w:tab w:val="center" w:pos="6480"/>
        </w:tabs>
      </w:pPr>
      <w:r>
        <w:rPr>
          <w:rFonts w:hint="eastAsia"/>
        </w:rPr>
        <w:tab/>
        <w:t>( S. Chow )</w:t>
      </w:r>
    </w:p>
    <w:p w:rsidR="00AE7462" w:rsidRDefault="00AE7462">
      <w:pPr>
        <w:tabs>
          <w:tab w:val="clear" w:pos="1440"/>
          <w:tab w:val="clear" w:pos="4320"/>
          <w:tab w:val="clear" w:pos="9072"/>
          <w:tab w:val="center" w:pos="6480"/>
        </w:tabs>
        <w:rPr>
          <w:rFonts w:hint="eastAsia"/>
        </w:rPr>
      </w:pPr>
      <w:r>
        <w:rPr>
          <w:rFonts w:hint="eastAsia"/>
        </w:rPr>
        <w:tab/>
      </w:r>
      <w:r>
        <w:t>District Judge</w:t>
      </w:r>
    </w:p>
    <w:p w:rsidR="00AE7462" w:rsidRDefault="00AE7462">
      <w:pPr>
        <w:tabs>
          <w:tab w:val="left" w:pos="1400"/>
          <w:tab w:val="center" w:pos="7200"/>
        </w:tabs>
        <w:spacing w:line="360" w:lineRule="auto"/>
        <w:rPr>
          <w:rFonts w:hint="eastAsia"/>
        </w:rPr>
      </w:pPr>
    </w:p>
    <w:p w:rsidR="00AE7462" w:rsidRDefault="00AE7462">
      <w:pPr>
        <w:tabs>
          <w:tab w:val="left" w:pos="1400"/>
          <w:tab w:val="center" w:pos="7200"/>
        </w:tabs>
        <w:spacing w:line="360" w:lineRule="auto"/>
        <w:rPr>
          <w:rFonts w:hint="eastAsia"/>
        </w:rPr>
      </w:pPr>
    </w:p>
    <w:p w:rsidR="00AE7462" w:rsidRDefault="00AE7462">
      <w:pPr>
        <w:tabs>
          <w:tab w:val="clear" w:pos="1440"/>
          <w:tab w:val="clear" w:pos="4320"/>
          <w:tab w:val="clear" w:pos="9072"/>
          <w:tab w:val="left" w:pos="1960"/>
        </w:tabs>
        <w:ind w:left="1960" w:hanging="1960"/>
        <w:rPr>
          <w:rFonts w:hint="eastAsia"/>
        </w:rPr>
      </w:pPr>
      <w:r>
        <w:t>The Plaintiff:</w:t>
      </w:r>
      <w:r>
        <w:tab/>
      </w:r>
      <w:r>
        <w:rPr>
          <w:rFonts w:hint="eastAsia"/>
        </w:rPr>
        <w:t xml:space="preserve">represented by </w:t>
      </w:r>
      <w:r>
        <w:t>M</w:t>
      </w:r>
      <w:r>
        <w:rPr>
          <w:rFonts w:hint="eastAsia"/>
        </w:rPr>
        <w:t>r</w:t>
      </w:r>
      <w:r>
        <w:t xml:space="preserve">. </w:t>
      </w:r>
      <w:r>
        <w:rPr>
          <w:rFonts w:hint="eastAsia"/>
        </w:rPr>
        <w:t xml:space="preserve">Ernest Koo, instructed by </w:t>
      </w:r>
      <w:r>
        <w:t xml:space="preserve">Messrs. </w:t>
      </w:r>
    </w:p>
    <w:p w:rsidR="00AE7462" w:rsidRDefault="00AE7462">
      <w:pPr>
        <w:tabs>
          <w:tab w:val="clear" w:pos="1440"/>
          <w:tab w:val="clear" w:pos="4320"/>
          <w:tab w:val="clear" w:pos="9072"/>
          <w:tab w:val="left" w:pos="1960"/>
        </w:tabs>
        <w:ind w:left="1960" w:hanging="1960"/>
        <w:rPr>
          <w:rFonts w:hint="eastAsia"/>
        </w:rPr>
      </w:pPr>
      <w:r>
        <w:rPr>
          <w:rFonts w:hint="eastAsia"/>
        </w:rPr>
        <w:tab/>
        <w:t>Cheung &amp; Liu Solicitors</w:t>
      </w:r>
      <w:r>
        <w:t>.</w:t>
      </w:r>
    </w:p>
    <w:p w:rsidR="00AE7462" w:rsidRDefault="00AE7462">
      <w:pPr>
        <w:tabs>
          <w:tab w:val="left" w:pos="3220"/>
          <w:tab w:val="center" w:pos="7200"/>
        </w:tabs>
        <w:spacing w:line="360" w:lineRule="auto"/>
        <w:ind w:left="3220" w:hanging="3220"/>
      </w:pPr>
    </w:p>
    <w:p w:rsidR="00AE7462" w:rsidRDefault="00AE7462">
      <w:pPr>
        <w:tabs>
          <w:tab w:val="clear" w:pos="1440"/>
          <w:tab w:val="clear" w:pos="4320"/>
          <w:tab w:val="clear" w:pos="9072"/>
          <w:tab w:val="left" w:pos="1960"/>
        </w:tabs>
        <w:ind w:left="1965" w:hanging="1965"/>
      </w:pPr>
      <w:r>
        <w:t>The Defendant:</w:t>
      </w:r>
      <w:r>
        <w:tab/>
      </w:r>
      <w:r>
        <w:rPr>
          <w:rFonts w:hint="eastAsia"/>
        </w:rPr>
        <w:t xml:space="preserve">represented by </w:t>
      </w:r>
      <w:r>
        <w:t>Mr.</w:t>
      </w:r>
      <w:r>
        <w:rPr>
          <w:rFonts w:hint="eastAsia"/>
        </w:rPr>
        <w:t xml:space="preserve"> Lam Chin Ching, Gary, instructed by </w:t>
      </w:r>
      <w:r>
        <w:t xml:space="preserve">Messrs. </w:t>
      </w:r>
      <w:r>
        <w:rPr>
          <w:rFonts w:hint="eastAsia"/>
        </w:rPr>
        <w:t xml:space="preserve">Chu &amp; Lau, </w:t>
      </w:r>
      <w:r>
        <w:t>Solicitors.</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462" w:rsidRDefault="00AE7462">
      <w:r>
        <w:separator/>
      </w:r>
    </w:p>
  </w:endnote>
  <w:endnote w:type="continuationSeparator" w:id="0">
    <w:p w:rsidR="00AE7462" w:rsidRDefault="00AE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462" w:rsidRDefault="00AE7462">
    <w:pPr>
      <w:pStyle w:val="Footer"/>
      <w:framePr w:wrap="auto" w:vAnchor="text" w:hAnchor="margin" w:xAlign="right" w:y="1"/>
      <w:rPr>
        <w:rStyle w:val="PageNumber"/>
      </w:rPr>
    </w:pPr>
  </w:p>
  <w:p w:rsidR="00AE7462" w:rsidRDefault="00AE74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462" w:rsidRDefault="00AE7462">
      <w:r>
        <w:separator/>
      </w:r>
    </w:p>
  </w:footnote>
  <w:footnote w:type="continuationSeparator" w:id="0">
    <w:p w:rsidR="00AE7462" w:rsidRDefault="00AE7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462" w:rsidRDefault="00AE7462">
    <w:pPr>
      <w:pStyle w:val="Header"/>
    </w:pPr>
    <w:r>
      <w:rPr>
        <w:noProof/>
        <w:sz w:val="20"/>
        <w:lang w:eastAsia="en-US"/>
      </w:rPr>
    </w:r>
    <w:r w:rsidR="00AE7462">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E7462" w:rsidRDefault="00AE7462">
                <w:pPr>
                  <w:rPr>
                    <w:b/>
                    <w:bCs/>
                    <w:sz w:val="20"/>
                    <w:szCs w:val="20"/>
                  </w:rPr>
                </w:pPr>
                <w:r>
                  <w:rPr>
                    <w:b/>
                    <w:bCs/>
                    <w:sz w:val="20"/>
                    <w:szCs w:val="20"/>
                  </w:rPr>
                  <w:t>A</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B</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C</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2"/>
                  <w:rPr>
                    <w:sz w:val="16"/>
                    <w:szCs w:val="16"/>
                  </w:rPr>
                </w:pPr>
                <w:r>
                  <w:t>D</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E</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F</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G</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H</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I</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J</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K</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L</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M</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N</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O</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P</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Q</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R</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S</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T</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U</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3"/>
                  <w:jc w:val="left"/>
                </w:pPr>
                <w:r>
                  <w:t>V</w:t>
                </w:r>
              </w:p>
            </w:txbxContent>
          </v:textbox>
        </v:shape>
      </w:pict>
    </w:r>
    <w:r>
      <w:rPr>
        <w:noProof/>
        <w:sz w:val="20"/>
        <w:lang w:eastAsia="en-US"/>
      </w:rPr>
    </w:r>
    <w:r w:rsidR="00AE7462">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AE7462" w:rsidRDefault="00AE7462">
                <w:pPr>
                  <w:rPr>
                    <w:rFonts w:eastAsia="SimHei"/>
                    <w:b/>
                    <w:bCs/>
                    <w:sz w:val="18"/>
                    <w:szCs w:val="18"/>
                  </w:rPr>
                </w:pPr>
                <w:r>
                  <w:rPr>
                    <w:rFonts w:eastAsia="SimHei" w:hint="eastAsia"/>
                    <w:b/>
                    <w:bCs/>
                  </w:rPr>
                  <w:t>由此</w:t>
                </w:r>
              </w:p>
            </w:txbxContent>
          </v:textbox>
        </v:shape>
      </w:pict>
    </w:r>
    <w:r>
      <w:rPr>
        <w:noProof/>
        <w:sz w:val="20"/>
        <w:lang w:eastAsia="en-US"/>
      </w:rPr>
    </w:r>
    <w:r w:rsidR="00AE7462">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AE7462" w:rsidRDefault="00AE7462">
                <w:pPr>
                  <w:rPr>
                    <w:b/>
                    <w:bCs/>
                    <w:sz w:val="20"/>
                    <w:szCs w:val="20"/>
                  </w:rPr>
                </w:pPr>
                <w:r>
                  <w:rPr>
                    <w:b/>
                    <w:bCs/>
                    <w:sz w:val="20"/>
                    <w:szCs w:val="20"/>
                  </w:rPr>
                  <w:t>A</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B</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C</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2"/>
                  <w:rPr>
                    <w:sz w:val="16"/>
                    <w:szCs w:val="16"/>
                  </w:rPr>
                </w:pPr>
                <w:r>
                  <w:t>D</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E</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F</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G</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H</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I</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J</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K</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L</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M</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N</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O</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P</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Q</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R</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S</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T</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U</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462" w:rsidRDefault="00AE7462">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5</w:t>
    </w:r>
    <w:r>
      <w:rPr>
        <w:rStyle w:val="PageNumber"/>
        <w:sz w:val="28"/>
        <w:szCs w:val="28"/>
      </w:rPr>
      <w:fldChar w:fldCharType="end"/>
    </w:r>
    <w:r>
      <w:rPr>
        <w:rStyle w:val="PageNumber"/>
        <w:sz w:val="28"/>
        <w:szCs w:val="28"/>
      </w:rPr>
      <w:t xml:space="preserve">  -</w:t>
    </w:r>
    <w:r>
      <w:rPr>
        <w:noProof/>
        <w:sz w:val="20"/>
        <w:lang w:eastAsia="en-US"/>
      </w:rPr>
    </w:r>
    <w:r w:rsidR="00AE7462">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E7462" w:rsidRDefault="00AE7462">
                <w:pPr>
                  <w:rPr>
                    <w:b/>
                    <w:bCs/>
                    <w:sz w:val="20"/>
                    <w:szCs w:val="20"/>
                  </w:rPr>
                </w:pPr>
                <w:r>
                  <w:rPr>
                    <w:b/>
                    <w:bCs/>
                    <w:sz w:val="20"/>
                    <w:szCs w:val="20"/>
                  </w:rPr>
                  <w:t>A</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B</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C</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2"/>
                  <w:rPr>
                    <w:sz w:val="16"/>
                    <w:szCs w:val="16"/>
                  </w:rPr>
                </w:pPr>
                <w:r>
                  <w:t>D</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E</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F</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G</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H</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I</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J</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K</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L</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M</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N</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O</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P</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Q</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R</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S</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T</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U</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3"/>
                  <w:jc w:val="left"/>
                </w:pPr>
                <w:r>
                  <w:t>V</w:t>
                </w:r>
              </w:p>
            </w:txbxContent>
          </v:textbox>
        </v:shape>
      </w:pict>
    </w:r>
    <w:r>
      <w:rPr>
        <w:noProof/>
        <w:sz w:val="20"/>
        <w:lang w:eastAsia="en-US"/>
      </w:rPr>
    </w:r>
    <w:r w:rsidR="00AE7462">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AE7462" w:rsidRDefault="00AE7462">
                <w:pPr>
                  <w:rPr>
                    <w:rFonts w:eastAsia="SimHei"/>
                    <w:b/>
                    <w:bCs/>
                    <w:sz w:val="18"/>
                    <w:szCs w:val="18"/>
                  </w:rPr>
                </w:pPr>
                <w:r>
                  <w:rPr>
                    <w:rFonts w:eastAsia="SimHei" w:hint="eastAsia"/>
                    <w:b/>
                    <w:bCs/>
                  </w:rPr>
                  <w:t>由此</w:t>
                </w:r>
              </w:p>
            </w:txbxContent>
          </v:textbox>
        </v:shape>
      </w:pict>
    </w:r>
    <w:r>
      <w:rPr>
        <w:noProof/>
        <w:sz w:val="20"/>
        <w:lang w:eastAsia="en-US"/>
      </w:rPr>
    </w:r>
    <w:r w:rsidR="00AE7462">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AE7462" w:rsidRDefault="00AE7462">
                <w:pPr>
                  <w:rPr>
                    <w:b/>
                    <w:bCs/>
                    <w:sz w:val="20"/>
                    <w:szCs w:val="20"/>
                  </w:rPr>
                </w:pPr>
                <w:r>
                  <w:rPr>
                    <w:b/>
                    <w:bCs/>
                    <w:sz w:val="20"/>
                    <w:szCs w:val="20"/>
                  </w:rPr>
                  <w:t>A</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B</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C</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2"/>
                  <w:rPr>
                    <w:sz w:val="16"/>
                    <w:szCs w:val="16"/>
                  </w:rPr>
                </w:pPr>
                <w:r>
                  <w:t>D</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E</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20"/>
                    <w:szCs w:val="20"/>
                  </w:rPr>
                </w:pPr>
                <w:r>
                  <w:rPr>
                    <w:b/>
                    <w:bCs/>
                    <w:sz w:val="20"/>
                    <w:szCs w:val="20"/>
                  </w:rPr>
                  <w:t>F</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G</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H</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I</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J</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K</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L</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M</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N</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O</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P</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Q</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R</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S</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T</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rPr>
                    <w:b/>
                    <w:bCs/>
                    <w:sz w:val="16"/>
                    <w:szCs w:val="16"/>
                  </w:rPr>
                </w:pPr>
                <w:r>
                  <w:rPr>
                    <w:b/>
                    <w:bCs/>
                    <w:sz w:val="20"/>
                    <w:szCs w:val="20"/>
                  </w:rPr>
                  <w:t>U</w:t>
                </w:r>
              </w:p>
              <w:p w:rsidR="00AE7462" w:rsidRDefault="00AE7462">
                <w:pPr>
                  <w:rPr>
                    <w:b/>
                    <w:bCs/>
                    <w:sz w:val="10"/>
                    <w:szCs w:val="10"/>
                  </w:rPr>
                </w:pPr>
              </w:p>
              <w:p w:rsidR="00AE7462" w:rsidRDefault="00AE7462">
                <w:pPr>
                  <w:rPr>
                    <w:b/>
                    <w:bCs/>
                    <w:sz w:val="16"/>
                    <w:szCs w:val="16"/>
                  </w:rPr>
                </w:pPr>
              </w:p>
              <w:p w:rsidR="00AE7462" w:rsidRDefault="00AE7462">
                <w:pPr>
                  <w:rPr>
                    <w:b/>
                    <w:bCs/>
                    <w:sz w:val="16"/>
                    <w:szCs w:val="16"/>
                  </w:rPr>
                </w:pPr>
              </w:p>
              <w:p w:rsidR="00AE7462" w:rsidRDefault="00AE7462">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123"/>
    <w:multiLevelType w:val="hybridMultilevel"/>
    <w:tmpl w:val="7828FD2E"/>
    <w:lvl w:ilvl="0" w:tplc="F5206060">
      <w:start w:val="3"/>
      <w:numFmt w:val="lowerLetter"/>
      <w:lvlText w:val="(%1)"/>
      <w:lvlJc w:val="left"/>
      <w:pPr>
        <w:tabs>
          <w:tab w:val="num" w:pos="1760"/>
        </w:tabs>
        <w:ind w:left="1760" w:hanging="360"/>
      </w:pPr>
      <w:rPr>
        <w:rFonts w:hint="default"/>
      </w:rPr>
    </w:lvl>
    <w:lvl w:ilvl="1" w:tplc="6C52162E">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0C382674"/>
    <w:lvl w:ilvl="0" w:tplc="0409000F">
      <w:start w:val="1"/>
      <w:numFmt w:val="decimal"/>
      <w:lvlText w:val="%1."/>
      <w:lvlJc w:val="left"/>
      <w:pPr>
        <w:tabs>
          <w:tab w:val="num" w:pos="480"/>
        </w:tabs>
        <w:ind w:left="480" w:hanging="480"/>
      </w:pPr>
      <w:rPr>
        <w:rFonts w:hint="default"/>
      </w:r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BC26E11"/>
    <w:multiLevelType w:val="hybridMultilevel"/>
    <w:tmpl w:val="DDAA83C8"/>
    <w:lvl w:ilvl="0" w:tplc="96CA37BC">
      <w:start w:val="1"/>
      <w:numFmt w:val="lowerLetter"/>
      <w:lvlText w:val="(%1)"/>
      <w:lvlJc w:val="left"/>
      <w:pPr>
        <w:tabs>
          <w:tab w:val="num" w:pos="2100"/>
        </w:tabs>
        <w:ind w:left="2100" w:hanging="705"/>
      </w:pPr>
      <w:rPr>
        <w:rFonts w:hint="default"/>
      </w:rPr>
    </w:lvl>
    <w:lvl w:ilvl="1" w:tplc="1786E8E8">
      <w:start w:val="1"/>
      <w:numFmt w:val="lowerRoman"/>
      <w:lvlText w:val="(%2)"/>
      <w:lvlJc w:val="left"/>
      <w:pPr>
        <w:tabs>
          <w:tab w:val="num" w:pos="2835"/>
        </w:tabs>
        <w:ind w:left="2835" w:hanging="720"/>
      </w:pPr>
      <w:rPr>
        <w:rFonts w:hint="default"/>
      </w:r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25"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0"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1"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E67357A"/>
    <w:multiLevelType w:val="hybridMultilevel"/>
    <w:tmpl w:val="A372CC62"/>
    <w:lvl w:ilvl="0" w:tplc="784C6FA6">
      <w:start w:val="1"/>
      <w:numFmt w:val="lowerLetter"/>
      <w:lvlText w:val="(%1)"/>
      <w:lvlJc w:val="left"/>
      <w:pPr>
        <w:tabs>
          <w:tab w:val="num" w:pos="2105"/>
        </w:tabs>
        <w:ind w:left="2105" w:hanging="705"/>
      </w:pPr>
      <w:rPr>
        <w:rFonts w:hint="default"/>
      </w:rPr>
    </w:lvl>
    <w:lvl w:ilvl="1" w:tplc="49246102">
      <w:start w:val="1"/>
      <w:numFmt w:val="lowerRoman"/>
      <w:lvlText w:val="(%2)"/>
      <w:lvlJc w:val="left"/>
      <w:pPr>
        <w:tabs>
          <w:tab w:val="num" w:pos="2840"/>
        </w:tabs>
        <w:ind w:left="2840" w:hanging="720"/>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1"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2" w15:restartNumberingAfterBreak="0">
    <w:nsid w:val="43BD766F"/>
    <w:multiLevelType w:val="hybridMultilevel"/>
    <w:tmpl w:val="C19C2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4"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5"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6"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8"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5"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7"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8"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9"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68614714">
    <w:abstractNumId w:val="9"/>
  </w:num>
  <w:num w:numId="2" w16cid:durableId="1652323540">
    <w:abstractNumId w:val="1"/>
  </w:num>
  <w:num w:numId="3" w16cid:durableId="1057630881">
    <w:abstractNumId w:val="19"/>
  </w:num>
  <w:num w:numId="4" w16cid:durableId="756482089">
    <w:abstractNumId w:val="4"/>
  </w:num>
  <w:num w:numId="5" w16cid:durableId="1097334804">
    <w:abstractNumId w:val="45"/>
  </w:num>
  <w:num w:numId="6" w16cid:durableId="895165567">
    <w:abstractNumId w:val="2"/>
  </w:num>
  <w:num w:numId="7" w16cid:durableId="1708555545">
    <w:abstractNumId w:val="58"/>
  </w:num>
  <w:num w:numId="8" w16cid:durableId="1765495264">
    <w:abstractNumId w:val="57"/>
  </w:num>
  <w:num w:numId="9" w16cid:durableId="895355954">
    <w:abstractNumId w:val="30"/>
  </w:num>
  <w:num w:numId="10" w16cid:durableId="156115465">
    <w:abstractNumId w:val="23"/>
  </w:num>
  <w:num w:numId="11" w16cid:durableId="1893073831">
    <w:abstractNumId w:val="53"/>
  </w:num>
  <w:num w:numId="12" w16cid:durableId="1334378845">
    <w:abstractNumId w:val="27"/>
  </w:num>
  <w:num w:numId="13" w16cid:durableId="1977024953">
    <w:abstractNumId w:val="60"/>
  </w:num>
  <w:num w:numId="14" w16cid:durableId="1385983457">
    <w:abstractNumId w:val="29"/>
  </w:num>
  <w:num w:numId="15" w16cid:durableId="792360107">
    <w:abstractNumId w:val="14"/>
  </w:num>
  <w:num w:numId="16" w16cid:durableId="51121685">
    <w:abstractNumId w:val="22"/>
  </w:num>
  <w:num w:numId="17" w16cid:durableId="2092392101">
    <w:abstractNumId w:val="26"/>
  </w:num>
  <w:num w:numId="18" w16cid:durableId="998340778">
    <w:abstractNumId w:val="46"/>
  </w:num>
  <w:num w:numId="19" w16cid:durableId="1969046509">
    <w:abstractNumId w:val="17"/>
  </w:num>
  <w:num w:numId="20" w16cid:durableId="769473079">
    <w:abstractNumId w:val="47"/>
  </w:num>
  <w:num w:numId="21" w16cid:durableId="257912248">
    <w:abstractNumId w:val="11"/>
  </w:num>
  <w:num w:numId="22" w16cid:durableId="230314998">
    <w:abstractNumId w:val="33"/>
  </w:num>
  <w:num w:numId="23" w16cid:durableId="1289702000">
    <w:abstractNumId w:val="56"/>
  </w:num>
  <w:num w:numId="24" w16cid:durableId="1646082959">
    <w:abstractNumId w:val="49"/>
  </w:num>
  <w:num w:numId="25" w16cid:durableId="695617484">
    <w:abstractNumId w:val="37"/>
  </w:num>
  <w:num w:numId="26" w16cid:durableId="554320936">
    <w:abstractNumId w:val="13"/>
  </w:num>
  <w:num w:numId="27" w16cid:durableId="1910309065">
    <w:abstractNumId w:val="18"/>
  </w:num>
  <w:num w:numId="28" w16cid:durableId="1336959160">
    <w:abstractNumId w:val="35"/>
  </w:num>
  <w:num w:numId="29" w16cid:durableId="826701400">
    <w:abstractNumId w:val="8"/>
  </w:num>
  <w:num w:numId="30" w16cid:durableId="1582370408">
    <w:abstractNumId w:val="20"/>
  </w:num>
  <w:num w:numId="31" w16cid:durableId="1749033380">
    <w:abstractNumId w:val="34"/>
  </w:num>
  <w:num w:numId="32" w16cid:durableId="943000706">
    <w:abstractNumId w:val="32"/>
  </w:num>
  <w:num w:numId="33" w16cid:durableId="2061439703">
    <w:abstractNumId w:val="16"/>
  </w:num>
  <w:num w:numId="34" w16cid:durableId="1983537436">
    <w:abstractNumId w:val="59"/>
  </w:num>
  <w:num w:numId="35" w16cid:durableId="944309090">
    <w:abstractNumId w:val="41"/>
  </w:num>
  <w:num w:numId="36" w16cid:durableId="1956711120">
    <w:abstractNumId w:val="3"/>
  </w:num>
  <w:num w:numId="37" w16cid:durableId="110052111">
    <w:abstractNumId w:val="5"/>
  </w:num>
  <w:num w:numId="38" w16cid:durableId="1692878736">
    <w:abstractNumId w:val="31"/>
  </w:num>
  <w:num w:numId="39" w16cid:durableId="616064130">
    <w:abstractNumId w:val="44"/>
  </w:num>
  <w:num w:numId="40" w16cid:durableId="496775222">
    <w:abstractNumId w:val="38"/>
  </w:num>
  <w:num w:numId="41" w16cid:durableId="1451513517">
    <w:abstractNumId w:val="7"/>
  </w:num>
  <w:num w:numId="42" w16cid:durableId="1695380704">
    <w:abstractNumId w:val="12"/>
  </w:num>
  <w:num w:numId="43" w16cid:durableId="402721770">
    <w:abstractNumId w:val="52"/>
  </w:num>
  <w:num w:numId="44" w16cid:durableId="1296763691">
    <w:abstractNumId w:val="10"/>
  </w:num>
  <w:num w:numId="45" w16cid:durableId="685642985">
    <w:abstractNumId w:val="51"/>
  </w:num>
  <w:num w:numId="46" w16cid:durableId="1631977705">
    <w:abstractNumId w:val="54"/>
  </w:num>
  <w:num w:numId="47" w16cid:durableId="369838354">
    <w:abstractNumId w:val="6"/>
  </w:num>
  <w:num w:numId="48" w16cid:durableId="201140045">
    <w:abstractNumId w:val="21"/>
  </w:num>
  <w:num w:numId="49" w16cid:durableId="1944485084">
    <w:abstractNumId w:val="40"/>
  </w:num>
  <w:num w:numId="50" w16cid:durableId="1234393805">
    <w:abstractNumId w:val="36"/>
  </w:num>
  <w:num w:numId="51" w16cid:durableId="638416454">
    <w:abstractNumId w:val="55"/>
  </w:num>
  <w:num w:numId="52" w16cid:durableId="762184383">
    <w:abstractNumId w:val="43"/>
  </w:num>
  <w:num w:numId="53" w16cid:durableId="11226115">
    <w:abstractNumId w:val="25"/>
  </w:num>
  <w:num w:numId="54" w16cid:durableId="1118138111">
    <w:abstractNumId w:val="28"/>
  </w:num>
  <w:num w:numId="55" w16cid:durableId="1865364198">
    <w:abstractNumId w:val="15"/>
  </w:num>
  <w:num w:numId="56" w16cid:durableId="1563712522">
    <w:abstractNumId w:val="50"/>
  </w:num>
  <w:num w:numId="57" w16cid:durableId="854073750">
    <w:abstractNumId w:val="48"/>
  </w:num>
  <w:num w:numId="58" w16cid:durableId="490412608">
    <w:abstractNumId w:val="39"/>
  </w:num>
  <w:num w:numId="59" w16cid:durableId="869955430">
    <w:abstractNumId w:val="0"/>
  </w:num>
  <w:num w:numId="60" w16cid:durableId="1666664903">
    <w:abstractNumId w:val="24"/>
  </w:num>
  <w:num w:numId="61" w16cid:durableId="3191196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462"/>
    <w:rsid w:val="00AE74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C9C5530-5E01-D140-A848-82C1C44E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2009-06-11T07:44:00Z</cp:lastPrinted>
  <dcterms:created xsi:type="dcterms:W3CDTF">2023-10-14T01:22:00Z</dcterms:created>
  <dcterms:modified xsi:type="dcterms:W3CDTF">2023-10-14T01:22:00Z</dcterms:modified>
</cp:coreProperties>
</file>