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033F8" w14:textId="7FF5749F" w:rsidR="00E71E46" w:rsidRPr="00625B8D" w:rsidRDefault="00FD07B6" w:rsidP="00C712C7">
      <w:pPr>
        <w:pStyle w:val="Heading2"/>
        <w:tabs>
          <w:tab w:val="clear" w:pos="4320"/>
          <w:tab w:val="clear" w:pos="9072"/>
        </w:tabs>
        <w:snapToGrid w:val="0"/>
        <w:spacing w:line="360" w:lineRule="auto"/>
        <w:jc w:val="right"/>
        <w:rPr>
          <w:rFonts w:eastAsia="PMingLiU"/>
          <w:b w:val="0"/>
          <w:sz w:val="28"/>
          <w:szCs w:val="28"/>
        </w:rPr>
      </w:pPr>
      <w:r>
        <w:rPr>
          <w:rFonts w:eastAsia="PMingLiU"/>
          <w:b w:val="0"/>
          <w:sz w:val="28"/>
          <w:szCs w:val="28"/>
        </w:rPr>
        <w:t>DCPI 2723</w:t>
      </w:r>
      <w:r w:rsidR="00F0727E" w:rsidRPr="00625B8D">
        <w:rPr>
          <w:rFonts w:eastAsia="PMingLiU"/>
          <w:b w:val="0"/>
          <w:sz w:val="28"/>
          <w:szCs w:val="28"/>
        </w:rPr>
        <w:t>/</w:t>
      </w:r>
      <w:r w:rsidR="00E71E46" w:rsidRPr="00625B8D">
        <w:rPr>
          <w:rFonts w:eastAsia="PMingLiU"/>
          <w:b w:val="0"/>
          <w:sz w:val="28"/>
          <w:szCs w:val="28"/>
        </w:rPr>
        <w:t>20</w:t>
      </w:r>
      <w:r w:rsidR="00481CCA" w:rsidRPr="00625B8D">
        <w:rPr>
          <w:rFonts w:eastAsia="PMingLiU"/>
          <w:b w:val="0"/>
          <w:sz w:val="28"/>
          <w:szCs w:val="28"/>
        </w:rPr>
        <w:t>1</w:t>
      </w:r>
      <w:r w:rsidR="003C371A">
        <w:rPr>
          <w:rFonts w:eastAsia="PMingLiU" w:hint="eastAsia"/>
          <w:b w:val="0"/>
          <w:sz w:val="28"/>
          <w:szCs w:val="28"/>
          <w:lang w:eastAsia="zh-TW"/>
        </w:rPr>
        <w:t>8</w:t>
      </w:r>
    </w:p>
    <w:p w14:paraId="3DD6913A" w14:textId="51BE6950" w:rsidR="00481CCA" w:rsidRPr="00625B8D" w:rsidRDefault="00D31BBD" w:rsidP="00BF38B9">
      <w:pPr>
        <w:spacing w:line="360" w:lineRule="auto"/>
        <w:jc w:val="right"/>
        <w:rPr>
          <w:rFonts w:eastAsia="PMingLiU"/>
          <w:szCs w:val="28"/>
        </w:rPr>
      </w:pPr>
      <w:sdt>
        <w:sdtPr>
          <w:rPr>
            <w:rStyle w:val="PlaceholderText"/>
            <w:rFonts w:eastAsia="PMingLiU"/>
            <w:color w:val="auto"/>
            <w:szCs w:val="28"/>
            <w:lang w:eastAsia="zh-TW"/>
          </w:rPr>
          <w:alias w:val="neutral citation number"/>
          <w:tag w:val="neutral citation number"/>
          <w:id w:val="210003420"/>
          <w:placeholder>
            <w:docPart w:val="4A7193A24442483D8D34EAB321028030"/>
          </w:placeholder>
          <w:text/>
        </w:sdtPr>
        <w:sdtEndPr>
          <w:rPr>
            <w:rStyle w:val="PlaceholderText"/>
          </w:rPr>
        </w:sdtEndPr>
        <w:sdtContent>
          <w:r w:rsidR="00D14C56" w:rsidRPr="00D14C56">
            <w:rPr>
              <w:rStyle w:val="PlaceholderText"/>
              <w:rFonts w:eastAsia="PMingLiU"/>
              <w:color w:val="auto"/>
              <w:szCs w:val="28"/>
              <w:lang w:eastAsia="zh-TW"/>
            </w:rPr>
            <w:t>[2020] HKDC 357</w:t>
          </w:r>
        </w:sdtContent>
      </w:sdt>
    </w:p>
    <w:p w14:paraId="6B8E39A1" w14:textId="77777777" w:rsidR="00E71E46" w:rsidRPr="00625B8D" w:rsidRDefault="00E71E46" w:rsidP="00C712C7">
      <w:pPr>
        <w:pStyle w:val="normal3"/>
        <w:tabs>
          <w:tab w:val="clear" w:pos="4320"/>
          <w:tab w:val="clear" w:pos="4500"/>
          <w:tab w:val="clear" w:pos="9000"/>
          <w:tab w:val="clear" w:pos="9072"/>
        </w:tabs>
        <w:overflowPunct/>
        <w:autoSpaceDE/>
        <w:autoSpaceDN/>
        <w:rPr>
          <w:rFonts w:eastAsia="PMingLiU"/>
          <w:szCs w:val="28"/>
          <w:lang w:val="en-US"/>
        </w:rPr>
        <w:sectPr w:rsidR="00E71E46" w:rsidRPr="00625B8D" w:rsidSect="00C1193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794F1B1E" w14:textId="77777777" w:rsidR="00D74BDC" w:rsidRDefault="00D74BDC" w:rsidP="00D74BDC">
      <w:pPr>
        <w:tabs>
          <w:tab w:val="clear" w:pos="4320"/>
          <w:tab w:val="clear" w:pos="9072"/>
        </w:tabs>
        <w:adjustRightInd w:val="0"/>
        <w:spacing w:line="360" w:lineRule="auto"/>
        <w:jc w:val="center"/>
        <w:rPr>
          <w:rFonts w:eastAsia="PMingLiU"/>
          <w:b/>
          <w:bCs/>
          <w:szCs w:val="28"/>
        </w:rPr>
      </w:pPr>
    </w:p>
    <w:p w14:paraId="4A45D457" w14:textId="41F1EE48" w:rsidR="00E71E46" w:rsidRPr="00625B8D" w:rsidRDefault="00E71E46" w:rsidP="00C712C7">
      <w:pPr>
        <w:tabs>
          <w:tab w:val="clear" w:pos="4320"/>
          <w:tab w:val="clear" w:pos="9072"/>
        </w:tabs>
        <w:adjustRightInd w:val="0"/>
        <w:spacing w:line="360" w:lineRule="auto"/>
        <w:jc w:val="center"/>
        <w:rPr>
          <w:rFonts w:eastAsia="PMingLiU"/>
          <w:b/>
          <w:bCs/>
          <w:szCs w:val="28"/>
        </w:rPr>
      </w:pPr>
      <w:r w:rsidRPr="00625B8D">
        <w:rPr>
          <w:rFonts w:eastAsia="PMingLiU"/>
          <w:b/>
          <w:bCs/>
          <w:szCs w:val="28"/>
        </w:rPr>
        <w:t>IN THE DISTRICT COURT OF THE</w:t>
      </w:r>
    </w:p>
    <w:p w14:paraId="73EFFB5F" w14:textId="77777777" w:rsidR="00E71E46" w:rsidRPr="00625B8D" w:rsidRDefault="00E71E46" w:rsidP="00C712C7">
      <w:pPr>
        <w:tabs>
          <w:tab w:val="clear" w:pos="4320"/>
          <w:tab w:val="clear" w:pos="9072"/>
        </w:tabs>
        <w:adjustRightInd w:val="0"/>
        <w:spacing w:line="360" w:lineRule="auto"/>
        <w:jc w:val="center"/>
        <w:rPr>
          <w:rFonts w:eastAsia="PMingLiU"/>
          <w:szCs w:val="28"/>
        </w:rPr>
      </w:pPr>
      <w:r w:rsidRPr="00625B8D">
        <w:rPr>
          <w:rFonts w:eastAsia="PMingLiU"/>
          <w:b/>
          <w:bCs/>
          <w:szCs w:val="28"/>
        </w:rPr>
        <w:t>HONG KONG SPECIAL ADMINISTRATIVE REGION</w:t>
      </w:r>
    </w:p>
    <w:p w14:paraId="588B6FAF" w14:textId="3731754B" w:rsidR="00E71E46" w:rsidRPr="00625B8D" w:rsidRDefault="00816F7E" w:rsidP="00C712C7">
      <w:pPr>
        <w:tabs>
          <w:tab w:val="clear" w:pos="4320"/>
          <w:tab w:val="clear" w:pos="9072"/>
        </w:tabs>
        <w:adjustRightInd w:val="0"/>
        <w:spacing w:line="360" w:lineRule="auto"/>
        <w:jc w:val="center"/>
        <w:rPr>
          <w:rFonts w:eastAsia="PMingLiU"/>
          <w:szCs w:val="28"/>
        </w:rPr>
      </w:pPr>
      <w:r>
        <w:rPr>
          <w:rFonts w:eastAsia="PMingLiU"/>
          <w:szCs w:val="28"/>
        </w:rPr>
        <w:t>PERSONAL INJURIES ACTION</w:t>
      </w:r>
      <w:r w:rsidR="00E71E46" w:rsidRPr="00625B8D">
        <w:rPr>
          <w:rFonts w:eastAsia="PMingLiU"/>
          <w:szCs w:val="28"/>
        </w:rPr>
        <w:t xml:space="preserve"> NO </w:t>
      </w:r>
      <w:r w:rsidR="00FD07B6">
        <w:rPr>
          <w:rFonts w:eastAsia="PMingLiU"/>
          <w:szCs w:val="28"/>
          <w:lang w:eastAsia="zh-TW"/>
        </w:rPr>
        <w:t>2723</w:t>
      </w:r>
      <w:r w:rsidR="00E71E46" w:rsidRPr="00625B8D">
        <w:rPr>
          <w:rFonts w:eastAsia="PMingLiU"/>
          <w:szCs w:val="28"/>
        </w:rPr>
        <w:t xml:space="preserve"> OF 20</w:t>
      </w:r>
      <w:r w:rsidR="00481CCA" w:rsidRPr="00625B8D">
        <w:rPr>
          <w:rFonts w:eastAsia="PMingLiU"/>
          <w:szCs w:val="28"/>
        </w:rPr>
        <w:t>1</w:t>
      </w:r>
      <w:r w:rsidR="003C371A">
        <w:rPr>
          <w:rFonts w:eastAsia="PMingLiU" w:hint="eastAsia"/>
          <w:szCs w:val="28"/>
          <w:lang w:eastAsia="zh-TW"/>
        </w:rPr>
        <w:t>8</w:t>
      </w:r>
    </w:p>
    <w:p w14:paraId="7848764C" w14:textId="77777777" w:rsidR="00E71E46" w:rsidRPr="00625B8D" w:rsidRDefault="00E71E46" w:rsidP="00C712C7">
      <w:pPr>
        <w:tabs>
          <w:tab w:val="clear" w:pos="4320"/>
          <w:tab w:val="clear" w:pos="9072"/>
        </w:tabs>
        <w:adjustRightInd w:val="0"/>
        <w:spacing w:line="360" w:lineRule="auto"/>
        <w:jc w:val="center"/>
        <w:rPr>
          <w:rFonts w:eastAsia="PMingLiU"/>
          <w:szCs w:val="28"/>
        </w:rPr>
      </w:pPr>
    </w:p>
    <w:p w14:paraId="0EEF26C4" w14:textId="77777777" w:rsidR="00E71E46" w:rsidRPr="00625B8D" w:rsidRDefault="00E71E46" w:rsidP="00C712C7">
      <w:pPr>
        <w:tabs>
          <w:tab w:val="clear" w:pos="4320"/>
          <w:tab w:val="clear" w:pos="9072"/>
        </w:tabs>
        <w:adjustRightInd w:val="0"/>
        <w:spacing w:line="360" w:lineRule="auto"/>
        <w:jc w:val="center"/>
        <w:rPr>
          <w:rFonts w:eastAsia="PMingLiU"/>
          <w:szCs w:val="28"/>
        </w:rPr>
      </w:pPr>
      <w:r w:rsidRPr="00625B8D">
        <w:rPr>
          <w:rFonts w:eastAsia="PMingLiU"/>
          <w:szCs w:val="28"/>
        </w:rPr>
        <w:t>------</w:t>
      </w:r>
      <w:r w:rsidR="007E6F57">
        <w:rPr>
          <w:rFonts w:eastAsia="PMingLiU" w:hint="eastAsia"/>
          <w:szCs w:val="28"/>
          <w:lang w:eastAsia="zh-TW"/>
        </w:rPr>
        <w:t>-------</w:t>
      </w:r>
      <w:r w:rsidRPr="00625B8D">
        <w:rPr>
          <w:rFonts w:eastAsia="PMingLiU"/>
          <w:szCs w:val="28"/>
        </w:rPr>
        <w:t>--------------</w:t>
      </w:r>
    </w:p>
    <w:p w14:paraId="07AEE913" w14:textId="77777777" w:rsidR="00E71E46" w:rsidRPr="00625B8D" w:rsidRDefault="00E71E46" w:rsidP="00C712C7">
      <w:pPr>
        <w:pStyle w:val="Heading5"/>
        <w:snapToGrid w:val="0"/>
        <w:spacing w:line="360" w:lineRule="auto"/>
        <w:jc w:val="both"/>
        <w:rPr>
          <w:rFonts w:ascii="Times New Roman" w:eastAsia="PMingLiU" w:hAnsi="Times New Roman"/>
          <w:b w:val="0"/>
          <w:sz w:val="28"/>
          <w:szCs w:val="28"/>
        </w:rPr>
      </w:pPr>
      <w:r w:rsidRPr="00625B8D">
        <w:rPr>
          <w:rFonts w:ascii="Times New Roman" w:eastAsia="PMingLiU" w:hAnsi="Times New Roman"/>
          <w:b w:val="0"/>
          <w:sz w:val="28"/>
          <w:szCs w:val="28"/>
        </w:rPr>
        <w:t>BETWEEN</w:t>
      </w:r>
    </w:p>
    <w:p w14:paraId="5C303666" w14:textId="0D5986B8" w:rsidR="004F7C88" w:rsidRPr="004F7C88" w:rsidRDefault="004F7C88" w:rsidP="00D74BDC">
      <w:pPr>
        <w:tabs>
          <w:tab w:val="clear" w:pos="1440"/>
          <w:tab w:val="clear" w:pos="4320"/>
          <w:tab w:val="clear" w:pos="9072"/>
          <w:tab w:val="center" w:pos="4230"/>
          <w:tab w:val="right" w:pos="8280"/>
        </w:tabs>
        <w:spacing w:line="360" w:lineRule="auto"/>
        <w:jc w:val="both"/>
        <w:rPr>
          <w:rFonts w:eastAsia="PMingLiU"/>
          <w:szCs w:val="28"/>
          <w:lang w:val="en-US"/>
        </w:rPr>
      </w:pPr>
      <w:r>
        <w:rPr>
          <w:rFonts w:eastAsia="PMingLiU"/>
          <w:szCs w:val="28"/>
          <w:lang w:val="en-US"/>
        </w:rPr>
        <w:tab/>
      </w:r>
      <w:r w:rsidR="00FD07B6">
        <w:rPr>
          <w:rFonts w:eastAsia="PMingLiU"/>
          <w:szCs w:val="28"/>
          <w:lang w:val="en-US"/>
        </w:rPr>
        <w:t>LIU WEIG</w:t>
      </w:r>
      <w:r w:rsidR="00576BF7">
        <w:rPr>
          <w:rFonts w:eastAsia="PMingLiU"/>
          <w:szCs w:val="28"/>
          <w:lang w:val="en-US"/>
        </w:rPr>
        <w:t>U</w:t>
      </w:r>
      <w:r w:rsidR="00FD07B6">
        <w:rPr>
          <w:rFonts w:eastAsia="PMingLiU"/>
          <w:szCs w:val="28"/>
          <w:lang w:val="en-US"/>
        </w:rPr>
        <w:t>ANG</w:t>
      </w:r>
      <w:r w:rsidRPr="004F7C88">
        <w:rPr>
          <w:rFonts w:eastAsia="PMingLiU"/>
          <w:szCs w:val="28"/>
          <w:lang w:val="en-US"/>
        </w:rPr>
        <w:tab/>
        <w:t>Plaintiff</w:t>
      </w:r>
    </w:p>
    <w:p w14:paraId="40A3BF3F" w14:textId="77777777" w:rsidR="004F7C88" w:rsidRPr="004F7C88" w:rsidRDefault="004F7C88" w:rsidP="00D74BDC">
      <w:pPr>
        <w:tabs>
          <w:tab w:val="clear" w:pos="1440"/>
          <w:tab w:val="clear" w:pos="4320"/>
          <w:tab w:val="clear" w:pos="9072"/>
          <w:tab w:val="center" w:pos="4230"/>
          <w:tab w:val="right" w:pos="8280"/>
        </w:tabs>
        <w:spacing w:line="360" w:lineRule="auto"/>
        <w:jc w:val="both"/>
        <w:rPr>
          <w:rFonts w:eastAsia="PMingLiU"/>
          <w:szCs w:val="28"/>
          <w:lang w:val="en-US"/>
        </w:rPr>
      </w:pPr>
      <w:r>
        <w:rPr>
          <w:rFonts w:eastAsia="PMingLiU"/>
          <w:szCs w:val="28"/>
          <w:lang w:val="en-US"/>
        </w:rPr>
        <w:tab/>
      </w:r>
      <w:r w:rsidRPr="004F7C88">
        <w:rPr>
          <w:rFonts w:eastAsia="PMingLiU"/>
          <w:szCs w:val="28"/>
          <w:lang w:val="en-US"/>
        </w:rPr>
        <w:t>and</w:t>
      </w:r>
    </w:p>
    <w:p w14:paraId="659DF814" w14:textId="396413E2" w:rsidR="004F7C88" w:rsidRPr="004F7C88" w:rsidRDefault="004F7C88" w:rsidP="00D74BDC">
      <w:pPr>
        <w:tabs>
          <w:tab w:val="clear" w:pos="1440"/>
          <w:tab w:val="clear" w:pos="4320"/>
          <w:tab w:val="clear" w:pos="9072"/>
          <w:tab w:val="center" w:pos="4140"/>
          <w:tab w:val="right" w:pos="8280"/>
        </w:tabs>
        <w:spacing w:line="360" w:lineRule="auto"/>
        <w:jc w:val="both"/>
        <w:rPr>
          <w:rFonts w:eastAsia="PMingLiU"/>
          <w:szCs w:val="28"/>
          <w:lang w:val="en-US"/>
        </w:rPr>
      </w:pPr>
      <w:r>
        <w:rPr>
          <w:rFonts w:eastAsia="PMingLiU"/>
          <w:szCs w:val="28"/>
          <w:lang w:val="en-US"/>
        </w:rPr>
        <w:tab/>
      </w:r>
      <w:r w:rsidR="00FD07B6">
        <w:rPr>
          <w:rFonts w:eastAsia="PMingLiU"/>
          <w:szCs w:val="28"/>
          <w:lang w:val="en-US"/>
        </w:rPr>
        <w:t>LI KENG KO</w:t>
      </w:r>
      <w:r>
        <w:rPr>
          <w:rFonts w:eastAsia="PMingLiU"/>
          <w:szCs w:val="28"/>
          <w:lang w:val="en-US"/>
        </w:rPr>
        <w:tab/>
      </w:r>
      <w:r w:rsidRPr="004F7C88">
        <w:rPr>
          <w:rFonts w:eastAsia="PMingLiU"/>
          <w:szCs w:val="28"/>
          <w:lang w:val="en-US"/>
        </w:rPr>
        <w:t>1</w:t>
      </w:r>
      <w:r w:rsidRPr="009C3485">
        <w:rPr>
          <w:rFonts w:eastAsia="PMingLiU"/>
          <w:szCs w:val="28"/>
          <w:vertAlign w:val="superscript"/>
          <w:lang w:val="en-US"/>
        </w:rPr>
        <w:t>st</w:t>
      </w:r>
      <w:r w:rsidR="009C3485">
        <w:rPr>
          <w:rFonts w:eastAsia="PMingLiU"/>
          <w:szCs w:val="28"/>
          <w:lang w:val="en-US"/>
        </w:rPr>
        <w:t xml:space="preserve"> </w:t>
      </w:r>
      <w:r w:rsidRPr="004F7C88">
        <w:rPr>
          <w:rFonts w:eastAsia="PMingLiU"/>
          <w:szCs w:val="28"/>
          <w:lang w:val="en-US"/>
        </w:rPr>
        <w:t>Defendant</w:t>
      </w:r>
    </w:p>
    <w:p w14:paraId="7843039C" w14:textId="7851E358" w:rsidR="00FD07B6" w:rsidRDefault="009C3485" w:rsidP="00D74BDC">
      <w:pPr>
        <w:tabs>
          <w:tab w:val="clear" w:pos="1440"/>
          <w:tab w:val="clear" w:pos="4320"/>
          <w:tab w:val="clear" w:pos="9072"/>
          <w:tab w:val="center" w:pos="4140"/>
          <w:tab w:val="right" w:pos="8280"/>
        </w:tabs>
        <w:spacing w:line="360" w:lineRule="auto"/>
        <w:jc w:val="both"/>
        <w:rPr>
          <w:rFonts w:eastAsia="PMingLiU"/>
          <w:szCs w:val="28"/>
          <w:lang w:val="en-US"/>
        </w:rPr>
      </w:pPr>
      <w:r>
        <w:rPr>
          <w:rFonts w:eastAsia="PMingLiU"/>
          <w:szCs w:val="28"/>
          <w:lang w:val="en-US"/>
        </w:rPr>
        <w:tab/>
      </w:r>
    </w:p>
    <w:p w14:paraId="7A316900" w14:textId="48146648" w:rsidR="00A259A8" w:rsidRDefault="00A259A8" w:rsidP="000964EB">
      <w:pPr>
        <w:tabs>
          <w:tab w:val="clear" w:pos="1440"/>
          <w:tab w:val="clear" w:pos="4320"/>
          <w:tab w:val="clear" w:pos="9072"/>
          <w:tab w:val="left" w:pos="1710"/>
          <w:tab w:val="center" w:pos="4140"/>
          <w:tab w:val="right" w:pos="8280"/>
        </w:tabs>
        <w:jc w:val="both"/>
        <w:rPr>
          <w:rFonts w:eastAsia="PMingLiU"/>
          <w:szCs w:val="28"/>
          <w:lang w:val="en-US"/>
        </w:rPr>
      </w:pPr>
      <w:r>
        <w:rPr>
          <w:rFonts w:eastAsia="PMingLiU"/>
          <w:szCs w:val="28"/>
          <w:lang w:val="en-US"/>
        </w:rPr>
        <w:tab/>
      </w:r>
      <w:r w:rsidRPr="00A259A8">
        <w:rPr>
          <w:rFonts w:eastAsia="PMingLiU"/>
          <w:szCs w:val="28"/>
          <w:lang w:val="en-US"/>
        </w:rPr>
        <w:t>ALPHA BUILDING CONSTRUCTION</w:t>
      </w:r>
      <w:r w:rsidR="00D74BDC">
        <w:rPr>
          <w:rFonts w:eastAsia="PMingLiU"/>
          <w:szCs w:val="28"/>
          <w:lang w:val="en-US"/>
        </w:rPr>
        <w:tab/>
      </w:r>
      <w:r>
        <w:rPr>
          <w:rFonts w:eastAsia="PMingLiU"/>
          <w:szCs w:val="28"/>
          <w:lang w:val="en-US"/>
        </w:rPr>
        <w:t>2</w:t>
      </w:r>
      <w:r w:rsidRPr="00A259A8">
        <w:rPr>
          <w:rFonts w:eastAsia="PMingLiU"/>
          <w:szCs w:val="28"/>
          <w:vertAlign w:val="superscript"/>
          <w:lang w:val="en-US"/>
        </w:rPr>
        <w:t>nd</w:t>
      </w:r>
      <w:r>
        <w:rPr>
          <w:rFonts w:eastAsia="PMingLiU"/>
          <w:szCs w:val="28"/>
          <w:lang w:val="en-US"/>
        </w:rPr>
        <w:t xml:space="preserve"> </w:t>
      </w:r>
      <w:r w:rsidRPr="004F7C88">
        <w:rPr>
          <w:rFonts w:eastAsia="PMingLiU"/>
          <w:szCs w:val="28"/>
          <w:lang w:val="en-US"/>
        </w:rPr>
        <w:t>Defendant</w:t>
      </w:r>
    </w:p>
    <w:p w14:paraId="51A4BF2F" w14:textId="0AEE1C64" w:rsidR="000964EB" w:rsidRPr="004F7C88" w:rsidRDefault="000964EB" w:rsidP="000964EB">
      <w:pPr>
        <w:tabs>
          <w:tab w:val="clear" w:pos="1440"/>
          <w:tab w:val="clear" w:pos="4320"/>
          <w:tab w:val="clear" w:pos="9072"/>
          <w:tab w:val="left" w:pos="1710"/>
          <w:tab w:val="center" w:pos="4140"/>
          <w:tab w:val="right" w:pos="8280"/>
        </w:tabs>
        <w:spacing w:line="360" w:lineRule="auto"/>
        <w:jc w:val="both"/>
        <w:rPr>
          <w:rFonts w:eastAsia="PMingLiU"/>
          <w:szCs w:val="28"/>
          <w:lang w:val="en-US"/>
        </w:rPr>
      </w:pPr>
      <w:r>
        <w:rPr>
          <w:rFonts w:eastAsia="PMingLiU"/>
          <w:szCs w:val="28"/>
          <w:lang w:val="en-US"/>
        </w:rPr>
        <w:tab/>
        <w:t>LIMITED</w:t>
      </w:r>
    </w:p>
    <w:p w14:paraId="66DB440E" w14:textId="74DD1379" w:rsidR="007E6F57" w:rsidRPr="00625B8D" w:rsidRDefault="009C3485" w:rsidP="000964EB">
      <w:pPr>
        <w:tabs>
          <w:tab w:val="clear" w:pos="1440"/>
          <w:tab w:val="clear" w:pos="4320"/>
          <w:tab w:val="clear" w:pos="9072"/>
          <w:tab w:val="center" w:pos="4140"/>
          <w:tab w:val="right" w:pos="8280"/>
        </w:tabs>
        <w:spacing w:line="360" w:lineRule="auto"/>
        <w:jc w:val="both"/>
        <w:rPr>
          <w:rFonts w:eastAsia="PMingLiU"/>
          <w:szCs w:val="28"/>
        </w:rPr>
      </w:pPr>
      <w:r>
        <w:rPr>
          <w:rFonts w:eastAsia="PMingLiU"/>
          <w:szCs w:val="28"/>
          <w:lang w:val="en-US"/>
        </w:rPr>
        <w:tab/>
      </w:r>
      <w:r w:rsidR="007E6F57" w:rsidRPr="00625B8D">
        <w:rPr>
          <w:rFonts w:eastAsia="PMingLiU"/>
          <w:szCs w:val="28"/>
        </w:rPr>
        <w:t>------</w:t>
      </w:r>
      <w:r w:rsidR="007E6F57">
        <w:rPr>
          <w:rFonts w:eastAsia="PMingLiU" w:hint="eastAsia"/>
          <w:szCs w:val="28"/>
          <w:lang w:eastAsia="zh-TW"/>
        </w:rPr>
        <w:t>-------</w:t>
      </w:r>
      <w:r w:rsidR="007E6F57" w:rsidRPr="00625B8D">
        <w:rPr>
          <w:rFonts w:eastAsia="PMingLiU"/>
          <w:szCs w:val="28"/>
        </w:rPr>
        <w:t>--------------</w:t>
      </w:r>
    </w:p>
    <w:p w14:paraId="04CEBB02" w14:textId="77777777" w:rsidR="007E6F57" w:rsidRPr="007E6F57" w:rsidRDefault="007E6F57" w:rsidP="00C712C7">
      <w:pPr>
        <w:tabs>
          <w:tab w:val="clear" w:pos="1440"/>
          <w:tab w:val="clear" w:pos="4320"/>
          <w:tab w:val="clear" w:pos="9072"/>
        </w:tabs>
        <w:spacing w:line="360" w:lineRule="auto"/>
        <w:jc w:val="both"/>
        <w:rPr>
          <w:rFonts w:eastAsia="PMingLiU"/>
          <w:szCs w:val="28"/>
          <w:lang w:val="en-US"/>
        </w:rPr>
      </w:pPr>
    </w:p>
    <w:p w14:paraId="09E9011D" w14:textId="317C31D3"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 xml:space="preserve">Before: </w:t>
      </w:r>
      <w:r w:rsidR="00D74BDC">
        <w:rPr>
          <w:rFonts w:eastAsia="PMingLiU"/>
          <w:szCs w:val="28"/>
          <w:lang w:val="en-US"/>
        </w:rPr>
        <w:t xml:space="preserve"> </w:t>
      </w:r>
      <w:r w:rsidRPr="007E6F57">
        <w:rPr>
          <w:rFonts w:eastAsia="PMingLiU"/>
          <w:szCs w:val="28"/>
          <w:lang w:val="en-US"/>
        </w:rPr>
        <w:t>Her Honour Judge Phoebe Man in Chambers (by paper disposal)</w:t>
      </w:r>
    </w:p>
    <w:p w14:paraId="4ADC70A7" w14:textId="27BD442A"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 xml:space="preserve">Date of </w:t>
      </w:r>
      <w:r w:rsidR="00FD07B6" w:rsidRPr="007E6F57">
        <w:rPr>
          <w:rFonts w:eastAsia="PMingLiU"/>
          <w:szCs w:val="28"/>
          <w:lang w:val="en-US"/>
        </w:rPr>
        <w:t xml:space="preserve">Defendants’ </w:t>
      </w:r>
      <w:r w:rsidRPr="007E6F57">
        <w:rPr>
          <w:rFonts w:eastAsia="PMingLiU"/>
          <w:szCs w:val="28"/>
          <w:lang w:val="en-US"/>
        </w:rPr>
        <w:t>Submission</w:t>
      </w:r>
      <w:r w:rsidR="00561F33">
        <w:rPr>
          <w:rFonts w:eastAsia="PMingLiU"/>
          <w:szCs w:val="28"/>
          <w:lang w:val="en-US"/>
        </w:rPr>
        <w:t>s</w:t>
      </w:r>
      <w:r w:rsidRPr="007E6F57">
        <w:rPr>
          <w:rFonts w:eastAsia="PMingLiU"/>
          <w:szCs w:val="28"/>
          <w:lang w:val="en-US"/>
        </w:rPr>
        <w:t xml:space="preserve">: </w:t>
      </w:r>
      <w:r w:rsidR="00A53062">
        <w:rPr>
          <w:rFonts w:eastAsia="PMingLiU"/>
          <w:szCs w:val="28"/>
          <w:lang w:val="en-US"/>
        </w:rPr>
        <w:t>31 March 2020</w:t>
      </w:r>
    </w:p>
    <w:p w14:paraId="05DA9C93" w14:textId="0BB7CF9C"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 xml:space="preserve">Date of </w:t>
      </w:r>
      <w:r w:rsidR="00FD07B6" w:rsidRPr="007E6F57">
        <w:rPr>
          <w:rFonts w:eastAsia="PMingLiU"/>
          <w:szCs w:val="28"/>
          <w:lang w:val="en-US"/>
        </w:rPr>
        <w:t xml:space="preserve">Plaintiff’s </w:t>
      </w:r>
      <w:r w:rsidRPr="007E6F57">
        <w:rPr>
          <w:rFonts w:eastAsia="PMingLiU"/>
          <w:szCs w:val="28"/>
          <w:lang w:val="en-US"/>
        </w:rPr>
        <w:t>Submission</w:t>
      </w:r>
      <w:r w:rsidR="00561F33">
        <w:rPr>
          <w:rFonts w:eastAsia="PMingLiU"/>
          <w:szCs w:val="28"/>
          <w:lang w:val="en-US"/>
        </w:rPr>
        <w:t>s</w:t>
      </w:r>
      <w:r w:rsidRPr="007E6F57">
        <w:rPr>
          <w:rFonts w:eastAsia="PMingLiU"/>
          <w:szCs w:val="28"/>
          <w:lang w:val="en-US"/>
        </w:rPr>
        <w:t xml:space="preserve">: </w:t>
      </w:r>
      <w:r w:rsidR="00A53062">
        <w:rPr>
          <w:rFonts w:eastAsia="PMingLiU"/>
          <w:szCs w:val="28"/>
          <w:lang w:val="en-US"/>
        </w:rPr>
        <w:t>24 April 2020</w:t>
      </w:r>
    </w:p>
    <w:p w14:paraId="2EB56814" w14:textId="67FDCD5B" w:rsid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 xml:space="preserve">Date of </w:t>
      </w:r>
      <w:r w:rsidR="00FD07B6">
        <w:rPr>
          <w:rFonts w:eastAsia="PMingLiU"/>
          <w:szCs w:val="28"/>
          <w:lang w:val="en-US"/>
        </w:rPr>
        <w:t>Defendant</w:t>
      </w:r>
      <w:r w:rsidRPr="007E6F57">
        <w:rPr>
          <w:rFonts w:eastAsia="PMingLiU"/>
          <w:szCs w:val="28"/>
          <w:lang w:val="en-US"/>
        </w:rPr>
        <w:t>s</w:t>
      </w:r>
      <w:r w:rsidR="00066481">
        <w:rPr>
          <w:rFonts w:eastAsia="PMingLiU"/>
          <w:szCs w:val="28"/>
          <w:lang w:val="en-US"/>
        </w:rPr>
        <w:t>’</w:t>
      </w:r>
      <w:r w:rsidRPr="007E6F57">
        <w:rPr>
          <w:rFonts w:eastAsia="PMingLiU"/>
          <w:szCs w:val="28"/>
          <w:lang w:val="en-US"/>
        </w:rPr>
        <w:t xml:space="preserve"> Submission</w:t>
      </w:r>
      <w:r w:rsidR="00561F33">
        <w:rPr>
          <w:rFonts w:eastAsia="PMingLiU"/>
          <w:szCs w:val="28"/>
          <w:lang w:val="en-US"/>
        </w:rPr>
        <w:t>s</w:t>
      </w:r>
      <w:r w:rsidRPr="007E6F57">
        <w:rPr>
          <w:rFonts w:eastAsia="PMingLiU"/>
          <w:szCs w:val="28"/>
          <w:lang w:val="en-US"/>
        </w:rPr>
        <w:t xml:space="preserve"> in reply: </w:t>
      </w:r>
      <w:r w:rsidR="00A53062">
        <w:rPr>
          <w:rFonts w:eastAsia="PMingLiU"/>
          <w:szCs w:val="28"/>
          <w:lang w:val="en-US"/>
        </w:rPr>
        <w:t>6 May 2020</w:t>
      </w:r>
    </w:p>
    <w:p w14:paraId="312D76B2" w14:textId="57E3E964" w:rsidR="00561F33" w:rsidRPr="007E6F57" w:rsidRDefault="00066481" w:rsidP="00C712C7">
      <w:pPr>
        <w:tabs>
          <w:tab w:val="clear" w:pos="1440"/>
          <w:tab w:val="clear" w:pos="4320"/>
          <w:tab w:val="clear" w:pos="9072"/>
        </w:tabs>
        <w:spacing w:line="360" w:lineRule="auto"/>
        <w:jc w:val="both"/>
        <w:rPr>
          <w:rFonts w:eastAsia="PMingLiU"/>
          <w:szCs w:val="28"/>
          <w:lang w:val="en-US"/>
        </w:rPr>
      </w:pPr>
      <w:r>
        <w:rPr>
          <w:rFonts w:eastAsia="PMingLiU"/>
          <w:szCs w:val="28"/>
          <w:lang w:val="en-US"/>
        </w:rPr>
        <w:t>Date of Defendant</w:t>
      </w:r>
      <w:r w:rsidR="00561F33">
        <w:rPr>
          <w:rFonts w:eastAsia="PMingLiU"/>
          <w:szCs w:val="28"/>
          <w:lang w:val="en-US"/>
        </w:rPr>
        <w:t>s</w:t>
      </w:r>
      <w:r w:rsidR="00EE24A8">
        <w:rPr>
          <w:rFonts w:eastAsia="PMingLiU"/>
          <w:szCs w:val="28"/>
          <w:lang w:val="en-US"/>
        </w:rPr>
        <w:t xml:space="preserve">’ </w:t>
      </w:r>
      <w:r w:rsidR="00561F33">
        <w:rPr>
          <w:rFonts w:eastAsia="PMingLiU"/>
          <w:szCs w:val="28"/>
          <w:lang w:val="en-US"/>
        </w:rPr>
        <w:t>further Submissions:</w:t>
      </w:r>
      <w:r w:rsidR="003E2520">
        <w:rPr>
          <w:rFonts w:eastAsia="PMingLiU"/>
          <w:szCs w:val="28"/>
          <w:lang w:val="en-US"/>
        </w:rPr>
        <w:t xml:space="preserve"> 15 May 2020</w:t>
      </w:r>
    </w:p>
    <w:p w14:paraId="00669558" w14:textId="6519BF2A"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Date of Decision</w:t>
      </w:r>
      <w:r w:rsidR="00D31BBD">
        <w:rPr>
          <w:rFonts w:eastAsia="PMingLiU"/>
          <w:szCs w:val="28"/>
          <w:lang w:val="en-US"/>
        </w:rPr>
        <w:t>:</w:t>
      </w:r>
      <w:bookmarkStart w:id="0" w:name="_GoBack"/>
      <w:bookmarkEnd w:id="0"/>
      <w:r w:rsidR="00C54BFA">
        <w:rPr>
          <w:rFonts w:eastAsia="PMingLiU"/>
          <w:szCs w:val="28"/>
          <w:lang w:val="en-US"/>
        </w:rPr>
        <w:t xml:space="preserve"> </w:t>
      </w:r>
      <w:r w:rsidR="00E3693D">
        <w:rPr>
          <w:rFonts w:eastAsia="PMingLiU"/>
          <w:szCs w:val="28"/>
          <w:lang w:val="en-US"/>
        </w:rPr>
        <w:t>29 May 2020</w:t>
      </w:r>
    </w:p>
    <w:p w14:paraId="7A7C0EC8" w14:textId="77777777" w:rsidR="007E6F57" w:rsidRPr="007E6F57" w:rsidRDefault="007E6F57" w:rsidP="00C712C7">
      <w:pPr>
        <w:tabs>
          <w:tab w:val="clear" w:pos="1440"/>
          <w:tab w:val="clear" w:pos="4320"/>
          <w:tab w:val="clear" w:pos="9072"/>
        </w:tabs>
        <w:spacing w:line="360" w:lineRule="auto"/>
        <w:jc w:val="both"/>
        <w:rPr>
          <w:rFonts w:eastAsia="PMingLiU"/>
          <w:szCs w:val="28"/>
          <w:lang w:val="en-US"/>
        </w:rPr>
      </w:pPr>
    </w:p>
    <w:p w14:paraId="0450093F" w14:textId="77777777" w:rsidR="00481CCA" w:rsidRPr="00625B8D" w:rsidRDefault="00481CCA" w:rsidP="00C712C7">
      <w:pPr>
        <w:tabs>
          <w:tab w:val="clear" w:pos="4320"/>
          <w:tab w:val="clear" w:pos="9072"/>
          <w:tab w:val="left" w:pos="1620"/>
          <w:tab w:val="right" w:pos="8280"/>
        </w:tabs>
        <w:adjustRightInd w:val="0"/>
        <w:spacing w:line="360" w:lineRule="auto"/>
        <w:jc w:val="center"/>
        <w:rPr>
          <w:rFonts w:eastAsia="PMingLiU"/>
          <w:szCs w:val="28"/>
        </w:rPr>
      </w:pPr>
      <w:r w:rsidRPr="00625B8D">
        <w:rPr>
          <w:rFonts w:eastAsia="PMingLiU"/>
          <w:szCs w:val="28"/>
        </w:rPr>
        <w:t>--------</w:t>
      </w:r>
      <w:r w:rsidR="00E002A6">
        <w:rPr>
          <w:rFonts w:eastAsia="PMingLiU"/>
          <w:szCs w:val="28"/>
        </w:rPr>
        <w:t>---</w:t>
      </w:r>
      <w:r w:rsidRPr="00625B8D">
        <w:rPr>
          <w:rFonts w:eastAsia="PMingLiU"/>
          <w:szCs w:val="28"/>
        </w:rPr>
        <w:t>--</w:t>
      </w:r>
      <w:r w:rsidR="00E002A6">
        <w:rPr>
          <w:rFonts w:eastAsia="PMingLiU"/>
          <w:szCs w:val="28"/>
        </w:rPr>
        <w:t>-------</w:t>
      </w:r>
    </w:p>
    <w:p w14:paraId="0D7F57AF" w14:textId="77777777" w:rsidR="00481CCA" w:rsidRPr="00625B8D" w:rsidRDefault="00351982" w:rsidP="00C712C7">
      <w:pPr>
        <w:tabs>
          <w:tab w:val="clear" w:pos="4320"/>
          <w:tab w:val="clear" w:pos="9072"/>
          <w:tab w:val="left" w:pos="1620"/>
          <w:tab w:val="right" w:pos="8280"/>
        </w:tabs>
        <w:adjustRightInd w:val="0"/>
        <w:spacing w:line="360" w:lineRule="auto"/>
        <w:jc w:val="center"/>
        <w:rPr>
          <w:rFonts w:eastAsia="PMingLiU"/>
          <w:szCs w:val="28"/>
          <w:lang w:eastAsia="zh-TW"/>
        </w:rPr>
      </w:pPr>
      <w:r>
        <w:rPr>
          <w:rFonts w:eastAsia="PMingLiU"/>
          <w:szCs w:val="28"/>
        </w:rPr>
        <w:t>DECISION</w:t>
      </w:r>
    </w:p>
    <w:p w14:paraId="695384FA" w14:textId="77777777" w:rsidR="00351982" w:rsidRPr="00625B8D" w:rsidRDefault="00351982" w:rsidP="00C712C7">
      <w:pPr>
        <w:tabs>
          <w:tab w:val="clear" w:pos="4320"/>
          <w:tab w:val="clear" w:pos="9072"/>
          <w:tab w:val="left" w:pos="1620"/>
          <w:tab w:val="right" w:pos="8280"/>
        </w:tabs>
        <w:adjustRightInd w:val="0"/>
        <w:spacing w:line="360" w:lineRule="auto"/>
        <w:jc w:val="center"/>
        <w:rPr>
          <w:rFonts w:eastAsia="PMingLiU"/>
          <w:szCs w:val="28"/>
        </w:rPr>
      </w:pPr>
      <w:r w:rsidRPr="00625B8D">
        <w:rPr>
          <w:rFonts w:eastAsia="PMingLiU"/>
          <w:szCs w:val="28"/>
        </w:rPr>
        <w:t>--------</w:t>
      </w:r>
      <w:r>
        <w:rPr>
          <w:rFonts w:eastAsia="PMingLiU"/>
          <w:szCs w:val="28"/>
        </w:rPr>
        <w:t>---</w:t>
      </w:r>
      <w:r w:rsidRPr="00625B8D">
        <w:rPr>
          <w:rFonts w:eastAsia="PMingLiU"/>
          <w:szCs w:val="28"/>
        </w:rPr>
        <w:t>--</w:t>
      </w:r>
      <w:r>
        <w:rPr>
          <w:rFonts w:eastAsia="PMingLiU"/>
          <w:szCs w:val="28"/>
        </w:rPr>
        <w:t>-------</w:t>
      </w:r>
    </w:p>
    <w:p w14:paraId="442151B2" w14:textId="41BD8D68" w:rsidR="00383504" w:rsidRDefault="00383504" w:rsidP="00C712C7">
      <w:pPr>
        <w:tabs>
          <w:tab w:val="clear" w:pos="4320"/>
          <w:tab w:val="clear" w:pos="9072"/>
        </w:tabs>
        <w:snapToGrid/>
        <w:spacing w:line="360" w:lineRule="auto"/>
        <w:jc w:val="both"/>
        <w:rPr>
          <w:rFonts w:eastAsia="PMingLiU"/>
          <w:szCs w:val="28"/>
          <w:lang w:eastAsia="zh-TW"/>
        </w:rPr>
      </w:pPr>
    </w:p>
    <w:p w14:paraId="1FE6B476" w14:textId="77777777" w:rsidR="00CB3070" w:rsidRDefault="00CB3070" w:rsidP="00C712C7">
      <w:pPr>
        <w:tabs>
          <w:tab w:val="clear" w:pos="4320"/>
          <w:tab w:val="clear" w:pos="9072"/>
        </w:tabs>
        <w:snapToGrid/>
        <w:spacing w:line="360" w:lineRule="auto"/>
        <w:jc w:val="both"/>
        <w:rPr>
          <w:rFonts w:eastAsia="PMingLiU"/>
          <w:szCs w:val="28"/>
          <w:lang w:eastAsia="zh-TW"/>
        </w:rPr>
      </w:pPr>
    </w:p>
    <w:p w14:paraId="4BC3FEE1" w14:textId="28197254" w:rsidR="00CB3070" w:rsidRPr="00C9271C" w:rsidRDefault="00CB3070" w:rsidP="00C9271C">
      <w:pPr>
        <w:pStyle w:val="ListParagraph"/>
        <w:numPr>
          <w:ilvl w:val="0"/>
          <w:numId w:val="27"/>
        </w:numPr>
        <w:tabs>
          <w:tab w:val="left" w:pos="720"/>
        </w:tabs>
        <w:spacing w:line="360" w:lineRule="auto"/>
        <w:ind w:hanging="720"/>
        <w:jc w:val="both"/>
        <w:rPr>
          <w:i/>
          <w:iCs/>
          <w:szCs w:val="28"/>
        </w:rPr>
      </w:pPr>
      <w:r w:rsidRPr="00C9271C">
        <w:rPr>
          <w:i/>
          <w:iCs/>
          <w:szCs w:val="28"/>
        </w:rPr>
        <w:t>Application</w:t>
      </w:r>
    </w:p>
    <w:p w14:paraId="3915D64E" w14:textId="77777777" w:rsidR="00CB3070" w:rsidRPr="009817FF" w:rsidRDefault="00CB3070" w:rsidP="00E76697">
      <w:pPr>
        <w:spacing w:line="360" w:lineRule="auto"/>
        <w:jc w:val="both"/>
        <w:rPr>
          <w:szCs w:val="28"/>
        </w:rPr>
      </w:pPr>
    </w:p>
    <w:p w14:paraId="15CB3CA4" w14:textId="64744277" w:rsidR="00CB3070" w:rsidRPr="009817FF" w:rsidRDefault="00CB3070" w:rsidP="00E76697">
      <w:pPr>
        <w:numPr>
          <w:ilvl w:val="0"/>
          <w:numId w:val="4"/>
        </w:numPr>
        <w:tabs>
          <w:tab w:val="clear" w:pos="4320"/>
          <w:tab w:val="clear" w:pos="9072"/>
        </w:tabs>
        <w:snapToGrid/>
        <w:spacing w:line="360" w:lineRule="auto"/>
        <w:ind w:left="0" w:firstLine="0"/>
        <w:jc w:val="both"/>
        <w:rPr>
          <w:szCs w:val="28"/>
        </w:rPr>
      </w:pPr>
      <w:r w:rsidRPr="009817FF">
        <w:rPr>
          <w:szCs w:val="28"/>
        </w:rPr>
        <w:t>By a judgment dated 14 January 2020 (the “Judgment”), I ordered the 1</w:t>
      </w:r>
      <w:r w:rsidRPr="009817FF">
        <w:rPr>
          <w:szCs w:val="28"/>
          <w:vertAlign w:val="superscript"/>
        </w:rPr>
        <w:t>st</w:t>
      </w:r>
      <w:r w:rsidRPr="009817FF">
        <w:rPr>
          <w:szCs w:val="28"/>
        </w:rPr>
        <w:t xml:space="preserve"> and 2</w:t>
      </w:r>
      <w:r w:rsidRPr="009817FF">
        <w:rPr>
          <w:szCs w:val="28"/>
          <w:vertAlign w:val="superscript"/>
        </w:rPr>
        <w:t>nd</w:t>
      </w:r>
      <w:r w:rsidRPr="009817FF">
        <w:rPr>
          <w:szCs w:val="28"/>
        </w:rPr>
        <w:t xml:space="preserve"> </w:t>
      </w:r>
      <w:r w:rsidR="00E76697">
        <w:rPr>
          <w:szCs w:val="28"/>
        </w:rPr>
        <w:t>d</w:t>
      </w:r>
      <w:r w:rsidRPr="009817FF">
        <w:rPr>
          <w:szCs w:val="28"/>
        </w:rPr>
        <w:t xml:space="preserve">efendants to pay damages in the sum of HK$1,331,866.60 to the </w:t>
      </w:r>
      <w:r w:rsidR="00E76697">
        <w:rPr>
          <w:szCs w:val="28"/>
        </w:rPr>
        <w:t>p</w:t>
      </w:r>
      <w:r w:rsidRPr="009817FF">
        <w:rPr>
          <w:szCs w:val="28"/>
        </w:rPr>
        <w:t xml:space="preserve">laintiff in a personal injuries action.  By letter dated 13 March 2020, solicitors for the plaintiff applied to amend paragraphs 71 to 73 of the Judgment.  </w:t>
      </w:r>
    </w:p>
    <w:p w14:paraId="30E20BF0" w14:textId="77777777" w:rsidR="00CB3070" w:rsidRPr="009817FF" w:rsidRDefault="00CB3070" w:rsidP="00E76697">
      <w:pPr>
        <w:pStyle w:val="ListParagraph"/>
        <w:tabs>
          <w:tab w:val="clear" w:pos="4320"/>
          <w:tab w:val="clear" w:pos="9072"/>
        </w:tabs>
        <w:snapToGrid/>
        <w:spacing w:line="360" w:lineRule="auto"/>
        <w:jc w:val="both"/>
        <w:rPr>
          <w:szCs w:val="28"/>
        </w:rPr>
      </w:pPr>
    </w:p>
    <w:p w14:paraId="6AF0BE0B" w14:textId="1D94A847" w:rsidR="00CB3070" w:rsidRPr="00C9271C" w:rsidRDefault="00CB3070" w:rsidP="00C9271C">
      <w:pPr>
        <w:pStyle w:val="ListParagraph"/>
        <w:numPr>
          <w:ilvl w:val="0"/>
          <w:numId w:val="27"/>
        </w:numPr>
        <w:tabs>
          <w:tab w:val="clear" w:pos="4320"/>
          <w:tab w:val="clear" w:pos="9072"/>
        </w:tabs>
        <w:snapToGrid/>
        <w:spacing w:line="360" w:lineRule="auto"/>
        <w:ind w:hanging="720"/>
        <w:jc w:val="both"/>
        <w:rPr>
          <w:i/>
          <w:iCs/>
          <w:szCs w:val="28"/>
        </w:rPr>
      </w:pPr>
      <w:r w:rsidRPr="00C9271C">
        <w:rPr>
          <w:i/>
          <w:iCs/>
          <w:szCs w:val="28"/>
        </w:rPr>
        <w:t>Background</w:t>
      </w:r>
    </w:p>
    <w:p w14:paraId="30B78D41" w14:textId="77777777" w:rsidR="00CB3070" w:rsidRPr="009817FF" w:rsidRDefault="00CB3070" w:rsidP="00E76697">
      <w:pPr>
        <w:tabs>
          <w:tab w:val="clear" w:pos="4320"/>
          <w:tab w:val="clear" w:pos="9072"/>
        </w:tabs>
        <w:snapToGrid/>
        <w:spacing w:line="360" w:lineRule="auto"/>
        <w:jc w:val="both"/>
        <w:rPr>
          <w:szCs w:val="28"/>
        </w:rPr>
      </w:pPr>
    </w:p>
    <w:p w14:paraId="0CB2C7C4" w14:textId="77777777" w:rsidR="00CB3070" w:rsidRPr="009817FF" w:rsidRDefault="00CB3070" w:rsidP="00E76697">
      <w:pPr>
        <w:numPr>
          <w:ilvl w:val="0"/>
          <w:numId w:val="4"/>
        </w:numPr>
        <w:tabs>
          <w:tab w:val="clear" w:pos="4320"/>
          <w:tab w:val="clear" w:pos="9072"/>
        </w:tabs>
        <w:snapToGrid/>
        <w:spacing w:line="360" w:lineRule="auto"/>
        <w:ind w:left="0" w:firstLine="0"/>
        <w:jc w:val="both"/>
        <w:rPr>
          <w:szCs w:val="28"/>
        </w:rPr>
      </w:pPr>
      <w:r w:rsidRPr="009817FF">
        <w:rPr>
          <w:szCs w:val="28"/>
        </w:rPr>
        <w:t>The plaintiff says that I had omitted to address the plaintiff’s pre-trial loss of earnings &amp; MPF for the period from 20 October 2016 to 14 January 2020.  The background is as follows:</w:t>
      </w:r>
    </w:p>
    <w:p w14:paraId="41A652D1" w14:textId="77777777" w:rsidR="00CB3070" w:rsidRPr="009817FF" w:rsidRDefault="00CB3070" w:rsidP="00E76697">
      <w:pPr>
        <w:pStyle w:val="ListParagraph"/>
        <w:spacing w:line="360" w:lineRule="auto"/>
        <w:rPr>
          <w:szCs w:val="28"/>
        </w:rPr>
      </w:pPr>
    </w:p>
    <w:p w14:paraId="24C3E0A3" w14:textId="77777777" w:rsidR="00CB3070" w:rsidRPr="009817FF" w:rsidRDefault="00CB3070" w:rsidP="002A720F">
      <w:pPr>
        <w:pStyle w:val="ListParagraph"/>
        <w:numPr>
          <w:ilvl w:val="1"/>
          <w:numId w:val="4"/>
        </w:numPr>
        <w:tabs>
          <w:tab w:val="clear" w:pos="1440"/>
          <w:tab w:val="clear" w:pos="4320"/>
          <w:tab w:val="clear" w:pos="9072"/>
          <w:tab w:val="left" w:pos="2160"/>
        </w:tabs>
        <w:snapToGrid/>
        <w:spacing w:line="360" w:lineRule="auto"/>
        <w:ind w:left="2160"/>
        <w:jc w:val="both"/>
        <w:rPr>
          <w:szCs w:val="28"/>
        </w:rPr>
      </w:pPr>
      <w:r w:rsidRPr="009817FF">
        <w:rPr>
          <w:szCs w:val="28"/>
        </w:rPr>
        <w:t xml:space="preserve">I found in paragraph 67 of the Judgment that despite the plaintiff had been prescribed sick leave from 15 September 2015 to 5 May 2019 (43 months and 20 days), I was of the view that by 19 October 2016, the plaintiff would have been able to return to work, albeit in a different area of work.  </w:t>
      </w:r>
    </w:p>
    <w:p w14:paraId="098D9659" w14:textId="77777777" w:rsidR="00CB3070" w:rsidRPr="009817FF" w:rsidRDefault="00CB3070" w:rsidP="002A720F">
      <w:pPr>
        <w:pStyle w:val="ListParagraph"/>
        <w:tabs>
          <w:tab w:val="clear" w:pos="1440"/>
          <w:tab w:val="clear" w:pos="4320"/>
          <w:tab w:val="clear" w:pos="9072"/>
          <w:tab w:val="left" w:pos="2160"/>
        </w:tabs>
        <w:snapToGrid/>
        <w:spacing w:line="360" w:lineRule="auto"/>
        <w:ind w:left="2160" w:hanging="720"/>
        <w:jc w:val="both"/>
        <w:rPr>
          <w:szCs w:val="28"/>
        </w:rPr>
      </w:pPr>
    </w:p>
    <w:p w14:paraId="17CD929A" w14:textId="77777777" w:rsidR="00CB3070" w:rsidRPr="009817FF" w:rsidRDefault="00CB3070" w:rsidP="002A720F">
      <w:pPr>
        <w:pStyle w:val="ListParagraph"/>
        <w:numPr>
          <w:ilvl w:val="1"/>
          <w:numId w:val="4"/>
        </w:numPr>
        <w:tabs>
          <w:tab w:val="clear" w:pos="1440"/>
          <w:tab w:val="clear" w:pos="4320"/>
          <w:tab w:val="clear" w:pos="9072"/>
          <w:tab w:val="left" w:pos="2160"/>
        </w:tabs>
        <w:snapToGrid/>
        <w:spacing w:line="360" w:lineRule="auto"/>
        <w:ind w:left="2160"/>
        <w:jc w:val="both"/>
        <w:rPr>
          <w:szCs w:val="28"/>
        </w:rPr>
      </w:pPr>
      <w:r w:rsidRPr="009817FF">
        <w:rPr>
          <w:szCs w:val="28"/>
        </w:rPr>
        <w:t xml:space="preserve">I also found in paragraph 75 of the Judgment that the plaintiff would need to find alternative employment as he could no longer go back to his pre-accident job as a construction worker and the plaintiff would be able to resume working as a security guard with his residual psychiatric symptoms.  </w:t>
      </w:r>
    </w:p>
    <w:p w14:paraId="447DCF40" w14:textId="77777777" w:rsidR="00CB3070" w:rsidRPr="009817FF" w:rsidRDefault="00CB3070" w:rsidP="002A720F">
      <w:pPr>
        <w:tabs>
          <w:tab w:val="clear" w:pos="1440"/>
          <w:tab w:val="clear" w:pos="4320"/>
          <w:tab w:val="clear" w:pos="9072"/>
          <w:tab w:val="left" w:pos="2160"/>
        </w:tabs>
        <w:snapToGrid/>
        <w:spacing w:line="360" w:lineRule="auto"/>
        <w:ind w:left="2160" w:hanging="720"/>
        <w:jc w:val="both"/>
        <w:rPr>
          <w:szCs w:val="28"/>
        </w:rPr>
      </w:pPr>
    </w:p>
    <w:p w14:paraId="298491A9" w14:textId="77777777" w:rsidR="00CB3070" w:rsidRPr="009817FF" w:rsidRDefault="00CB3070" w:rsidP="002A720F">
      <w:pPr>
        <w:pStyle w:val="ListParagraph"/>
        <w:numPr>
          <w:ilvl w:val="1"/>
          <w:numId w:val="4"/>
        </w:numPr>
        <w:tabs>
          <w:tab w:val="clear" w:pos="1440"/>
          <w:tab w:val="clear" w:pos="4320"/>
          <w:tab w:val="clear" w:pos="9072"/>
          <w:tab w:val="left" w:pos="2160"/>
        </w:tabs>
        <w:snapToGrid/>
        <w:spacing w:line="360" w:lineRule="auto"/>
        <w:ind w:left="2160"/>
        <w:jc w:val="both"/>
        <w:rPr>
          <w:szCs w:val="28"/>
        </w:rPr>
      </w:pPr>
      <w:r w:rsidRPr="009817FF">
        <w:rPr>
          <w:szCs w:val="28"/>
        </w:rPr>
        <w:t xml:space="preserve">In paragraph 75 of the Judgment I adopted HK$13,094 as the figure of what the plaintiff should be able to earn </w:t>
      </w:r>
      <w:r w:rsidRPr="009817FF">
        <w:rPr>
          <w:szCs w:val="28"/>
          <w:u w:val="single"/>
        </w:rPr>
        <w:t xml:space="preserve">from the date of trial onwards </w:t>
      </w:r>
      <w:r w:rsidRPr="009817FF">
        <w:rPr>
          <w:szCs w:val="28"/>
        </w:rPr>
        <w:t>(emphasis added).</w:t>
      </w:r>
    </w:p>
    <w:p w14:paraId="5DD4B7D7" w14:textId="77777777" w:rsidR="00CB3070" w:rsidRPr="009817FF" w:rsidRDefault="00CB3070" w:rsidP="002A720F">
      <w:pPr>
        <w:tabs>
          <w:tab w:val="clear" w:pos="1440"/>
          <w:tab w:val="clear" w:pos="4320"/>
          <w:tab w:val="clear" w:pos="9072"/>
          <w:tab w:val="left" w:pos="2160"/>
        </w:tabs>
        <w:snapToGrid/>
        <w:spacing w:line="360" w:lineRule="auto"/>
        <w:ind w:left="2160" w:hanging="720"/>
        <w:jc w:val="both"/>
        <w:rPr>
          <w:szCs w:val="28"/>
        </w:rPr>
      </w:pPr>
    </w:p>
    <w:p w14:paraId="449D9CD4" w14:textId="77777777" w:rsidR="00CB3070" w:rsidRPr="009817FF" w:rsidRDefault="00CB3070" w:rsidP="002A720F">
      <w:pPr>
        <w:pStyle w:val="ListParagraph"/>
        <w:numPr>
          <w:ilvl w:val="1"/>
          <w:numId w:val="4"/>
        </w:numPr>
        <w:tabs>
          <w:tab w:val="clear" w:pos="1440"/>
          <w:tab w:val="clear" w:pos="4320"/>
          <w:tab w:val="clear" w:pos="9072"/>
          <w:tab w:val="left" w:pos="2160"/>
        </w:tabs>
        <w:snapToGrid/>
        <w:spacing w:line="360" w:lineRule="auto"/>
        <w:ind w:left="2160"/>
        <w:jc w:val="both"/>
        <w:rPr>
          <w:szCs w:val="28"/>
        </w:rPr>
      </w:pPr>
      <w:r w:rsidRPr="009817FF">
        <w:rPr>
          <w:szCs w:val="28"/>
        </w:rPr>
        <w:t xml:space="preserve">I calculated the plaintiff’s pre-trial loss of earnings &amp; MPF in paragraphs 71 to 73 of the Judgment.  However, I </w:t>
      </w:r>
      <w:r>
        <w:rPr>
          <w:szCs w:val="28"/>
        </w:rPr>
        <w:t xml:space="preserve">had </w:t>
      </w:r>
      <w:r w:rsidRPr="009817FF">
        <w:rPr>
          <w:szCs w:val="28"/>
        </w:rPr>
        <w:t>only calculated the loss of income during the sick leave period (15 September 2015 to 19 October 2016) as:</w:t>
      </w:r>
    </w:p>
    <w:p w14:paraId="6D96562B" w14:textId="77777777" w:rsidR="00CB3070" w:rsidRPr="009817FF" w:rsidRDefault="00CB3070" w:rsidP="002A720F">
      <w:pPr>
        <w:pStyle w:val="ListParagraph"/>
        <w:tabs>
          <w:tab w:val="left" w:pos="2160"/>
        </w:tabs>
        <w:spacing w:line="360" w:lineRule="auto"/>
        <w:ind w:left="2160" w:hanging="720"/>
        <w:rPr>
          <w:szCs w:val="28"/>
        </w:rPr>
      </w:pPr>
    </w:p>
    <w:p w14:paraId="3B7491B4" w14:textId="77777777" w:rsidR="00CB3070" w:rsidRPr="009817FF" w:rsidRDefault="00CB3070" w:rsidP="002A720F">
      <w:pPr>
        <w:pStyle w:val="ListParagraph"/>
        <w:tabs>
          <w:tab w:val="clear" w:pos="1440"/>
          <w:tab w:val="clear" w:pos="4320"/>
          <w:tab w:val="clear" w:pos="9072"/>
          <w:tab w:val="left" w:pos="2160"/>
        </w:tabs>
        <w:snapToGrid/>
        <w:spacing w:line="360" w:lineRule="auto"/>
        <w:ind w:left="2160"/>
        <w:jc w:val="both"/>
        <w:rPr>
          <w:szCs w:val="28"/>
        </w:rPr>
      </w:pPr>
      <w:r w:rsidRPr="009817FF">
        <w:rPr>
          <w:szCs w:val="28"/>
        </w:rPr>
        <w:t xml:space="preserve">15 September to 31 December 2015 = 108 days  </w:t>
      </w:r>
    </w:p>
    <w:p w14:paraId="02067764" w14:textId="77777777" w:rsidR="00CB3070" w:rsidRPr="009817FF" w:rsidRDefault="00CB3070" w:rsidP="002A720F">
      <w:pPr>
        <w:pStyle w:val="ListParagraph"/>
        <w:tabs>
          <w:tab w:val="clear" w:pos="4320"/>
          <w:tab w:val="clear" w:pos="9072"/>
          <w:tab w:val="left" w:pos="2160"/>
        </w:tabs>
        <w:spacing w:line="360" w:lineRule="auto"/>
        <w:ind w:left="2160"/>
        <w:jc w:val="both"/>
        <w:rPr>
          <w:szCs w:val="28"/>
        </w:rPr>
      </w:pPr>
      <w:r w:rsidRPr="009817FF">
        <w:rPr>
          <w:szCs w:val="28"/>
        </w:rPr>
        <w:t>HK$19,345 x 108/365 x 12 months x 1.05 = HK$72,122.4</w:t>
      </w:r>
    </w:p>
    <w:p w14:paraId="4D1EF85E" w14:textId="77777777" w:rsidR="00CB3070" w:rsidRPr="009817FF" w:rsidRDefault="00CB3070" w:rsidP="002A720F">
      <w:pPr>
        <w:tabs>
          <w:tab w:val="clear" w:pos="4320"/>
          <w:tab w:val="clear" w:pos="9072"/>
          <w:tab w:val="left" w:pos="2160"/>
        </w:tabs>
        <w:spacing w:line="360" w:lineRule="auto"/>
        <w:ind w:left="2160"/>
        <w:jc w:val="both"/>
        <w:rPr>
          <w:szCs w:val="28"/>
        </w:rPr>
      </w:pPr>
    </w:p>
    <w:p w14:paraId="382AFB1A" w14:textId="78EFD1FE" w:rsidR="00CB3070" w:rsidRPr="009817FF" w:rsidRDefault="00CB3070" w:rsidP="002A720F">
      <w:pPr>
        <w:pStyle w:val="ListParagraph"/>
        <w:tabs>
          <w:tab w:val="clear" w:pos="4320"/>
          <w:tab w:val="clear" w:pos="9072"/>
          <w:tab w:val="left" w:pos="2160"/>
        </w:tabs>
        <w:spacing w:line="360" w:lineRule="auto"/>
        <w:ind w:left="2160"/>
        <w:jc w:val="both"/>
        <w:rPr>
          <w:szCs w:val="28"/>
        </w:rPr>
      </w:pPr>
      <w:r w:rsidRPr="009817FF">
        <w:rPr>
          <w:szCs w:val="28"/>
        </w:rPr>
        <w:tab/>
        <w:t>1 January to 19 October 2016 = 293 days</w:t>
      </w:r>
    </w:p>
    <w:p w14:paraId="63EFF3D4" w14:textId="77777777" w:rsidR="00CB3070" w:rsidRPr="009817FF" w:rsidRDefault="00CB3070" w:rsidP="002A720F">
      <w:pPr>
        <w:pStyle w:val="ListParagraph"/>
        <w:tabs>
          <w:tab w:val="clear" w:pos="4320"/>
          <w:tab w:val="clear" w:pos="9072"/>
          <w:tab w:val="left" w:pos="2160"/>
        </w:tabs>
        <w:spacing w:line="360" w:lineRule="auto"/>
        <w:ind w:left="2160"/>
        <w:jc w:val="both"/>
        <w:rPr>
          <w:szCs w:val="28"/>
        </w:rPr>
      </w:pPr>
      <w:r w:rsidRPr="009817FF">
        <w:rPr>
          <w:szCs w:val="28"/>
        </w:rPr>
        <w:t>HK$21,279.5 x 293/365 x 12 months x 1.05= HK$215,231.9</w:t>
      </w:r>
    </w:p>
    <w:p w14:paraId="0769EEA0" w14:textId="77777777" w:rsidR="00CB3070" w:rsidRPr="009817FF" w:rsidRDefault="00CB3070" w:rsidP="002A720F">
      <w:pPr>
        <w:pStyle w:val="ListParagraph"/>
        <w:tabs>
          <w:tab w:val="clear" w:pos="4320"/>
          <w:tab w:val="clear" w:pos="9072"/>
          <w:tab w:val="left" w:pos="2160"/>
        </w:tabs>
        <w:spacing w:line="360" w:lineRule="auto"/>
        <w:ind w:left="2160"/>
        <w:jc w:val="both"/>
        <w:rPr>
          <w:szCs w:val="28"/>
        </w:rPr>
      </w:pPr>
    </w:p>
    <w:p w14:paraId="05F4251A" w14:textId="77777777" w:rsidR="00CB3070" w:rsidRPr="009817FF" w:rsidRDefault="00CB3070" w:rsidP="002A720F">
      <w:pPr>
        <w:pStyle w:val="ListParagraph"/>
        <w:tabs>
          <w:tab w:val="clear" w:pos="1440"/>
          <w:tab w:val="clear" w:pos="4320"/>
          <w:tab w:val="clear" w:pos="9072"/>
          <w:tab w:val="left" w:pos="2160"/>
        </w:tabs>
        <w:snapToGrid/>
        <w:spacing w:line="360" w:lineRule="auto"/>
        <w:ind w:left="2160"/>
        <w:jc w:val="both"/>
        <w:rPr>
          <w:szCs w:val="28"/>
        </w:rPr>
      </w:pPr>
      <w:r w:rsidRPr="009817FF">
        <w:rPr>
          <w:szCs w:val="28"/>
        </w:rPr>
        <w:t>Total = HK$287,354.3</w:t>
      </w:r>
    </w:p>
    <w:p w14:paraId="02401A09" w14:textId="77777777" w:rsidR="00CB3070" w:rsidRPr="009817FF" w:rsidRDefault="00CB3070" w:rsidP="002A720F">
      <w:pPr>
        <w:pStyle w:val="ListParagraph"/>
        <w:tabs>
          <w:tab w:val="left" w:pos="2160"/>
        </w:tabs>
        <w:spacing w:line="360" w:lineRule="auto"/>
        <w:ind w:left="2160" w:hanging="720"/>
        <w:rPr>
          <w:szCs w:val="28"/>
        </w:rPr>
      </w:pPr>
    </w:p>
    <w:p w14:paraId="70337899" w14:textId="76356DA7" w:rsidR="00CB3070" w:rsidRPr="009817FF" w:rsidRDefault="00CB3070" w:rsidP="002A720F">
      <w:pPr>
        <w:pStyle w:val="ListParagraph"/>
        <w:numPr>
          <w:ilvl w:val="1"/>
          <w:numId w:val="4"/>
        </w:numPr>
        <w:tabs>
          <w:tab w:val="clear" w:pos="1440"/>
          <w:tab w:val="clear" w:pos="4320"/>
          <w:tab w:val="clear" w:pos="9072"/>
          <w:tab w:val="left" w:pos="2160"/>
        </w:tabs>
        <w:snapToGrid/>
        <w:spacing w:line="360" w:lineRule="auto"/>
        <w:ind w:left="2160"/>
        <w:jc w:val="both"/>
        <w:rPr>
          <w:szCs w:val="28"/>
        </w:rPr>
      </w:pPr>
      <w:r w:rsidRPr="009817FF">
        <w:rPr>
          <w:szCs w:val="28"/>
        </w:rPr>
        <w:t>I did not address the</w:t>
      </w:r>
      <w:r w:rsidR="00C9271C">
        <w:rPr>
          <w:szCs w:val="28"/>
        </w:rPr>
        <w:t xml:space="preserve"> plaintiff’s</w:t>
      </w:r>
      <w:r w:rsidRPr="009817FF">
        <w:rPr>
          <w:szCs w:val="28"/>
        </w:rPr>
        <w:t xml:space="preserve"> pre-trial loss of earnings &amp; MPF for the period from 20 October 2016 to 14 January 2020 (the date of the Judgment). The plaintiff says this was an oversight and invited me to amend the Judgment to reflect that “</w:t>
      </w:r>
      <w:r w:rsidRPr="009817FF">
        <w:rPr>
          <w:i/>
          <w:iCs/>
          <w:szCs w:val="28"/>
        </w:rPr>
        <w:t>the plaintiff should at least be awarded the differences of the pre-Accident and the current income for the said period</w:t>
      </w:r>
      <w:r w:rsidRPr="009817FF">
        <w:rPr>
          <w:szCs w:val="28"/>
        </w:rPr>
        <w:t>.”</w:t>
      </w:r>
    </w:p>
    <w:p w14:paraId="01A681AB" w14:textId="77777777" w:rsidR="00CB3070" w:rsidRPr="009817FF" w:rsidRDefault="00CB3070" w:rsidP="00E76697">
      <w:pPr>
        <w:tabs>
          <w:tab w:val="clear" w:pos="4320"/>
          <w:tab w:val="clear" w:pos="9072"/>
        </w:tabs>
        <w:snapToGrid/>
        <w:spacing w:line="360" w:lineRule="auto"/>
        <w:jc w:val="both"/>
        <w:rPr>
          <w:szCs w:val="28"/>
        </w:rPr>
      </w:pPr>
    </w:p>
    <w:p w14:paraId="6BC93FE1" w14:textId="43672E74" w:rsidR="00CB3070" w:rsidRDefault="00CB3070" w:rsidP="00E76697">
      <w:pPr>
        <w:numPr>
          <w:ilvl w:val="0"/>
          <w:numId w:val="4"/>
        </w:numPr>
        <w:tabs>
          <w:tab w:val="clear" w:pos="4320"/>
          <w:tab w:val="clear" w:pos="9072"/>
        </w:tabs>
        <w:snapToGrid/>
        <w:spacing w:line="360" w:lineRule="auto"/>
        <w:ind w:left="0" w:firstLine="0"/>
        <w:jc w:val="both"/>
        <w:rPr>
          <w:szCs w:val="28"/>
        </w:rPr>
      </w:pPr>
      <w:r>
        <w:rPr>
          <w:szCs w:val="28"/>
        </w:rPr>
        <w:t xml:space="preserve">In hindsight, (as </w:t>
      </w:r>
      <w:r w:rsidR="00C9271C">
        <w:rPr>
          <w:szCs w:val="28"/>
        </w:rPr>
        <w:t xml:space="preserve">admitted </w:t>
      </w:r>
      <w:r>
        <w:rPr>
          <w:szCs w:val="28"/>
        </w:rPr>
        <w:t xml:space="preserve">by counsel </w:t>
      </w:r>
      <w:r w:rsidR="00C9271C">
        <w:rPr>
          <w:szCs w:val="28"/>
        </w:rPr>
        <w:t xml:space="preserve">for the plaintiff </w:t>
      </w:r>
      <w:r>
        <w:rPr>
          <w:szCs w:val="28"/>
        </w:rPr>
        <w:t xml:space="preserve">in </w:t>
      </w:r>
      <w:r w:rsidR="00C9271C">
        <w:rPr>
          <w:szCs w:val="28"/>
        </w:rPr>
        <w:t xml:space="preserve">his </w:t>
      </w:r>
      <w:r>
        <w:rPr>
          <w:szCs w:val="28"/>
        </w:rPr>
        <w:t>written submissions</w:t>
      </w:r>
      <w:r w:rsidR="00C9271C">
        <w:rPr>
          <w:szCs w:val="28"/>
        </w:rPr>
        <w:t xml:space="preserve"> and not disputed by the defendants’ counsel</w:t>
      </w:r>
      <w:r>
        <w:rPr>
          <w:szCs w:val="28"/>
        </w:rPr>
        <w:t xml:space="preserve">) the failure to </w:t>
      </w:r>
      <w:r w:rsidRPr="009817FF">
        <w:rPr>
          <w:szCs w:val="28"/>
        </w:rPr>
        <w:t>address the pre-trial loss of earnings &amp; MPF for the period from 20 October 2016 to 14 January 2020 (the date of the Judgment)</w:t>
      </w:r>
      <w:r>
        <w:rPr>
          <w:szCs w:val="28"/>
        </w:rPr>
        <w:t xml:space="preserve"> was partly contributed by the fact that:</w:t>
      </w:r>
    </w:p>
    <w:p w14:paraId="22A494E0" w14:textId="77777777" w:rsidR="00CB3070" w:rsidRDefault="00CB3070" w:rsidP="00E76697">
      <w:pPr>
        <w:tabs>
          <w:tab w:val="clear" w:pos="4320"/>
          <w:tab w:val="clear" w:pos="9072"/>
        </w:tabs>
        <w:snapToGrid/>
        <w:spacing w:line="360" w:lineRule="auto"/>
        <w:jc w:val="both"/>
        <w:rPr>
          <w:szCs w:val="28"/>
        </w:rPr>
      </w:pPr>
    </w:p>
    <w:p w14:paraId="1EF0173D" w14:textId="77777777" w:rsidR="00CB3070" w:rsidRDefault="00CB3070" w:rsidP="003B7DCE">
      <w:pPr>
        <w:pStyle w:val="ListParagraph"/>
        <w:numPr>
          <w:ilvl w:val="0"/>
          <w:numId w:val="25"/>
        </w:numPr>
        <w:tabs>
          <w:tab w:val="clear" w:pos="1440"/>
          <w:tab w:val="clear" w:pos="4320"/>
          <w:tab w:val="clear" w:pos="9072"/>
          <w:tab w:val="left" w:pos="2160"/>
        </w:tabs>
        <w:snapToGrid/>
        <w:spacing w:line="360" w:lineRule="auto"/>
        <w:ind w:left="2160" w:hanging="720"/>
        <w:jc w:val="both"/>
        <w:rPr>
          <w:szCs w:val="28"/>
        </w:rPr>
      </w:pPr>
      <w:r w:rsidRPr="005B57DA">
        <w:rPr>
          <w:szCs w:val="28"/>
        </w:rPr>
        <w:t>the plaintiff</w:t>
      </w:r>
      <w:r>
        <w:rPr>
          <w:szCs w:val="28"/>
        </w:rPr>
        <w:t xml:space="preserve">’s case was that he was entitled to sick leave for the entire period </w:t>
      </w:r>
      <w:r w:rsidRPr="009817FF">
        <w:rPr>
          <w:szCs w:val="28"/>
        </w:rPr>
        <w:t>from 15 September 2015 to 5 May 2019</w:t>
      </w:r>
      <w:r>
        <w:rPr>
          <w:szCs w:val="28"/>
        </w:rPr>
        <w:t>.  He</w:t>
      </w:r>
      <w:r w:rsidRPr="005B57DA">
        <w:rPr>
          <w:szCs w:val="28"/>
        </w:rPr>
        <w:t xml:space="preserve"> did not put forward any alternative submissions on computation of earnings of alternative employment, in the event that the court is of the view that the plaintiff could have returned to work from a certain date onwards; and</w:t>
      </w:r>
    </w:p>
    <w:p w14:paraId="7BB84C09" w14:textId="77777777" w:rsidR="00CB3070" w:rsidRPr="005B57DA" w:rsidRDefault="00CB3070" w:rsidP="003B7DCE">
      <w:pPr>
        <w:pStyle w:val="ListParagraph"/>
        <w:tabs>
          <w:tab w:val="clear" w:pos="1440"/>
          <w:tab w:val="clear" w:pos="4320"/>
          <w:tab w:val="clear" w:pos="9072"/>
          <w:tab w:val="left" w:pos="2160"/>
        </w:tabs>
        <w:snapToGrid/>
        <w:spacing w:line="360" w:lineRule="auto"/>
        <w:ind w:left="2160" w:hanging="720"/>
        <w:jc w:val="both"/>
        <w:rPr>
          <w:szCs w:val="28"/>
        </w:rPr>
      </w:pPr>
    </w:p>
    <w:p w14:paraId="6849DD0B" w14:textId="77777777" w:rsidR="00CB3070" w:rsidRPr="005B57DA" w:rsidRDefault="00CB3070" w:rsidP="003B7DCE">
      <w:pPr>
        <w:pStyle w:val="ListParagraph"/>
        <w:numPr>
          <w:ilvl w:val="0"/>
          <w:numId w:val="25"/>
        </w:numPr>
        <w:tabs>
          <w:tab w:val="clear" w:pos="1440"/>
          <w:tab w:val="clear" w:pos="4320"/>
          <w:tab w:val="clear" w:pos="9072"/>
          <w:tab w:val="left" w:pos="2160"/>
        </w:tabs>
        <w:snapToGrid/>
        <w:spacing w:line="360" w:lineRule="auto"/>
        <w:ind w:left="2160" w:hanging="720"/>
        <w:jc w:val="both"/>
        <w:rPr>
          <w:szCs w:val="28"/>
        </w:rPr>
      </w:pPr>
      <w:r>
        <w:rPr>
          <w:szCs w:val="28"/>
        </w:rPr>
        <w:t xml:space="preserve">the defendants’ case was that despite the accident, the plaintiff could return to his previous employment.  They did not put forward any alternative submissions </w:t>
      </w:r>
      <w:r w:rsidRPr="005B57DA">
        <w:rPr>
          <w:szCs w:val="28"/>
        </w:rPr>
        <w:t>on computation of earnings</w:t>
      </w:r>
      <w:r>
        <w:rPr>
          <w:szCs w:val="28"/>
        </w:rPr>
        <w:t>, in the event that the court is of the view that the plaintiff needed to find alternative employment</w:t>
      </w:r>
      <w:r w:rsidRPr="005B57DA">
        <w:rPr>
          <w:szCs w:val="28"/>
        </w:rPr>
        <w:t xml:space="preserve">.  </w:t>
      </w:r>
    </w:p>
    <w:p w14:paraId="74B1DEDC" w14:textId="77777777" w:rsidR="00CB3070" w:rsidRDefault="00CB3070" w:rsidP="00E76697">
      <w:pPr>
        <w:tabs>
          <w:tab w:val="clear" w:pos="4320"/>
          <w:tab w:val="clear" w:pos="9072"/>
        </w:tabs>
        <w:snapToGrid/>
        <w:spacing w:line="360" w:lineRule="auto"/>
        <w:jc w:val="both"/>
        <w:rPr>
          <w:szCs w:val="28"/>
        </w:rPr>
      </w:pPr>
      <w:r>
        <w:rPr>
          <w:szCs w:val="28"/>
        </w:rPr>
        <w:t xml:space="preserve"> </w:t>
      </w:r>
    </w:p>
    <w:p w14:paraId="66BFA564" w14:textId="77777777" w:rsidR="00CB3070" w:rsidRDefault="00CB3070" w:rsidP="00E76697">
      <w:pPr>
        <w:numPr>
          <w:ilvl w:val="0"/>
          <w:numId w:val="4"/>
        </w:numPr>
        <w:tabs>
          <w:tab w:val="clear" w:pos="4320"/>
          <w:tab w:val="clear" w:pos="9072"/>
        </w:tabs>
        <w:snapToGrid/>
        <w:spacing w:line="360" w:lineRule="auto"/>
        <w:ind w:left="0" w:firstLine="0"/>
        <w:jc w:val="both"/>
        <w:rPr>
          <w:szCs w:val="28"/>
        </w:rPr>
      </w:pPr>
      <w:r w:rsidRPr="005B57DA">
        <w:rPr>
          <w:szCs w:val="28"/>
        </w:rPr>
        <w:t xml:space="preserve">As such, the issue of awarding partial loss of earnings for the period from 20 October 2016 onwards was not raised by either party and did not come to the court’s attention </w:t>
      </w:r>
      <w:r>
        <w:rPr>
          <w:szCs w:val="28"/>
        </w:rPr>
        <w:t xml:space="preserve">during </w:t>
      </w:r>
      <w:r w:rsidRPr="005B57DA">
        <w:rPr>
          <w:szCs w:val="28"/>
        </w:rPr>
        <w:t>trial</w:t>
      </w:r>
      <w:r>
        <w:rPr>
          <w:szCs w:val="28"/>
        </w:rPr>
        <w:t>.</w:t>
      </w:r>
    </w:p>
    <w:p w14:paraId="6138D6C0" w14:textId="77777777" w:rsidR="00CB3070" w:rsidRDefault="00CB3070" w:rsidP="00E76697">
      <w:pPr>
        <w:tabs>
          <w:tab w:val="clear" w:pos="4320"/>
          <w:tab w:val="clear" w:pos="9072"/>
        </w:tabs>
        <w:snapToGrid/>
        <w:spacing w:line="360" w:lineRule="auto"/>
        <w:jc w:val="both"/>
        <w:rPr>
          <w:szCs w:val="28"/>
        </w:rPr>
      </w:pPr>
    </w:p>
    <w:p w14:paraId="5C937364" w14:textId="77777777" w:rsidR="00CB3070" w:rsidRPr="009817FF" w:rsidRDefault="00CB3070" w:rsidP="00E76697">
      <w:pPr>
        <w:numPr>
          <w:ilvl w:val="0"/>
          <w:numId w:val="4"/>
        </w:numPr>
        <w:tabs>
          <w:tab w:val="clear" w:pos="4320"/>
          <w:tab w:val="clear" w:pos="9072"/>
        </w:tabs>
        <w:snapToGrid/>
        <w:spacing w:line="360" w:lineRule="auto"/>
        <w:ind w:left="0" w:firstLine="0"/>
        <w:jc w:val="both"/>
        <w:rPr>
          <w:szCs w:val="28"/>
        </w:rPr>
      </w:pPr>
      <w:r w:rsidRPr="009817FF">
        <w:rPr>
          <w:szCs w:val="28"/>
        </w:rPr>
        <w:lastRenderedPageBreak/>
        <w:t>Naturally, the defendants object to any amendment to include a further sum being included as part of the damages.  The defendants’ objections are as follows:</w:t>
      </w:r>
    </w:p>
    <w:p w14:paraId="1FBEB5E5" w14:textId="77777777" w:rsidR="00CB3070" w:rsidRPr="009817FF" w:rsidRDefault="00CB3070" w:rsidP="00E76697">
      <w:pPr>
        <w:pStyle w:val="ListParagraph"/>
        <w:spacing w:line="360" w:lineRule="auto"/>
        <w:rPr>
          <w:szCs w:val="28"/>
        </w:rPr>
      </w:pPr>
    </w:p>
    <w:p w14:paraId="7254E19D" w14:textId="77777777" w:rsidR="00CB3070" w:rsidRPr="009817FF" w:rsidRDefault="00CB3070" w:rsidP="002A720F">
      <w:pPr>
        <w:pStyle w:val="ListParagraph"/>
        <w:numPr>
          <w:ilvl w:val="1"/>
          <w:numId w:val="4"/>
        </w:numPr>
        <w:tabs>
          <w:tab w:val="clear" w:pos="1440"/>
          <w:tab w:val="clear" w:pos="4320"/>
          <w:tab w:val="clear" w:pos="9072"/>
          <w:tab w:val="left" w:pos="2160"/>
        </w:tabs>
        <w:snapToGrid/>
        <w:spacing w:line="360" w:lineRule="auto"/>
        <w:ind w:left="2160"/>
        <w:jc w:val="both"/>
        <w:rPr>
          <w:szCs w:val="28"/>
        </w:rPr>
      </w:pPr>
      <w:r w:rsidRPr="009817FF">
        <w:rPr>
          <w:szCs w:val="28"/>
        </w:rPr>
        <w:t>The court has not made an express finding on the plaintiff’s claim for loss of earnings from 20 October 2016 to 14 January 2020.</w:t>
      </w:r>
    </w:p>
    <w:p w14:paraId="3D60328E" w14:textId="77777777" w:rsidR="00CB3070" w:rsidRPr="009817FF" w:rsidRDefault="00CB3070" w:rsidP="002A720F">
      <w:pPr>
        <w:pStyle w:val="ListParagraph"/>
        <w:tabs>
          <w:tab w:val="clear" w:pos="1440"/>
          <w:tab w:val="clear" w:pos="4320"/>
          <w:tab w:val="clear" w:pos="9072"/>
          <w:tab w:val="left" w:pos="2160"/>
        </w:tabs>
        <w:snapToGrid/>
        <w:spacing w:line="360" w:lineRule="auto"/>
        <w:ind w:left="2160" w:hanging="720"/>
        <w:jc w:val="both"/>
        <w:rPr>
          <w:szCs w:val="28"/>
        </w:rPr>
      </w:pPr>
    </w:p>
    <w:p w14:paraId="2E80486E" w14:textId="77777777" w:rsidR="00CB3070" w:rsidRPr="009817FF" w:rsidRDefault="00CB3070" w:rsidP="002A720F">
      <w:pPr>
        <w:pStyle w:val="ListParagraph"/>
        <w:numPr>
          <w:ilvl w:val="1"/>
          <w:numId w:val="4"/>
        </w:numPr>
        <w:tabs>
          <w:tab w:val="clear" w:pos="1440"/>
          <w:tab w:val="clear" w:pos="4320"/>
          <w:tab w:val="clear" w:pos="9072"/>
          <w:tab w:val="left" w:pos="2160"/>
        </w:tabs>
        <w:snapToGrid/>
        <w:spacing w:line="360" w:lineRule="auto"/>
        <w:ind w:left="2160"/>
        <w:jc w:val="both"/>
        <w:rPr>
          <w:szCs w:val="28"/>
        </w:rPr>
      </w:pPr>
      <w:r w:rsidRPr="009817FF">
        <w:rPr>
          <w:szCs w:val="28"/>
        </w:rPr>
        <w:t>Although the court found that the plaintiff could no longer work at construction sites, the court was of the view (at paragraph 63 of the Judgment) that “the plaintiff is physically able to handle his previous job as a construction worker”.  Thus the plaintiff’s job options are not confined to security guard or sedentary jobs.</w:t>
      </w:r>
    </w:p>
    <w:p w14:paraId="0A676B72" w14:textId="77777777" w:rsidR="00CB3070" w:rsidRPr="009817FF" w:rsidRDefault="00CB3070" w:rsidP="002A720F">
      <w:pPr>
        <w:pStyle w:val="ListParagraph"/>
        <w:tabs>
          <w:tab w:val="left" w:pos="2160"/>
        </w:tabs>
        <w:spacing w:line="360" w:lineRule="auto"/>
        <w:ind w:left="2160" w:hanging="720"/>
        <w:rPr>
          <w:szCs w:val="28"/>
        </w:rPr>
      </w:pPr>
    </w:p>
    <w:p w14:paraId="3C91B2D4" w14:textId="77777777" w:rsidR="00CB3070" w:rsidRPr="009817FF" w:rsidRDefault="00CB3070" w:rsidP="002A720F">
      <w:pPr>
        <w:pStyle w:val="ListParagraph"/>
        <w:numPr>
          <w:ilvl w:val="1"/>
          <w:numId w:val="4"/>
        </w:numPr>
        <w:tabs>
          <w:tab w:val="clear" w:pos="1440"/>
          <w:tab w:val="clear" w:pos="4320"/>
          <w:tab w:val="clear" w:pos="9072"/>
          <w:tab w:val="left" w:pos="2160"/>
        </w:tabs>
        <w:snapToGrid/>
        <w:spacing w:line="360" w:lineRule="auto"/>
        <w:ind w:left="2160"/>
        <w:jc w:val="both"/>
        <w:rPr>
          <w:szCs w:val="28"/>
        </w:rPr>
      </w:pPr>
      <w:r w:rsidRPr="009817FF">
        <w:rPr>
          <w:szCs w:val="28"/>
        </w:rPr>
        <w:t>The future loss of earnings was calculated on the basis that the plaintiff would earn HK$13,094 as a security guard (based on the evidence that the plaintiff worked as a security guard from March 2019 to October 2019).  It does not mean that his next best alternative employment is security guard.  If the plaintiff admits that he can work as a security guard, he must be able to do a lot more in reality.</w:t>
      </w:r>
    </w:p>
    <w:p w14:paraId="3C86549E" w14:textId="77777777" w:rsidR="00CB3070" w:rsidRPr="009817FF" w:rsidRDefault="00CB3070" w:rsidP="002A720F">
      <w:pPr>
        <w:pStyle w:val="ListParagraph"/>
        <w:tabs>
          <w:tab w:val="left" w:pos="2160"/>
        </w:tabs>
        <w:spacing w:line="360" w:lineRule="auto"/>
        <w:ind w:left="2160" w:hanging="720"/>
        <w:rPr>
          <w:szCs w:val="28"/>
        </w:rPr>
      </w:pPr>
    </w:p>
    <w:p w14:paraId="086916EE" w14:textId="77777777" w:rsidR="00CB3070" w:rsidRPr="009817FF" w:rsidRDefault="00CB3070" w:rsidP="002A720F">
      <w:pPr>
        <w:pStyle w:val="ListParagraph"/>
        <w:numPr>
          <w:ilvl w:val="1"/>
          <w:numId w:val="4"/>
        </w:numPr>
        <w:tabs>
          <w:tab w:val="clear" w:pos="1440"/>
          <w:tab w:val="clear" w:pos="4320"/>
          <w:tab w:val="clear" w:pos="9072"/>
          <w:tab w:val="left" w:pos="2160"/>
        </w:tabs>
        <w:snapToGrid/>
        <w:spacing w:line="360" w:lineRule="auto"/>
        <w:ind w:left="2160"/>
        <w:jc w:val="both"/>
        <w:rPr>
          <w:szCs w:val="28"/>
        </w:rPr>
      </w:pPr>
      <w:r w:rsidRPr="009817FF">
        <w:rPr>
          <w:szCs w:val="28"/>
        </w:rPr>
        <w:t xml:space="preserve">The plaintiff carries the burden of proof of his loss of earnings.  If the plaintiff malingers, such that the court is unable to ascertain his next best alternative </w:t>
      </w:r>
      <w:r w:rsidRPr="009817FF">
        <w:rPr>
          <w:szCs w:val="28"/>
        </w:rPr>
        <w:lastRenderedPageBreak/>
        <w:t>employment, the plaintiff cannot complain that the court is unable to make any findings.</w:t>
      </w:r>
    </w:p>
    <w:p w14:paraId="42A160A8" w14:textId="77777777" w:rsidR="00CB3070" w:rsidRPr="009817FF" w:rsidRDefault="00CB3070" w:rsidP="002A720F">
      <w:pPr>
        <w:pStyle w:val="ListParagraph"/>
        <w:tabs>
          <w:tab w:val="left" w:pos="2160"/>
        </w:tabs>
        <w:spacing w:line="360" w:lineRule="auto"/>
        <w:ind w:left="2160" w:hanging="720"/>
        <w:rPr>
          <w:szCs w:val="28"/>
        </w:rPr>
      </w:pPr>
    </w:p>
    <w:p w14:paraId="4405EFB6" w14:textId="77777777" w:rsidR="00CB3070" w:rsidRPr="009817FF" w:rsidRDefault="00CB3070" w:rsidP="002A720F">
      <w:pPr>
        <w:pStyle w:val="ListParagraph"/>
        <w:numPr>
          <w:ilvl w:val="1"/>
          <w:numId w:val="4"/>
        </w:numPr>
        <w:tabs>
          <w:tab w:val="clear" w:pos="1440"/>
          <w:tab w:val="clear" w:pos="4320"/>
          <w:tab w:val="clear" w:pos="9072"/>
          <w:tab w:val="left" w:pos="2160"/>
        </w:tabs>
        <w:snapToGrid/>
        <w:spacing w:line="360" w:lineRule="auto"/>
        <w:ind w:left="2160"/>
        <w:jc w:val="both"/>
        <w:rPr>
          <w:szCs w:val="28"/>
        </w:rPr>
      </w:pPr>
      <w:r w:rsidRPr="009817FF">
        <w:rPr>
          <w:szCs w:val="28"/>
        </w:rPr>
        <w:t>There is a lack of information of the salary of the plaintiff’s next best alternative employment from 20 October 2016 to 14 January 2020, be it security guard or another job.</w:t>
      </w:r>
    </w:p>
    <w:p w14:paraId="32C9FB6D" w14:textId="77777777" w:rsidR="00CB3070" w:rsidRPr="009817FF" w:rsidRDefault="00CB3070" w:rsidP="002A720F">
      <w:pPr>
        <w:pStyle w:val="ListParagraph"/>
        <w:tabs>
          <w:tab w:val="left" w:pos="2160"/>
        </w:tabs>
        <w:spacing w:line="360" w:lineRule="auto"/>
        <w:ind w:left="2160" w:hanging="720"/>
        <w:rPr>
          <w:szCs w:val="28"/>
        </w:rPr>
      </w:pPr>
    </w:p>
    <w:p w14:paraId="09BF4411" w14:textId="77777777" w:rsidR="00CB3070" w:rsidRPr="009817FF" w:rsidRDefault="00CB3070" w:rsidP="002A720F">
      <w:pPr>
        <w:pStyle w:val="ListParagraph"/>
        <w:numPr>
          <w:ilvl w:val="1"/>
          <w:numId w:val="4"/>
        </w:numPr>
        <w:tabs>
          <w:tab w:val="clear" w:pos="1440"/>
          <w:tab w:val="clear" w:pos="4320"/>
          <w:tab w:val="clear" w:pos="9072"/>
          <w:tab w:val="left" w:pos="2160"/>
        </w:tabs>
        <w:snapToGrid/>
        <w:spacing w:line="360" w:lineRule="auto"/>
        <w:ind w:left="2160"/>
        <w:jc w:val="both"/>
        <w:rPr>
          <w:szCs w:val="28"/>
        </w:rPr>
      </w:pPr>
      <w:r w:rsidRPr="009817FF">
        <w:rPr>
          <w:szCs w:val="28"/>
        </w:rPr>
        <w:t>The court will have to re-write a substantial part of the Judgment and should refrain from doing so.</w:t>
      </w:r>
    </w:p>
    <w:p w14:paraId="09A2EDE3" w14:textId="77777777" w:rsidR="00CB3070" w:rsidRPr="009817FF" w:rsidRDefault="00CB3070" w:rsidP="00E76697">
      <w:pPr>
        <w:tabs>
          <w:tab w:val="clear" w:pos="1440"/>
          <w:tab w:val="clear" w:pos="4320"/>
          <w:tab w:val="clear" w:pos="9072"/>
          <w:tab w:val="left" w:pos="1843"/>
        </w:tabs>
        <w:snapToGrid/>
        <w:spacing w:line="360" w:lineRule="auto"/>
        <w:jc w:val="both"/>
        <w:rPr>
          <w:szCs w:val="28"/>
        </w:rPr>
      </w:pPr>
    </w:p>
    <w:p w14:paraId="16134C6B" w14:textId="189BD629" w:rsidR="00CB3070" w:rsidRPr="00C9271C" w:rsidRDefault="00CB3070" w:rsidP="00C9271C">
      <w:pPr>
        <w:pStyle w:val="ListParagraph"/>
        <w:numPr>
          <w:ilvl w:val="0"/>
          <w:numId w:val="27"/>
        </w:numPr>
        <w:tabs>
          <w:tab w:val="clear" w:pos="4320"/>
          <w:tab w:val="clear" w:pos="9072"/>
        </w:tabs>
        <w:snapToGrid/>
        <w:spacing w:line="360" w:lineRule="auto"/>
        <w:ind w:hanging="720"/>
        <w:jc w:val="both"/>
        <w:rPr>
          <w:i/>
          <w:iCs/>
          <w:szCs w:val="28"/>
        </w:rPr>
      </w:pPr>
      <w:r w:rsidRPr="00C9271C">
        <w:rPr>
          <w:i/>
          <w:iCs/>
          <w:szCs w:val="28"/>
        </w:rPr>
        <w:t>Amendment of Judgment – Applicable Legal Principles</w:t>
      </w:r>
    </w:p>
    <w:p w14:paraId="7D67563F" w14:textId="77777777" w:rsidR="00CB3070" w:rsidRPr="009817FF" w:rsidRDefault="00CB3070" w:rsidP="00E76697">
      <w:pPr>
        <w:pStyle w:val="ListParagraph"/>
        <w:spacing w:line="360" w:lineRule="auto"/>
        <w:rPr>
          <w:szCs w:val="28"/>
        </w:rPr>
      </w:pPr>
    </w:p>
    <w:p w14:paraId="0064A3A1" w14:textId="77777777" w:rsidR="00CB3070" w:rsidRPr="009817FF" w:rsidRDefault="00CB3070" w:rsidP="00E76697">
      <w:pPr>
        <w:numPr>
          <w:ilvl w:val="0"/>
          <w:numId w:val="4"/>
        </w:numPr>
        <w:tabs>
          <w:tab w:val="clear" w:pos="4320"/>
          <w:tab w:val="clear" w:pos="9072"/>
        </w:tabs>
        <w:snapToGrid/>
        <w:spacing w:line="360" w:lineRule="auto"/>
        <w:ind w:left="0" w:firstLine="0"/>
        <w:jc w:val="both"/>
        <w:rPr>
          <w:szCs w:val="28"/>
        </w:rPr>
      </w:pPr>
      <w:r w:rsidRPr="009817FF">
        <w:rPr>
          <w:szCs w:val="28"/>
        </w:rPr>
        <w:t>The court has power to amend or correct clerical errors or errors arising from accidental slip omission</w:t>
      </w:r>
      <w:r w:rsidRPr="009817FF">
        <w:rPr>
          <w:rStyle w:val="FootnoteReference"/>
          <w:szCs w:val="28"/>
        </w:rPr>
        <w:footnoteReference w:id="1"/>
      </w:r>
      <w:r w:rsidRPr="009817FF">
        <w:rPr>
          <w:szCs w:val="28"/>
        </w:rPr>
        <w:t xml:space="preserve"> without an appeal (the “slip rule”)</w:t>
      </w:r>
      <w:r w:rsidRPr="009817FF">
        <w:rPr>
          <w:rFonts w:eastAsia="PMingLiU"/>
          <w:lang w:eastAsia="zh-TW"/>
        </w:rPr>
        <w:t>.  Apart from the slip rule, the court has inherent jurisdiction, before sealing of an order or judgment to vary its own orders so as to carry out its own meaning and to make its meaning plain</w:t>
      </w:r>
      <w:r w:rsidRPr="009817FF">
        <w:rPr>
          <w:rStyle w:val="FootnoteReference"/>
          <w:rFonts w:eastAsia="PMingLiU"/>
          <w:lang w:eastAsia="zh-TW"/>
        </w:rPr>
        <w:footnoteReference w:id="2"/>
      </w:r>
      <w:r w:rsidRPr="009817FF">
        <w:rPr>
          <w:rFonts w:eastAsia="PMingLiU"/>
          <w:lang w:eastAsia="zh-TW"/>
        </w:rPr>
        <w:t>.</w:t>
      </w:r>
    </w:p>
    <w:p w14:paraId="2FE60AF7" w14:textId="77777777" w:rsidR="00CB3070" w:rsidRPr="009817FF" w:rsidRDefault="00CB3070" w:rsidP="00E76697">
      <w:pPr>
        <w:tabs>
          <w:tab w:val="clear" w:pos="4320"/>
          <w:tab w:val="clear" w:pos="9072"/>
        </w:tabs>
        <w:snapToGrid/>
        <w:spacing w:line="360" w:lineRule="auto"/>
        <w:jc w:val="both"/>
        <w:rPr>
          <w:szCs w:val="28"/>
        </w:rPr>
      </w:pPr>
    </w:p>
    <w:p w14:paraId="273F7768" w14:textId="77777777" w:rsidR="00CB3070" w:rsidRPr="009817FF" w:rsidRDefault="00CB3070" w:rsidP="00E76697">
      <w:pPr>
        <w:numPr>
          <w:ilvl w:val="0"/>
          <w:numId w:val="4"/>
        </w:numPr>
        <w:tabs>
          <w:tab w:val="clear" w:pos="4320"/>
          <w:tab w:val="clear" w:pos="9072"/>
        </w:tabs>
        <w:snapToGrid/>
        <w:spacing w:line="360" w:lineRule="auto"/>
        <w:ind w:left="0" w:firstLine="0"/>
        <w:jc w:val="both"/>
        <w:rPr>
          <w:szCs w:val="28"/>
        </w:rPr>
      </w:pPr>
      <w:r w:rsidRPr="009817FF">
        <w:rPr>
          <w:rFonts w:eastAsia="Times New Roman"/>
          <w:color w:val="000000"/>
          <w:szCs w:val="28"/>
          <w:lang w:eastAsia="zh-TW"/>
        </w:rPr>
        <w:t xml:space="preserve">There are English authorities on the principles as to how the jurisdiction is to be exercised, for instance, </w:t>
      </w:r>
      <w:r w:rsidRPr="009817FF">
        <w:rPr>
          <w:rFonts w:eastAsia="Times New Roman"/>
          <w:i/>
          <w:iCs/>
          <w:color w:val="000000"/>
          <w:szCs w:val="28"/>
          <w:lang w:eastAsia="zh-TW"/>
        </w:rPr>
        <w:t>Re Harrison's Settlement</w:t>
      </w:r>
      <w:r w:rsidRPr="009817FF">
        <w:rPr>
          <w:rStyle w:val="FootnoteReference"/>
          <w:rFonts w:eastAsia="Times New Roman"/>
          <w:i/>
          <w:iCs/>
          <w:color w:val="000000"/>
          <w:szCs w:val="28"/>
          <w:lang w:eastAsia="zh-TW"/>
        </w:rPr>
        <w:footnoteReference w:id="3"/>
      </w:r>
      <w:r w:rsidRPr="009817FF">
        <w:rPr>
          <w:rFonts w:eastAsia="Times New Roman"/>
          <w:color w:val="000000"/>
          <w:szCs w:val="28"/>
          <w:lang w:eastAsia="zh-TW"/>
        </w:rPr>
        <w:t xml:space="preserve">; </w:t>
      </w:r>
      <w:r w:rsidRPr="009817FF">
        <w:rPr>
          <w:rFonts w:eastAsia="Times New Roman"/>
          <w:i/>
          <w:iCs/>
          <w:color w:val="000000"/>
          <w:szCs w:val="28"/>
          <w:lang w:eastAsia="zh-TW"/>
        </w:rPr>
        <w:t>Stewart v Engel</w:t>
      </w:r>
      <w:r w:rsidRPr="009817FF">
        <w:rPr>
          <w:rStyle w:val="FootnoteReference"/>
          <w:rFonts w:eastAsia="Times New Roman"/>
          <w:i/>
          <w:iCs/>
          <w:color w:val="000000"/>
          <w:szCs w:val="28"/>
          <w:lang w:eastAsia="zh-TW"/>
        </w:rPr>
        <w:footnoteReference w:id="4"/>
      </w:r>
      <w:r w:rsidRPr="009817FF">
        <w:rPr>
          <w:rFonts w:eastAsia="Times New Roman"/>
          <w:color w:val="000000"/>
          <w:szCs w:val="28"/>
          <w:lang w:eastAsia="zh-TW"/>
        </w:rPr>
        <w:t xml:space="preserve"> ; and </w:t>
      </w:r>
      <w:r w:rsidRPr="009817FF">
        <w:rPr>
          <w:rFonts w:eastAsia="Times New Roman"/>
          <w:i/>
          <w:iCs/>
          <w:color w:val="000000"/>
          <w:szCs w:val="28"/>
          <w:lang w:eastAsia="zh-TW"/>
        </w:rPr>
        <w:t>Noga v Abacha</w:t>
      </w:r>
      <w:r w:rsidRPr="009817FF">
        <w:rPr>
          <w:rStyle w:val="FootnoteReference"/>
          <w:rFonts w:eastAsia="Times New Roman"/>
          <w:i/>
          <w:iCs/>
          <w:color w:val="000000"/>
          <w:szCs w:val="28"/>
          <w:lang w:eastAsia="zh-TW"/>
        </w:rPr>
        <w:footnoteReference w:id="5"/>
      </w:r>
      <w:r w:rsidRPr="009817FF">
        <w:rPr>
          <w:rFonts w:eastAsia="Times New Roman"/>
          <w:color w:val="000000"/>
          <w:szCs w:val="28"/>
          <w:lang w:eastAsia="zh-TW"/>
        </w:rPr>
        <w:t xml:space="preserve">.  In Hong Kong, the exercise of the jurisdiction was discussed in some detail by the Court of Appeal in </w:t>
      </w:r>
      <w:r w:rsidRPr="009817FF">
        <w:rPr>
          <w:rFonts w:eastAsia="Times New Roman"/>
          <w:i/>
          <w:iCs/>
          <w:color w:val="000000"/>
          <w:szCs w:val="28"/>
          <w:lang w:eastAsia="zh-TW"/>
        </w:rPr>
        <w:t xml:space="preserve">Sun </w:t>
      </w:r>
      <w:r w:rsidRPr="009817FF">
        <w:rPr>
          <w:rFonts w:eastAsia="Times New Roman"/>
          <w:i/>
          <w:iCs/>
          <w:color w:val="000000"/>
          <w:szCs w:val="28"/>
          <w:lang w:eastAsia="zh-TW"/>
        </w:rPr>
        <w:lastRenderedPageBreak/>
        <w:t>Jianqiang v Trans-Island Limousine Service Ltd</w:t>
      </w:r>
      <w:r w:rsidRPr="009817FF">
        <w:rPr>
          <w:rStyle w:val="FootnoteReference"/>
          <w:rFonts w:eastAsia="Times New Roman"/>
          <w:color w:val="000000"/>
          <w:szCs w:val="28"/>
          <w:lang w:eastAsia="zh-TW"/>
        </w:rPr>
        <w:footnoteReference w:id="6"/>
      </w:r>
      <w:r w:rsidRPr="009817FF">
        <w:rPr>
          <w:rFonts w:ascii="Arial" w:eastAsia="Times New Roman" w:hAnsi="Arial" w:cs="Arial"/>
          <w:color w:val="000000"/>
          <w:sz w:val="24"/>
          <w:szCs w:val="24"/>
          <w:lang w:eastAsia="zh-TW"/>
        </w:rPr>
        <w:t>. </w:t>
      </w:r>
      <w:r w:rsidRPr="009817FF">
        <w:rPr>
          <w:szCs w:val="28"/>
        </w:rPr>
        <w:t xml:space="preserve">Woo VP reviewed the English authorities and adopted the holding in </w:t>
      </w:r>
      <w:r w:rsidRPr="009817FF">
        <w:rPr>
          <w:rFonts w:eastAsia="Times New Roman"/>
          <w:i/>
          <w:iCs/>
          <w:color w:val="000000"/>
          <w:szCs w:val="28"/>
          <w:lang w:eastAsia="zh-TW"/>
        </w:rPr>
        <w:t>Noga</w:t>
      </w:r>
      <w:r w:rsidRPr="009817FF">
        <w:rPr>
          <w:szCs w:val="28"/>
        </w:rPr>
        <w:t>:</w:t>
      </w:r>
    </w:p>
    <w:p w14:paraId="48D49232" w14:textId="77777777" w:rsidR="00CB3070" w:rsidRPr="009817FF" w:rsidRDefault="00CB3070" w:rsidP="00E76697">
      <w:pPr>
        <w:pStyle w:val="ListParagraph"/>
        <w:spacing w:line="360" w:lineRule="auto"/>
        <w:rPr>
          <w:szCs w:val="28"/>
        </w:rPr>
      </w:pPr>
    </w:p>
    <w:p w14:paraId="593D7143" w14:textId="735D07C2" w:rsidR="003B7DCE" w:rsidRDefault="00CB3070" w:rsidP="003B7DCE">
      <w:pPr>
        <w:tabs>
          <w:tab w:val="clear" w:pos="1440"/>
          <w:tab w:val="clear" w:pos="4320"/>
          <w:tab w:val="clear" w:pos="9072"/>
        </w:tabs>
        <w:snapToGrid/>
        <w:ind w:left="1440" w:right="746"/>
        <w:jc w:val="both"/>
        <w:rPr>
          <w:rFonts w:eastAsia="Times New Roman"/>
          <w:i/>
          <w:iCs/>
          <w:color w:val="000000"/>
          <w:sz w:val="24"/>
          <w:szCs w:val="24"/>
          <w:lang w:eastAsia="zh-TW"/>
        </w:rPr>
      </w:pPr>
      <w:r w:rsidRPr="003B7DCE">
        <w:rPr>
          <w:sz w:val="24"/>
          <w:szCs w:val="24"/>
        </w:rPr>
        <w:t>“</w:t>
      </w:r>
      <w:r w:rsidRPr="003B7DCE">
        <w:rPr>
          <w:rFonts w:eastAsia="Times New Roman"/>
          <w:i/>
          <w:iCs/>
          <w:color w:val="000000"/>
          <w:sz w:val="24"/>
          <w:szCs w:val="24"/>
          <w:lang w:eastAsia="zh-TW"/>
        </w:rPr>
        <w:t>25.  "In Noga, the holding in the headnote summarises Rix LJ's view on the subject, as follows: </w:t>
      </w:r>
    </w:p>
    <w:p w14:paraId="345D162C" w14:textId="77777777" w:rsidR="003B7DCE" w:rsidRDefault="003B7DCE" w:rsidP="003B7DCE">
      <w:pPr>
        <w:tabs>
          <w:tab w:val="clear" w:pos="1440"/>
          <w:tab w:val="clear" w:pos="4320"/>
          <w:tab w:val="clear" w:pos="9072"/>
        </w:tabs>
        <w:snapToGrid/>
        <w:ind w:left="1440" w:right="746"/>
        <w:jc w:val="both"/>
        <w:rPr>
          <w:rFonts w:eastAsia="Times New Roman"/>
          <w:i/>
          <w:iCs/>
          <w:color w:val="000000"/>
          <w:sz w:val="24"/>
          <w:szCs w:val="24"/>
          <w:lang w:eastAsia="zh-TW"/>
        </w:rPr>
      </w:pPr>
    </w:p>
    <w:p w14:paraId="00BC0E5D" w14:textId="19001CC9" w:rsidR="00CB3070" w:rsidRPr="003B7DCE" w:rsidRDefault="00CB3070" w:rsidP="003B7DCE">
      <w:pPr>
        <w:tabs>
          <w:tab w:val="clear" w:pos="1440"/>
          <w:tab w:val="clear" w:pos="4320"/>
          <w:tab w:val="clear" w:pos="9072"/>
        </w:tabs>
        <w:snapToGrid/>
        <w:ind w:left="1440" w:right="746"/>
        <w:jc w:val="both"/>
        <w:rPr>
          <w:rFonts w:eastAsia="Times New Roman"/>
          <w:i/>
          <w:iCs/>
          <w:sz w:val="24"/>
          <w:szCs w:val="24"/>
          <w:lang w:eastAsia="zh-TW"/>
        </w:rPr>
      </w:pPr>
      <w:r w:rsidRPr="003B7DCE">
        <w:rPr>
          <w:rFonts w:eastAsia="Times New Roman"/>
          <w:i/>
          <w:iCs/>
          <w:color w:val="000000"/>
          <w:sz w:val="24"/>
          <w:szCs w:val="24"/>
          <w:lang w:eastAsia="zh-TW"/>
        </w:rPr>
        <w:t>'The court's jurisdiction to reconsider its judgment before its order had been perfected could only be exercised in a case which raised considerations, in the interests of justice, which were out of ordinary, extraordinary or exceptional. An exceptional case did not have to be uniquely special, and 'strong reasons' was perhaps an acceptable alternative to 'exceptional circumstances'. It would necessarily be in an exceptional case that strong reasons were shown for reconsideration. In the instant case, there were no such reasons. It was a case where it was said that the judge had got it wrong, on points which had been argued. The appeal process would be subverted if the application were granted. There were, of course, cases where an error of fact or law might be too plain for argument, and it was better that the error was corrected without imposing on the parties the need for an appeal. It was wrong, however, for a judge to be treated to an exposition such as would be presented to a court of appeal. If in such circumstances a judge should be tempted to open up reconsideration of his judgment, an appeal would not be avoided: it would be made inevitable. Every case would become subject to an unending process of reconsideration, followed by appeal, both on the issue of reconsideration and on the merits. </w:t>
      </w:r>
    </w:p>
    <w:p w14:paraId="497FA69A" w14:textId="77777777" w:rsidR="00CB3070" w:rsidRPr="009817FF" w:rsidRDefault="00CB3070" w:rsidP="00E76697">
      <w:pPr>
        <w:pStyle w:val="ListParagraph"/>
        <w:spacing w:line="360" w:lineRule="auto"/>
        <w:rPr>
          <w:szCs w:val="28"/>
        </w:rPr>
      </w:pPr>
    </w:p>
    <w:p w14:paraId="41275137" w14:textId="77777777" w:rsidR="00CB3070" w:rsidRPr="009817FF" w:rsidRDefault="00CB3070" w:rsidP="00E76697">
      <w:pPr>
        <w:numPr>
          <w:ilvl w:val="0"/>
          <w:numId w:val="4"/>
        </w:numPr>
        <w:tabs>
          <w:tab w:val="clear" w:pos="4320"/>
          <w:tab w:val="clear" w:pos="9072"/>
        </w:tabs>
        <w:snapToGrid/>
        <w:spacing w:line="360" w:lineRule="auto"/>
        <w:ind w:left="0" w:firstLine="0"/>
        <w:jc w:val="both"/>
        <w:rPr>
          <w:szCs w:val="28"/>
        </w:rPr>
      </w:pPr>
      <w:r w:rsidRPr="009817FF">
        <w:rPr>
          <w:szCs w:val="28"/>
        </w:rPr>
        <w:t xml:space="preserve">HHJ Marlene Ng (as she then was) in </w:t>
      </w:r>
      <w:r w:rsidRPr="009817FF">
        <w:rPr>
          <w:i/>
          <w:iCs/>
          <w:szCs w:val="28"/>
        </w:rPr>
        <w:t>Chan Wai Yin v Wong Sau Ping Ada &amp; Ors</w:t>
      </w:r>
      <w:r w:rsidRPr="009817FF">
        <w:rPr>
          <w:rStyle w:val="FootnoteReference"/>
          <w:i/>
          <w:iCs/>
          <w:szCs w:val="28"/>
        </w:rPr>
        <w:footnoteReference w:id="7"/>
      </w:r>
      <w:r w:rsidRPr="009817FF">
        <w:rPr>
          <w:szCs w:val="28"/>
        </w:rPr>
        <w:t xml:space="preserve"> reviewed a number of authorities and set out the relevant principles:</w:t>
      </w:r>
    </w:p>
    <w:p w14:paraId="1C63862C" w14:textId="77777777" w:rsidR="00CB3070" w:rsidRPr="009817FF" w:rsidRDefault="00CB3070" w:rsidP="00E76697">
      <w:pPr>
        <w:tabs>
          <w:tab w:val="clear" w:pos="4320"/>
          <w:tab w:val="clear" w:pos="9072"/>
        </w:tabs>
        <w:snapToGrid/>
        <w:spacing w:line="360" w:lineRule="auto"/>
        <w:jc w:val="both"/>
        <w:rPr>
          <w:szCs w:val="28"/>
        </w:rPr>
      </w:pPr>
    </w:p>
    <w:p w14:paraId="311EFBA2" w14:textId="7D2A5126" w:rsidR="00CB3070" w:rsidRDefault="00CB3070" w:rsidP="002A720F">
      <w:pPr>
        <w:pStyle w:val="ListParagraph"/>
        <w:tabs>
          <w:tab w:val="clear" w:pos="1440"/>
          <w:tab w:val="clear" w:pos="4320"/>
          <w:tab w:val="clear" w:pos="9072"/>
          <w:tab w:val="left" w:pos="1418"/>
        </w:tabs>
        <w:snapToGrid/>
        <w:ind w:left="1440" w:right="746"/>
        <w:jc w:val="both"/>
        <w:rPr>
          <w:rFonts w:eastAsia="PMingLiU"/>
          <w:i/>
          <w:iCs/>
          <w:sz w:val="24"/>
          <w:szCs w:val="24"/>
          <w:lang w:eastAsia="zh-TW"/>
        </w:rPr>
      </w:pPr>
      <w:r w:rsidRPr="009817FF">
        <w:rPr>
          <w:rFonts w:eastAsia="PMingLiU"/>
          <w:i/>
          <w:iCs/>
          <w:sz w:val="24"/>
          <w:szCs w:val="24"/>
          <w:lang w:eastAsia="zh-TW"/>
        </w:rPr>
        <w:t>“</w:t>
      </w:r>
      <w:r w:rsidR="002A720F">
        <w:rPr>
          <w:rFonts w:eastAsia="PMingLiU"/>
          <w:i/>
          <w:iCs/>
          <w:sz w:val="24"/>
          <w:szCs w:val="24"/>
          <w:lang w:eastAsia="zh-TW"/>
        </w:rPr>
        <w:t>22.</w:t>
      </w:r>
      <w:r w:rsidR="002A720F">
        <w:rPr>
          <w:rFonts w:eastAsia="PMingLiU"/>
          <w:i/>
          <w:iCs/>
          <w:sz w:val="24"/>
          <w:szCs w:val="24"/>
          <w:lang w:eastAsia="zh-TW"/>
        </w:rPr>
        <w:tab/>
      </w:r>
      <w:r w:rsidRPr="009817FF">
        <w:rPr>
          <w:rFonts w:eastAsia="PMingLiU"/>
          <w:i/>
          <w:iCs/>
          <w:sz w:val="24"/>
          <w:szCs w:val="24"/>
          <w:lang w:eastAsia="zh-TW"/>
        </w:rPr>
        <w:t>The English Court of Appeal accepted the existence of the reconsideration jurisdiction in Re Barrell Enterprises, but Russell LJ delivering the judgment of the court said at p.636 that “[when] oral judgments have been given, either in a court of the first instance or on appeal, the successful party ought save in the most exceptional circumstances to be able to assume that the judgment is a valid and effective one</w:t>
      </w:r>
      <w:r w:rsidRPr="009817FF">
        <w:rPr>
          <w:i/>
          <w:iCs/>
          <w:sz w:val="24"/>
          <w:szCs w:val="24"/>
        </w:rPr>
        <w:t>. The</w:t>
      </w:r>
      <w:r w:rsidRPr="009817FF">
        <w:rPr>
          <w:rFonts w:eastAsia="PMingLiU"/>
          <w:i/>
          <w:iCs/>
          <w:sz w:val="24"/>
          <w:szCs w:val="24"/>
          <w:lang w:eastAsia="zh-TW"/>
        </w:rPr>
        <w:t xml:space="preserve"> cases to which we </w:t>
      </w:r>
      <w:r w:rsidRPr="009817FF">
        <w:rPr>
          <w:rFonts w:eastAsia="PMingLiU"/>
          <w:i/>
          <w:iCs/>
          <w:sz w:val="24"/>
          <w:szCs w:val="24"/>
          <w:lang w:eastAsia="zh-TW"/>
        </w:rPr>
        <w:lastRenderedPageBreak/>
        <w:t xml:space="preserve">were referred in which judgments in civil courts have been varied after delivery </w:t>
      </w:r>
      <w:r w:rsidRPr="009817FF">
        <w:rPr>
          <w:i/>
          <w:iCs/>
          <w:sz w:val="24"/>
          <w:szCs w:val="24"/>
        </w:rPr>
        <w:t xml:space="preserve">(apart from the correction of slips) </w:t>
      </w:r>
      <w:r w:rsidRPr="009817FF">
        <w:rPr>
          <w:rFonts w:eastAsia="PMingLiU"/>
          <w:i/>
          <w:iCs/>
          <w:sz w:val="24"/>
          <w:szCs w:val="24"/>
          <w:lang w:eastAsia="zh-TW"/>
        </w:rPr>
        <w:t>were all cases in which some most unusual element was present” ...</w:t>
      </w:r>
    </w:p>
    <w:p w14:paraId="5B781D5B" w14:textId="77777777" w:rsidR="002A720F" w:rsidRPr="009817FF" w:rsidRDefault="002A720F" w:rsidP="002A720F">
      <w:pPr>
        <w:pStyle w:val="ListParagraph"/>
        <w:tabs>
          <w:tab w:val="clear" w:pos="1440"/>
          <w:tab w:val="clear" w:pos="4320"/>
          <w:tab w:val="clear" w:pos="9072"/>
          <w:tab w:val="left" w:pos="1418"/>
        </w:tabs>
        <w:snapToGrid/>
        <w:ind w:left="1440" w:right="746"/>
        <w:jc w:val="both"/>
        <w:rPr>
          <w:i/>
          <w:iCs/>
          <w:sz w:val="24"/>
          <w:szCs w:val="24"/>
        </w:rPr>
      </w:pPr>
    </w:p>
    <w:p w14:paraId="4D9ACBAD" w14:textId="77777777" w:rsidR="002A720F" w:rsidRPr="002A720F" w:rsidRDefault="00CB3070" w:rsidP="002A720F">
      <w:pPr>
        <w:pStyle w:val="ListParagraph"/>
        <w:numPr>
          <w:ilvl w:val="0"/>
          <w:numId w:val="22"/>
        </w:numPr>
        <w:tabs>
          <w:tab w:val="clear" w:pos="1440"/>
          <w:tab w:val="clear" w:pos="4320"/>
          <w:tab w:val="clear" w:pos="9072"/>
          <w:tab w:val="left" w:pos="1418"/>
        </w:tabs>
        <w:snapToGrid/>
        <w:ind w:left="1440" w:right="746" w:firstLine="0"/>
        <w:jc w:val="both"/>
        <w:rPr>
          <w:i/>
          <w:iCs/>
          <w:sz w:val="24"/>
          <w:szCs w:val="24"/>
        </w:rPr>
      </w:pPr>
      <w:r w:rsidRPr="009817FF">
        <w:rPr>
          <w:rFonts w:eastAsia="PMingLiU"/>
          <w:i/>
          <w:iCs/>
          <w:sz w:val="24"/>
          <w:szCs w:val="24"/>
          <w:lang w:eastAsia="zh-TW"/>
        </w:rPr>
        <w:t>Stewart v Engel [2000] 3 All ER 518, a case after the introduction of the Civil Procedure Rules, held that a judge’s power to reconsider his conclusion and in effect reverse his own decision before completion of the formal recording of his decision existed before the introduction of the Civil Procedure Rules and there was nothing in the new code abrogating it.</w:t>
      </w:r>
    </w:p>
    <w:p w14:paraId="0CA851CB" w14:textId="566CEE14" w:rsidR="00CB3070" w:rsidRPr="009817FF" w:rsidRDefault="00CB3070" w:rsidP="002A720F">
      <w:pPr>
        <w:pStyle w:val="ListParagraph"/>
        <w:tabs>
          <w:tab w:val="clear" w:pos="1440"/>
          <w:tab w:val="clear" w:pos="4320"/>
          <w:tab w:val="clear" w:pos="9072"/>
          <w:tab w:val="left" w:pos="1418"/>
        </w:tabs>
        <w:snapToGrid/>
        <w:ind w:left="1440" w:right="746"/>
        <w:jc w:val="both"/>
        <w:rPr>
          <w:i/>
          <w:iCs/>
          <w:sz w:val="24"/>
          <w:szCs w:val="24"/>
        </w:rPr>
      </w:pPr>
    </w:p>
    <w:p w14:paraId="3056875A" w14:textId="411481CB" w:rsidR="00CB3070" w:rsidRPr="002A720F" w:rsidRDefault="00CB3070" w:rsidP="002A720F">
      <w:pPr>
        <w:pStyle w:val="ListParagraph"/>
        <w:numPr>
          <w:ilvl w:val="0"/>
          <w:numId w:val="22"/>
        </w:numPr>
        <w:tabs>
          <w:tab w:val="clear" w:pos="1440"/>
          <w:tab w:val="clear" w:pos="4320"/>
          <w:tab w:val="clear" w:pos="9072"/>
          <w:tab w:val="left" w:pos="1418"/>
        </w:tabs>
        <w:snapToGrid/>
        <w:ind w:left="1440" w:right="746" w:firstLine="0"/>
        <w:jc w:val="both"/>
        <w:rPr>
          <w:i/>
          <w:iCs/>
          <w:sz w:val="24"/>
          <w:szCs w:val="24"/>
        </w:rPr>
      </w:pPr>
      <w:r w:rsidRPr="009817FF">
        <w:rPr>
          <w:rFonts w:eastAsia="PMingLiU"/>
          <w:i/>
          <w:iCs/>
          <w:sz w:val="24"/>
          <w:szCs w:val="24"/>
          <w:lang w:eastAsia="zh-TW"/>
        </w:rPr>
        <w:t xml:space="preserve">Sir Christopher Slade who gave the leading judgment of the majority held that such jurisdiction (which he referred to succinctly as the Barrell jurisdiction), if very cautiously and sparingly exercised, served a useful purpose (pp.523-524), a view echoed by Roch </w:t>
      </w:r>
      <w:r w:rsidRPr="009817FF">
        <w:rPr>
          <w:i/>
          <w:iCs/>
          <w:sz w:val="24"/>
          <w:szCs w:val="24"/>
        </w:rPr>
        <w:t>L</w:t>
      </w:r>
      <w:r w:rsidRPr="009817FF">
        <w:rPr>
          <w:rFonts w:eastAsia="PMingLiU"/>
          <w:i/>
          <w:iCs/>
          <w:sz w:val="24"/>
          <w:szCs w:val="24"/>
          <w:lang w:eastAsia="zh-TW"/>
        </w:rPr>
        <w:t>J at p.540.</w:t>
      </w:r>
    </w:p>
    <w:p w14:paraId="4AC41EB0" w14:textId="77777777" w:rsidR="002A720F" w:rsidRPr="009817FF" w:rsidRDefault="002A720F" w:rsidP="002A720F">
      <w:pPr>
        <w:pStyle w:val="ListParagraph"/>
        <w:tabs>
          <w:tab w:val="clear" w:pos="1440"/>
          <w:tab w:val="clear" w:pos="4320"/>
          <w:tab w:val="clear" w:pos="9072"/>
          <w:tab w:val="left" w:pos="1418"/>
        </w:tabs>
        <w:snapToGrid/>
        <w:ind w:left="1440" w:right="746"/>
        <w:jc w:val="both"/>
        <w:rPr>
          <w:i/>
          <w:iCs/>
          <w:sz w:val="24"/>
          <w:szCs w:val="24"/>
        </w:rPr>
      </w:pPr>
    </w:p>
    <w:p w14:paraId="029360CA" w14:textId="77777777" w:rsidR="00CB3070" w:rsidRPr="009817FF" w:rsidRDefault="00CB3070" w:rsidP="002A720F">
      <w:pPr>
        <w:pStyle w:val="ListParagraph"/>
        <w:numPr>
          <w:ilvl w:val="0"/>
          <w:numId w:val="22"/>
        </w:numPr>
        <w:tabs>
          <w:tab w:val="clear" w:pos="4320"/>
          <w:tab w:val="clear" w:pos="9072"/>
        </w:tabs>
        <w:snapToGrid/>
        <w:ind w:left="1440" w:right="746" w:firstLine="0"/>
        <w:jc w:val="both"/>
        <w:rPr>
          <w:i/>
          <w:iCs/>
          <w:sz w:val="24"/>
          <w:szCs w:val="24"/>
        </w:rPr>
      </w:pPr>
      <w:r w:rsidRPr="009817FF">
        <w:rPr>
          <w:rFonts w:eastAsia="PMingLiU"/>
          <w:i/>
          <w:iCs/>
          <w:sz w:val="24"/>
          <w:szCs w:val="24"/>
          <w:lang w:eastAsia="zh-TW"/>
        </w:rPr>
        <w:t>Sir Christopher Slade adopted the helpful examples of cases where the Barrell jurisdiction might justifiably be invo</w:t>
      </w:r>
      <w:r w:rsidRPr="009817FF">
        <w:rPr>
          <w:i/>
          <w:iCs/>
          <w:sz w:val="24"/>
          <w:szCs w:val="24"/>
        </w:rPr>
        <w:t>k</w:t>
      </w:r>
      <w:r w:rsidRPr="009817FF">
        <w:rPr>
          <w:rFonts w:eastAsia="PMingLiU"/>
          <w:i/>
          <w:iCs/>
          <w:sz w:val="24"/>
          <w:szCs w:val="24"/>
          <w:lang w:eastAsia="zh-TW"/>
        </w:rPr>
        <w:t>ed before the order in question was drawn up given by Neuberger J in Re Blenheim Leisure (Restaurants) Ltd (No 3) (1999) Times, 9 November :</w:t>
      </w:r>
    </w:p>
    <w:p w14:paraId="6AF4D7BB" w14:textId="77777777" w:rsidR="00CB3070" w:rsidRPr="009817FF" w:rsidRDefault="00CB3070" w:rsidP="002A720F">
      <w:pPr>
        <w:ind w:leftChars="514" w:left="1439" w:right="746"/>
        <w:jc w:val="both"/>
        <w:rPr>
          <w:rFonts w:eastAsia="PMingLiU"/>
          <w:i/>
          <w:iCs/>
          <w:sz w:val="24"/>
          <w:szCs w:val="24"/>
          <w:lang w:eastAsia="zh-TW"/>
        </w:rPr>
      </w:pPr>
    </w:p>
    <w:p w14:paraId="4E052389" w14:textId="427A7030" w:rsidR="00CB3070" w:rsidRDefault="00CB3070" w:rsidP="002A720F">
      <w:pPr>
        <w:tabs>
          <w:tab w:val="clear" w:pos="1440"/>
          <w:tab w:val="left" w:pos="2160"/>
        </w:tabs>
        <w:ind w:leftChars="771" w:left="2159" w:right="746"/>
        <w:jc w:val="both"/>
        <w:rPr>
          <w:rFonts w:eastAsia="PMingLiU"/>
          <w:i/>
          <w:iCs/>
          <w:sz w:val="24"/>
          <w:szCs w:val="24"/>
          <w:lang w:eastAsia="zh-TW"/>
        </w:rPr>
      </w:pPr>
      <w:r w:rsidRPr="009817FF">
        <w:rPr>
          <w:rFonts w:eastAsia="PMingLiU"/>
          <w:i/>
          <w:iCs/>
          <w:sz w:val="24"/>
          <w:szCs w:val="24"/>
          <w:lang w:eastAsia="zh-TW"/>
        </w:rPr>
        <w:t xml:space="preserve">“…… a plain mistake on the part of the court; a failure of the parties to draw the court’s attention </w:t>
      </w:r>
      <w:r w:rsidRPr="009817FF">
        <w:rPr>
          <w:i/>
          <w:iCs/>
          <w:sz w:val="24"/>
          <w:szCs w:val="24"/>
        </w:rPr>
        <w:t xml:space="preserve">to </w:t>
      </w:r>
      <w:r w:rsidRPr="009817FF">
        <w:rPr>
          <w:rFonts w:eastAsia="PMingLiU"/>
          <w:i/>
          <w:iCs/>
          <w:sz w:val="24"/>
          <w:szCs w:val="24"/>
          <w:lang w:eastAsia="zh-TW"/>
        </w:rPr>
        <w:t>a fact or point of law that was plainly relevant; or discovery of new facts subsequent to the judgment being given. Another good reason was if the applicant could argue that he was taken by surprise by a particular application from which the court ruled adversely to him and that he did not have a fair opportunity to consider.”</w:t>
      </w:r>
    </w:p>
    <w:p w14:paraId="36312041" w14:textId="206A5267" w:rsidR="00CB3070" w:rsidRDefault="00CB3070" w:rsidP="002A720F">
      <w:pPr>
        <w:ind w:leftChars="514" w:left="1439" w:right="746"/>
        <w:jc w:val="both"/>
        <w:rPr>
          <w:rFonts w:eastAsia="PMingLiU"/>
          <w:i/>
          <w:iCs/>
          <w:sz w:val="24"/>
          <w:szCs w:val="24"/>
          <w:lang w:eastAsia="zh-TW"/>
        </w:rPr>
      </w:pPr>
      <w:r w:rsidRPr="009817FF">
        <w:rPr>
          <w:rFonts w:eastAsia="PMingLiU"/>
          <w:i/>
          <w:iCs/>
          <w:sz w:val="24"/>
          <w:szCs w:val="24"/>
          <w:lang w:eastAsia="zh-TW"/>
        </w:rPr>
        <w:t>…</w:t>
      </w:r>
    </w:p>
    <w:p w14:paraId="15AF1D28" w14:textId="77777777" w:rsidR="00CB3070" w:rsidRPr="009817FF" w:rsidRDefault="00CB3070" w:rsidP="002A720F">
      <w:pPr>
        <w:tabs>
          <w:tab w:val="left" w:pos="567"/>
        </w:tabs>
        <w:ind w:leftChars="514" w:left="1439" w:right="746"/>
        <w:jc w:val="both"/>
        <w:rPr>
          <w:rFonts w:eastAsia="PMingLiU"/>
          <w:i/>
          <w:iCs/>
          <w:sz w:val="24"/>
          <w:szCs w:val="24"/>
          <w:lang w:eastAsia="zh-TW"/>
        </w:rPr>
      </w:pPr>
    </w:p>
    <w:p w14:paraId="79FE3C34" w14:textId="79616AE1" w:rsidR="00CB3070" w:rsidRDefault="00CB3070" w:rsidP="002A720F">
      <w:pPr>
        <w:tabs>
          <w:tab w:val="clear" w:pos="1440"/>
          <w:tab w:val="clear" w:pos="4320"/>
          <w:tab w:val="clear" w:pos="9072"/>
          <w:tab w:val="left" w:pos="1418"/>
        </w:tabs>
        <w:snapToGrid/>
        <w:ind w:left="1440" w:right="746"/>
        <w:jc w:val="both"/>
        <w:rPr>
          <w:rFonts w:eastAsia="PMingLiU"/>
          <w:i/>
          <w:iCs/>
          <w:sz w:val="24"/>
          <w:szCs w:val="24"/>
          <w:lang w:eastAsia="zh-TW"/>
        </w:rPr>
      </w:pPr>
      <w:r w:rsidRPr="009817FF">
        <w:rPr>
          <w:rFonts w:eastAsia="PMingLiU"/>
          <w:i/>
          <w:iCs/>
          <w:sz w:val="24"/>
          <w:szCs w:val="24"/>
          <w:lang w:eastAsia="zh-TW"/>
        </w:rPr>
        <w:t>28</w:t>
      </w:r>
      <w:r w:rsidRPr="009817FF">
        <w:rPr>
          <w:rFonts w:eastAsia="PMingLiU"/>
          <w:sz w:val="24"/>
          <w:szCs w:val="24"/>
          <w:lang w:eastAsia="zh-TW"/>
        </w:rPr>
        <w:t>.</w:t>
      </w:r>
      <w:r w:rsidR="002A720F">
        <w:rPr>
          <w:rFonts w:eastAsia="PMingLiU"/>
          <w:sz w:val="24"/>
          <w:szCs w:val="24"/>
          <w:lang w:eastAsia="zh-TW"/>
        </w:rPr>
        <w:tab/>
      </w:r>
      <w:r w:rsidRPr="009817FF">
        <w:rPr>
          <w:rFonts w:eastAsia="PMingLiU"/>
          <w:i/>
          <w:iCs/>
          <w:sz w:val="24"/>
          <w:szCs w:val="24"/>
          <w:lang w:eastAsia="zh-TW"/>
        </w:rPr>
        <w:t>In Noga v Abacha, Rix LJ held that the Barrell jurisdiction could only be exercised in a case which raised considerations, in the interests of justice, which were out of the ordinary, extraordinary or exceptional. An exceptional case did not have to be uniquely special, and “strong reasons” was perhaps an acceptable alternative to “exceptional circumstances”. It would necessarily be in an exceptional case that strong reasons were shown for reconsideration. The Harrison case and Stewart v Engel were cited with approval and Rix LJ specifically disagreed with the concept that the discretion was a wide open one, unrestricted by the requirement of exceptional circumstances (pp.525-526).</w:t>
      </w:r>
    </w:p>
    <w:p w14:paraId="294E3094" w14:textId="77777777" w:rsidR="002A720F" w:rsidRPr="009817FF" w:rsidRDefault="002A720F" w:rsidP="002A720F">
      <w:pPr>
        <w:tabs>
          <w:tab w:val="clear" w:pos="1440"/>
          <w:tab w:val="clear" w:pos="4320"/>
          <w:tab w:val="clear" w:pos="9072"/>
          <w:tab w:val="left" w:pos="1418"/>
        </w:tabs>
        <w:snapToGrid/>
        <w:ind w:left="1440" w:right="746"/>
        <w:jc w:val="both"/>
        <w:rPr>
          <w:rFonts w:eastAsia="PMingLiU"/>
          <w:i/>
          <w:iCs/>
          <w:sz w:val="24"/>
          <w:szCs w:val="24"/>
          <w:lang w:eastAsia="zh-TW"/>
        </w:rPr>
      </w:pPr>
    </w:p>
    <w:p w14:paraId="29588B55" w14:textId="66CF3BAA" w:rsidR="00CB3070" w:rsidRPr="009817FF" w:rsidRDefault="00CB3070" w:rsidP="002A720F">
      <w:pPr>
        <w:tabs>
          <w:tab w:val="clear" w:pos="1440"/>
          <w:tab w:val="clear" w:pos="4320"/>
          <w:tab w:val="clear" w:pos="9072"/>
          <w:tab w:val="left" w:pos="1418"/>
        </w:tabs>
        <w:snapToGrid/>
        <w:ind w:left="1440" w:right="746"/>
        <w:jc w:val="both"/>
        <w:rPr>
          <w:rFonts w:eastAsia="PMingLiU"/>
          <w:i/>
          <w:iCs/>
          <w:sz w:val="24"/>
          <w:szCs w:val="24"/>
          <w:lang w:eastAsia="zh-TW"/>
        </w:rPr>
      </w:pPr>
      <w:r w:rsidRPr="009817FF">
        <w:rPr>
          <w:rFonts w:eastAsia="PMingLiU"/>
          <w:i/>
          <w:iCs/>
          <w:sz w:val="24"/>
          <w:szCs w:val="24"/>
          <w:lang w:eastAsia="zh-TW"/>
        </w:rPr>
        <w:t>…</w:t>
      </w:r>
    </w:p>
    <w:p w14:paraId="359A44FF" w14:textId="77777777" w:rsidR="002A720F" w:rsidRDefault="002A720F" w:rsidP="002A720F">
      <w:pPr>
        <w:tabs>
          <w:tab w:val="clear" w:pos="1440"/>
          <w:tab w:val="clear" w:pos="4320"/>
          <w:tab w:val="clear" w:pos="9072"/>
          <w:tab w:val="left" w:pos="1134"/>
        </w:tabs>
        <w:snapToGrid/>
        <w:ind w:left="1440" w:right="746"/>
        <w:jc w:val="both"/>
        <w:rPr>
          <w:rFonts w:eastAsia="PMingLiU"/>
          <w:i/>
          <w:iCs/>
          <w:sz w:val="24"/>
          <w:szCs w:val="24"/>
          <w:lang w:eastAsia="zh-TW"/>
        </w:rPr>
      </w:pPr>
    </w:p>
    <w:p w14:paraId="44E5F9D8" w14:textId="45A4470A" w:rsidR="00CB3070" w:rsidRPr="009817FF" w:rsidRDefault="00CB3070" w:rsidP="002A720F">
      <w:pPr>
        <w:tabs>
          <w:tab w:val="clear" w:pos="1440"/>
          <w:tab w:val="clear" w:pos="4320"/>
          <w:tab w:val="clear" w:pos="9072"/>
          <w:tab w:val="left" w:pos="1134"/>
        </w:tabs>
        <w:snapToGrid/>
        <w:ind w:left="1440" w:right="746"/>
        <w:jc w:val="both"/>
        <w:rPr>
          <w:i/>
          <w:iCs/>
          <w:sz w:val="24"/>
          <w:szCs w:val="24"/>
        </w:rPr>
      </w:pPr>
      <w:r w:rsidRPr="009817FF">
        <w:rPr>
          <w:rFonts w:eastAsia="PMingLiU"/>
          <w:i/>
          <w:iCs/>
          <w:sz w:val="24"/>
          <w:szCs w:val="24"/>
          <w:lang w:eastAsia="zh-TW"/>
        </w:rPr>
        <w:lastRenderedPageBreak/>
        <w:t>30</w:t>
      </w:r>
      <w:r w:rsidRPr="009817FF">
        <w:rPr>
          <w:rFonts w:eastAsia="PMingLiU"/>
          <w:sz w:val="24"/>
          <w:szCs w:val="24"/>
          <w:lang w:eastAsia="zh-TW"/>
        </w:rPr>
        <w:t>.</w:t>
      </w:r>
      <w:r w:rsidR="002A720F">
        <w:rPr>
          <w:rFonts w:eastAsia="PMingLiU"/>
          <w:sz w:val="24"/>
          <w:szCs w:val="24"/>
          <w:lang w:eastAsia="zh-TW"/>
        </w:rPr>
        <w:tab/>
      </w:r>
      <w:r w:rsidRPr="009817FF">
        <w:rPr>
          <w:rFonts w:eastAsia="PMingLiU"/>
          <w:i/>
          <w:iCs/>
          <w:sz w:val="24"/>
          <w:szCs w:val="24"/>
          <w:lang w:eastAsia="zh-TW"/>
        </w:rPr>
        <w:t>Rix LJ considered the appeal process would be subverted if the application to reconsider the judgment was granted. He accepted there were, of course, cases where an error of fact or law might be too plain for argument, and it was better that the error was corrected without imposing on the parties the need for an appeal. “It is, in my judgment, wrong for a judge to be treated to an exposition such as would be presented to a court of appeal. If in such circumstances a judge should be tempted to open up reconsideration of his judgment, an appeal would not be avoided, it would be made inevitable. Every case would become subject to an unending process of reconsideration, followed by appeal, both on the issue of reconsideration and on the merits.” (p.528)</w:t>
      </w:r>
    </w:p>
    <w:p w14:paraId="45AEB5A0" w14:textId="77777777" w:rsidR="00CB3070" w:rsidRPr="009817FF" w:rsidRDefault="00CB3070" w:rsidP="002A720F">
      <w:pPr>
        <w:tabs>
          <w:tab w:val="clear" w:pos="1440"/>
          <w:tab w:val="clear" w:pos="4320"/>
          <w:tab w:val="clear" w:pos="9072"/>
          <w:tab w:val="left" w:pos="1418"/>
        </w:tabs>
        <w:snapToGrid/>
        <w:ind w:left="1440" w:right="746"/>
        <w:jc w:val="both"/>
        <w:rPr>
          <w:i/>
          <w:iCs/>
          <w:sz w:val="24"/>
          <w:szCs w:val="24"/>
        </w:rPr>
      </w:pPr>
    </w:p>
    <w:p w14:paraId="5A7A9304" w14:textId="7FA49941" w:rsidR="00CB3070" w:rsidRPr="009817FF" w:rsidRDefault="00CB3070" w:rsidP="002A720F">
      <w:pPr>
        <w:tabs>
          <w:tab w:val="clear" w:pos="1440"/>
          <w:tab w:val="clear" w:pos="4320"/>
          <w:tab w:val="clear" w:pos="9072"/>
          <w:tab w:val="left" w:pos="1418"/>
        </w:tabs>
        <w:snapToGrid/>
        <w:ind w:left="1440" w:right="746"/>
        <w:jc w:val="both"/>
        <w:rPr>
          <w:rFonts w:eastAsia="PMingLiU"/>
          <w:i/>
          <w:iCs/>
          <w:sz w:val="24"/>
          <w:szCs w:val="24"/>
          <w:lang w:eastAsia="zh-TW"/>
        </w:rPr>
      </w:pPr>
      <w:r w:rsidRPr="009817FF">
        <w:rPr>
          <w:i/>
          <w:iCs/>
          <w:sz w:val="24"/>
          <w:szCs w:val="24"/>
        </w:rPr>
        <w:t>31.</w:t>
      </w:r>
      <w:r w:rsidR="002A720F">
        <w:rPr>
          <w:i/>
          <w:iCs/>
          <w:sz w:val="24"/>
          <w:szCs w:val="24"/>
        </w:rPr>
        <w:tab/>
      </w:r>
      <w:r w:rsidRPr="009817FF">
        <w:rPr>
          <w:rFonts w:eastAsia="PMingLiU"/>
          <w:i/>
          <w:iCs/>
          <w:sz w:val="24"/>
          <w:szCs w:val="24"/>
          <w:lang w:eastAsia="zh-TW"/>
        </w:rPr>
        <w:t>The above principles have been applied in two local authorities. Deputy High Court Judge Carlson in Bill Chao Keh Lung v Don Xia alias Xiaodong HCA9289/2000 (unreported, 3</w:t>
      </w:r>
      <w:r w:rsidRPr="009817FF">
        <w:rPr>
          <w:rFonts w:eastAsia="PMingLiU"/>
          <w:i/>
          <w:iCs/>
          <w:sz w:val="24"/>
          <w:szCs w:val="24"/>
          <w:vertAlign w:val="superscript"/>
          <w:lang w:eastAsia="zh-TW"/>
        </w:rPr>
        <w:t>rd</w:t>
      </w:r>
      <w:r w:rsidRPr="009817FF">
        <w:rPr>
          <w:rFonts w:eastAsia="PMingLiU"/>
          <w:i/>
          <w:iCs/>
          <w:sz w:val="24"/>
          <w:szCs w:val="24"/>
          <w:lang w:eastAsia="zh-TW"/>
        </w:rPr>
        <w:t xml:space="preserve"> October 2002) …</w:t>
      </w:r>
    </w:p>
    <w:p w14:paraId="2B66DCC4" w14:textId="4384F598" w:rsidR="00CB3070" w:rsidRDefault="00CB3070" w:rsidP="002A720F">
      <w:pPr>
        <w:tabs>
          <w:tab w:val="clear" w:pos="1440"/>
          <w:tab w:val="clear" w:pos="4320"/>
          <w:tab w:val="clear" w:pos="9072"/>
          <w:tab w:val="left" w:pos="1418"/>
        </w:tabs>
        <w:snapToGrid/>
        <w:ind w:left="1440" w:right="746"/>
        <w:jc w:val="both"/>
        <w:rPr>
          <w:i/>
          <w:iCs/>
          <w:sz w:val="24"/>
          <w:szCs w:val="24"/>
        </w:rPr>
      </w:pPr>
      <w:r w:rsidRPr="009817FF">
        <w:rPr>
          <w:i/>
          <w:iCs/>
          <w:sz w:val="24"/>
          <w:szCs w:val="24"/>
        </w:rPr>
        <w:t>…</w:t>
      </w:r>
    </w:p>
    <w:p w14:paraId="5ECEAC19" w14:textId="77777777" w:rsidR="002A720F" w:rsidRPr="009817FF" w:rsidRDefault="002A720F" w:rsidP="002A720F">
      <w:pPr>
        <w:tabs>
          <w:tab w:val="clear" w:pos="1440"/>
          <w:tab w:val="clear" w:pos="4320"/>
          <w:tab w:val="clear" w:pos="9072"/>
          <w:tab w:val="left" w:pos="1418"/>
        </w:tabs>
        <w:snapToGrid/>
        <w:ind w:left="1440" w:right="746"/>
        <w:jc w:val="both"/>
        <w:rPr>
          <w:rFonts w:eastAsia="PMingLiU"/>
          <w:i/>
          <w:iCs/>
          <w:sz w:val="24"/>
          <w:szCs w:val="24"/>
          <w:lang w:eastAsia="zh-TW"/>
        </w:rPr>
      </w:pPr>
    </w:p>
    <w:p w14:paraId="24301CA7" w14:textId="116E6683" w:rsidR="00CB3070" w:rsidRDefault="00CB3070" w:rsidP="002A720F">
      <w:pPr>
        <w:tabs>
          <w:tab w:val="clear" w:pos="4320"/>
          <w:tab w:val="clear" w:pos="9072"/>
        </w:tabs>
        <w:snapToGrid/>
        <w:ind w:left="1440" w:right="746"/>
        <w:jc w:val="both"/>
        <w:rPr>
          <w:rFonts w:eastAsia="PMingLiU"/>
          <w:i/>
          <w:iCs/>
          <w:sz w:val="24"/>
          <w:szCs w:val="24"/>
          <w:lang w:eastAsia="zh-TW"/>
        </w:rPr>
      </w:pPr>
      <w:r w:rsidRPr="009817FF">
        <w:rPr>
          <w:rFonts w:eastAsia="PMingLiU"/>
          <w:i/>
          <w:iCs/>
          <w:sz w:val="24"/>
          <w:szCs w:val="24"/>
          <w:lang w:eastAsia="zh-TW"/>
        </w:rPr>
        <w:t>The learned judge held as follows:</w:t>
      </w:r>
    </w:p>
    <w:p w14:paraId="535F5714" w14:textId="77777777" w:rsidR="002A720F" w:rsidRPr="009817FF" w:rsidRDefault="002A720F" w:rsidP="002A720F">
      <w:pPr>
        <w:tabs>
          <w:tab w:val="clear" w:pos="4320"/>
          <w:tab w:val="clear" w:pos="9072"/>
        </w:tabs>
        <w:snapToGrid/>
        <w:ind w:left="1440" w:right="746"/>
        <w:jc w:val="both"/>
        <w:rPr>
          <w:i/>
          <w:iCs/>
          <w:sz w:val="24"/>
          <w:szCs w:val="24"/>
        </w:rPr>
      </w:pPr>
    </w:p>
    <w:p w14:paraId="64C7F727" w14:textId="77777777" w:rsidR="00CB3070" w:rsidRPr="009817FF" w:rsidRDefault="00CB3070" w:rsidP="002A720F">
      <w:pPr>
        <w:tabs>
          <w:tab w:val="clear" w:pos="1440"/>
          <w:tab w:val="left" w:pos="2160"/>
        </w:tabs>
        <w:ind w:leftChars="771" w:left="2159" w:right="746"/>
        <w:jc w:val="both"/>
        <w:rPr>
          <w:rFonts w:eastAsia="PMingLiU"/>
          <w:i/>
          <w:iCs/>
          <w:sz w:val="24"/>
          <w:szCs w:val="24"/>
          <w:lang w:eastAsia="zh-TW"/>
        </w:rPr>
      </w:pPr>
      <w:r w:rsidRPr="009817FF">
        <w:rPr>
          <w:rFonts w:eastAsia="PMingLiU"/>
          <w:i/>
          <w:iCs/>
          <w:sz w:val="24"/>
          <w:szCs w:val="24"/>
          <w:lang w:eastAsia="zh-TW"/>
        </w:rPr>
        <w:t>“16.</w:t>
      </w:r>
      <w:r w:rsidRPr="009817FF">
        <w:rPr>
          <w:rFonts w:eastAsia="PMingLiU"/>
          <w:i/>
          <w:iCs/>
          <w:sz w:val="24"/>
          <w:szCs w:val="24"/>
          <w:lang w:eastAsia="zh-TW"/>
        </w:rPr>
        <w:tab/>
        <w:t>Unless there is something which clearly amounts to an oversight or error of the type that I have just cured, the court should be slow in going back over the arguments and, in effect, ruling on something which is not expressly apparent in the judgment. Save for what are intended to be “exceptional circumstances” or for “strong reason”, whichever label one cares to attach to it, I should not go back over the argument. Ultimately a judgment, right or wrong, must stand on its merits and the appropriate forum for that discussion is the Court of Appeal.</w:t>
      </w:r>
    </w:p>
    <w:p w14:paraId="66616DC1" w14:textId="77777777" w:rsidR="00CB3070" w:rsidRPr="009817FF" w:rsidRDefault="00CB3070" w:rsidP="002A720F">
      <w:pPr>
        <w:tabs>
          <w:tab w:val="clear" w:pos="1440"/>
          <w:tab w:val="left" w:pos="2160"/>
        </w:tabs>
        <w:ind w:leftChars="771" w:left="2159" w:right="746"/>
        <w:jc w:val="both"/>
        <w:rPr>
          <w:rFonts w:eastAsia="PMingLiU"/>
          <w:i/>
          <w:iCs/>
          <w:sz w:val="24"/>
          <w:szCs w:val="24"/>
          <w:lang w:eastAsia="zh-TW"/>
        </w:rPr>
      </w:pPr>
    </w:p>
    <w:p w14:paraId="42BC761B" w14:textId="77777777" w:rsidR="00CB3070" w:rsidRPr="009817FF" w:rsidRDefault="00CB3070" w:rsidP="002A720F">
      <w:pPr>
        <w:tabs>
          <w:tab w:val="clear" w:pos="1440"/>
          <w:tab w:val="left" w:pos="2160"/>
        </w:tabs>
        <w:ind w:leftChars="771" w:left="2159" w:right="746"/>
        <w:jc w:val="both"/>
        <w:rPr>
          <w:rFonts w:eastAsia="PMingLiU"/>
          <w:i/>
          <w:iCs/>
          <w:sz w:val="24"/>
          <w:szCs w:val="24"/>
          <w:lang w:eastAsia="zh-TW"/>
        </w:rPr>
      </w:pPr>
      <w:r w:rsidRPr="009817FF">
        <w:rPr>
          <w:rFonts w:eastAsia="PMingLiU"/>
          <w:i/>
          <w:iCs/>
          <w:sz w:val="24"/>
          <w:szCs w:val="24"/>
          <w:lang w:eastAsia="zh-TW"/>
        </w:rPr>
        <w:t>17.</w:t>
      </w:r>
      <w:r w:rsidRPr="009817FF">
        <w:rPr>
          <w:rFonts w:eastAsia="PMingLiU"/>
          <w:i/>
          <w:iCs/>
          <w:sz w:val="24"/>
          <w:szCs w:val="24"/>
          <w:lang w:eastAsia="zh-TW"/>
        </w:rPr>
        <w:tab/>
        <w:t>I do not intend to embark on what would amount to an unseemly exercise in self-justification. The judgment is there for examination as a whole and in the event of an appeal the Court of Appeal will have to deal with any shortcomings that it is said to contain. I therefore decline to go further than I already have.”</w:t>
      </w:r>
    </w:p>
    <w:p w14:paraId="04DF0EAC" w14:textId="77777777" w:rsidR="00CB3070" w:rsidRPr="009817FF" w:rsidRDefault="00CB3070" w:rsidP="002A720F">
      <w:pPr>
        <w:pStyle w:val="ListParagraph"/>
        <w:spacing w:line="360" w:lineRule="auto"/>
        <w:ind w:hanging="2"/>
        <w:rPr>
          <w:szCs w:val="28"/>
        </w:rPr>
      </w:pPr>
    </w:p>
    <w:p w14:paraId="7C428504" w14:textId="77777777" w:rsidR="00CB3070" w:rsidRPr="009817FF" w:rsidRDefault="00CB3070" w:rsidP="002A720F">
      <w:pPr>
        <w:numPr>
          <w:ilvl w:val="0"/>
          <w:numId w:val="4"/>
        </w:numPr>
        <w:tabs>
          <w:tab w:val="clear" w:pos="4320"/>
          <w:tab w:val="clear" w:pos="9072"/>
        </w:tabs>
        <w:snapToGrid/>
        <w:spacing w:line="360" w:lineRule="auto"/>
        <w:ind w:left="0" w:firstLine="0"/>
        <w:jc w:val="both"/>
        <w:rPr>
          <w:szCs w:val="28"/>
        </w:rPr>
      </w:pPr>
      <w:r w:rsidRPr="009817FF">
        <w:rPr>
          <w:szCs w:val="28"/>
        </w:rPr>
        <w:t xml:space="preserve">The law in the UK have developed since </w:t>
      </w:r>
      <w:r w:rsidRPr="009817FF">
        <w:rPr>
          <w:i/>
          <w:iCs/>
          <w:szCs w:val="28"/>
        </w:rPr>
        <w:t>Re Barrell</w:t>
      </w:r>
      <w:r>
        <w:rPr>
          <w:i/>
          <w:iCs/>
          <w:szCs w:val="28"/>
        </w:rPr>
        <w:t xml:space="preserve"> Enterprises</w:t>
      </w:r>
      <w:r w:rsidRPr="009817FF">
        <w:rPr>
          <w:szCs w:val="28"/>
        </w:rPr>
        <w:t xml:space="preserve">.  In </w:t>
      </w:r>
      <w:r w:rsidRPr="009817FF">
        <w:rPr>
          <w:i/>
          <w:iCs/>
          <w:szCs w:val="28"/>
        </w:rPr>
        <w:t>Re L and B (Reversal of Judgment)</w:t>
      </w:r>
      <w:r w:rsidRPr="009817FF">
        <w:rPr>
          <w:rStyle w:val="FootnoteReference"/>
          <w:i/>
          <w:iCs/>
          <w:szCs w:val="28"/>
        </w:rPr>
        <w:footnoteReference w:id="8"/>
      </w:r>
      <w:r w:rsidRPr="009817FF">
        <w:rPr>
          <w:szCs w:val="28"/>
        </w:rPr>
        <w:t xml:space="preserve">, the English Supreme Court recognised that it has long been the law that a judge is entitled to </w:t>
      </w:r>
      <w:r w:rsidRPr="009817FF">
        <w:rPr>
          <w:szCs w:val="28"/>
        </w:rPr>
        <w:lastRenderedPageBreak/>
        <w:t>reverse his decision at any time before his/her order is drawn up and perfected</w:t>
      </w:r>
      <w:r w:rsidRPr="009817FF">
        <w:rPr>
          <w:rStyle w:val="FootnoteReference"/>
          <w:szCs w:val="28"/>
        </w:rPr>
        <w:footnoteReference w:id="9"/>
      </w:r>
      <w:r w:rsidRPr="009817FF">
        <w:rPr>
          <w:szCs w:val="28"/>
        </w:rPr>
        <w:t xml:space="preserve">.  Lady Hale SCJ looked into the line of cases on how a judge ought to exercise the power to change his/her mind and held that the limitation imposed by Russell LJ in </w:t>
      </w:r>
      <w:r w:rsidRPr="009817FF">
        <w:rPr>
          <w:i/>
          <w:iCs/>
          <w:szCs w:val="28"/>
        </w:rPr>
        <w:t>Re Barrell Enterprises</w:t>
      </w:r>
      <w:r w:rsidRPr="009817FF">
        <w:rPr>
          <w:rStyle w:val="FootnoteReference"/>
          <w:i/>
          <w:iCs/>
          <w:szCs w:val="28"/>
        </w:rPr>
        <w:footnoteReference w:id="10"/>
      </w:r>
      <w:r w:rsidRPr="009817FF">
        <w:rPr>
          <w:i/>
          <w:iCs/>
          <w:szCs w:val="28"/>
        </w:rPr>
        <w:t xml:space="preserve"> </w:t>
      </w:r>
      <w:r w:rsidRPr="009817FF">
        <w:rPr>
          <w:szCs w:val="28"/>
        </w:rPr>
        <w:t>is no longer the correct approach</w:t>
      </w:r>
      <w:r w:rsidRPr="009817FF">
        <w:rPr>
          <w:i/>
          <w:iCs/>
          <w:szCs w:val="28"/>
        </w:rPr>
        <w:t>.</w:t>
      </w:r>
      <w:r w:rsidRPr="009817FF">
        <w:rPr>
          <w:szCs w:val="28"/>
        </w:rPr>
        <w:t xml:space="preserve"> Lady Hale drew support from the dissenting judgment of Clarke LJ in </w:t>
      </w:r>
      <w:r w:rsidRPr="009817FF">
        <w:rPr>
          <w:i/>
          <w:iCs/>
          <w:szCs w:val="28"/>
        </w:rPr>
        <w:t>Stewart v Engel</w:t>
      </w:r>
      <w:r w:rsidRPr="009817FF">
        <w:rPr>
          <w:rStyle w:val="FootnoteReference"/>
          <w:i/>
          <w:iCs/>
          <w:szCs w:val="28"/>
        </w:rPr>
        <w:footnoteReference w:id="11"/>
      </w:r>
      <w:r w:rsidRPr="009817FF">
        <w:rPr>
          <w:szCs w:val="28"/>
        </w:rPr>
        <w:t>, who thought that the overall objective of enabling the court to deal with cases justly should be the starting point, and the court was not bound to look for exceptional circumstances</w:t>
      </w:r>
      <w:r w:rsidRPr="009817FF">
        <w:rPr>
          <w:rStyle w:val="FootnoteReference"/>
          <w:szCs w:val="28"/>
        </w:rPr>
        <w:footnoteReference w:id="12"/>
      </w:r>
      <w:r w:rsidRPr="009817FF">
        <w:rPr>
          <w:szCs w:val="28"/>
        </w:rPr>
        <w:t xml:space="preserve">.  Rix LJ in the case of </w:t>
      </w:r>
      <w:r w:rsidRPr="009817FF">
        <w:rPr>
          <w:i/>
          <w:iCs/>
          <w:szCs w:val="28"/>
        </w:rPr>
        <w:t>Compagnie Noga D’Importation et D’Exportation SA v Abacha</w:t>
      </w:r>
      <w:r w:rsidRPr="009817FF">
        <w:rPr>
          <w:rStyle w:val="FootnoteReference"/>
          <w:i/>
          <w:iCs/>
          <w:szCs w:val="28"/>
        </w:rPr>
        <w:footnoteReference w:id="13"/>
      </w:r>
      <w:r w:rsidRPr="009817FF">
        <w:rPr>
          <w:szCs w:val="28"/>
        </w:rPr>
        <w:t xml:space="preserve"> provided a caveat to the “exceptional circumstances” test: “</w:t>
      </w:r>
      <w:r w:rsidRPr="009817FF">
        <w:rPr>
          <w:i/>
          <w:iCs/>
          <w:szCs w:val="28"/>
        </w:rPr>
        <w:t>Provided that the formula of “exceptional circumstances” is not turned into a straightjacket of its own, and the interests of justice and its constituents as laid down in the overriding principle are held closely to mind, I do not think that the proper balance will be lost</w:t>
      </w:r>
      <w:r w:rsidRPr="009817FF">
        <w:rPr>
          <w:szCs w:val="28"/>
        </w:rPr>
        <w:t>.”</w:t>
      </w:r>
      <w:r w:rsidRPr="009817FF">
        <w:rPr>
          <w:rStyle w:val="FootnoteReference"/>
          <w:szCs w:val="28"/>
        </w:rPr>
        <w:footnoteReference w:id="14"/>
      </w:r>
      <w:r w:rsidRPr="009817FF">
        <w:rPr>
          <w:szCs w:val="28"/>
        </w:rPr>
        <w:t xml:space="preserve"> Gibson LJ in </w:t>
      </w:r>
      <w:r w:rsidRPr="009817FF">
        <w:rPr>
          <w:i/>
          <w:iCs/>
          <w:szCs w:val="28"/>
        </w:rPr>
        <w:t>Robinson v Fernsby</w:t>
      </w:r>
      <w:r w:rsidRPr="009817FF">
        <w:rPr>
          <w:szCs w:val="28"/>
        </w:rPr>
        <w:t xml:space="preserve"> [2003] EWCA Civ 1820 commented: “… </w:t>
      </w:r>
      <w:r w:rsidRPr="009817FF">
        <w:rPr>
          <w:i/>
          <w:iCs/>
          <w:szCs w:val="28"/>
        </w:rPr>
        <w:t>circumstances may arise in which it is necessary for the judge to have the courage to recall his order.  If … the judge realises that he has made an error, how can he be true to his judicial oath other than by correcting that error so long as it lies within his power to do so?  No doubt that will happen only in exceptional circumstances, but I have serious misgivings about elevating that correct description of the circumstances when that occurs as exceptional into some sort of criterion for what is required…</w:t>
      </w:r>
      <w:r w:rsidRPr="009817FF">
        <w:rPr>
          <w:szCs w:val="28"/>
        </w:rPr>
        <w:t xml:space="preserve">” . </w:t>
      </w:r>
    </w:p>
    <w:p w14:paraId="1EF5F4EC" w14:textId="77777777" w:rsidR="00CB3070" w:rsidRPr="009817FF" w:rsidRDefault="00CB3070" w:rsidP="001A0E96">
      <w:pPr>
        <w:tabs>
          <w:tab w:val="clear" w:pos="4320"/>
          <w:tab w:val="clear" w:pos="9072"/>
        </w:tabs>
        <w:snapToGrid/>
        <w:spacing w:line="360" w:lineRule="auto"/>
        <w:jc w:val="both"/>
        <w:rPr>
          <w:szCs w:val="28"/>
        </w:rPr>
      </w:pPr>
    </w:p>
    <w:p w14:paraId="5CC1CEFC" w14:textId="77777777" w:rsidR="00CB3070" w:rsidRPr="009817FF" w:rsidRDefault="00CB3070" w:rsidP="00344BF9">
      <w:pPr>
        <w:numPr>
          <w:ilvl w:val="0"/>
          <w:numId w:val="4"/>
        </w:numPr>
        <w:tabs>
          <w:tab w:val="clear" w:pos="4320"/>
          <w:tab w:val="clear" w:pos="9072"/>
        </w:tabs>
        <w:snapToGrid/>
        <w:spacing w:line="360" w:lineRule="auto"/>
        <w:ind w:left="0" w:firstLine="0"/>
        <w:jc w:val="both"/>
        <w:rPr>
          <w:szCs w:val="28"/>
        </w:rPr>
      </w:pPr>
      <w:r w:rsidRPr="009817FF">
        <w:rPr>
          <w:szCs w:val="28"/>
        </w:rPr>
        <w:lastRenderedPageBreak/>
        <w:t>At the end of the analysis, Lady Hale held that the court was “</w:t>
      </w:r>
      <w:r w:rsidRPr="009817FF">
        <w:rPr>
          <w:i/>
          <w:iCs/>
          <w:szCs w:val="28"/>
        </w:rPr>
        <w:t>not bound by Re Barrell Enterprises or by any of the previous cases to hold that there is any such limitation upon the acknowledged jurisdiction of the judge to revisit his own decision at any time up until his resulting order is perfected</w:t>
      </w:r>
      <w:r w:rsidRPr="009817FF">
        <w:rPr>
          <w:szCs w:val="28"/>
        </w:rPr>
        <w:t>…</w:t>
      </w:r>
      <w:r w:rsidRPr="009817FF">
        <w:rPr>
          <w:i/>
          <w:iCs/>
          <w:szCs w:val="28"/>
        </w:rPr>
        <w:t>his overriding objective must be to deal with the case justly.  A relevant factor must be whether any party has acted upon the decision to his detriment…A carefully considered change of mind can be sufficient.  Every case is going to depend upon its particular circumstances</w:t>
      </w:r>
      <w:r w:rsidRPr="009817FF">
        <w:rPr>
          <w:rStyle w:val="FootnoteReference"/>
          <w:szCs w:val="28"/>
        </w:rPr>
        <w:footnoteReference w:id="15"/>
      </w:r>
      <w:r w:rsidRPr="009817FF">
        <w:rPr>
          <w:szCs w:val="28"/>
        </w:rPr>
        <w:t>”.</w:t>
      </w:r>
    </w:p>
    <w:p w14:paraId="122E7DCE" w14:textId="77777777" w:rsidR="00CB3070" w:rsidRPr="009817FF" w:rsidRDefault="00CB3070" w:rsidP="00E76697">
      <w:pPr>
        <w:pStyle w:val="ListParagraph"/>
        <w:spacing w:line="360" w:lineRule="auto"/>
        <w:rPr>
          <w:szCs w:val="28"/>
        </w:rPr>
      </w:pPr>
    </w:p>
    <w:p w14:paraId="1C9CFCAA" w14:textId="697690D4" w:rsidR="00CB3070" w:rsidRPr="009817FF" w:rsidRDefault="00CB3070" w:rsidP="00344BF9">
      <w:pPr>
        <w:numPr>
          <w:ilvl w:val="0"/>
          <w:numId w:val="4"/>
        </w:numPr>
        <w:tabs>
          <w:tab w:val="clear" w:pos="4320"/>
          <w:tab w:val="clear" w:pos="9072"/>
        </w:tabs>
        <w:snapToGrid/>
        <w:spacing w:line="360" w:lineRule="auto"/>
        <w:ind w:left="0" w:firstLine="0"/>
        <w:jc w:val="both"/>
        <w:rPr>
          <w:szCs w:val="28"/>
        </w:rPr>
      </w:pPr>
      <w:r w:rsidRPr="009817FF">
        <w:rPr>
          <w:szCs w:val="28"/>
        </w:rPr>
        <w:t>Thus it seems that the UK has moved away from the “</w:t>
      </w:r>
      <w:r w:rsidRPr="009817FF">
        <w:rPr>
          <w:i/>
          <w:iCs/>
          <w:szCs w:val="28"/>
        </w:rPr>
        <w:t>exceptional circumstances</w:t>
      </w:r>
      <w:r w:rsidRPr="009817FF">
        <w:rPr>
          <w:szCs w:val="28"/>
        </w:rPr>
        <w:t>” test and prefer</w:t>
      </w:r>
      <w:r>
        <w:rPr>
          <w:szCs w:val="28"/>
        </w:rPr>
        <w:t>s</w:t>
      </w:r>
      <w:r w:rsidRPr="009817FF">
        <w:rPr>
          <w:szCs w:val="28"/>
        </w:rPr>
        <w:t xml:space="preserve"> a test of “</w:t>
      </w:r>
      <w:r w:rsidRPr="009817FF">
        <w:rPr>
          <w:i/>
          <w:iCs/>
          <w:szCs w:val="28"/>
        </w:rPr>
        <w:t>dealing with the case justly</w:t>
      </w:r>
      <w:r w:rsidRPr="009817FF">
        <w:rPr>
          <w:szCs w:val="28"/>
        </w:rPr>
        <w:t>”</w:t>
      </w:r>
      <w:r>
        <w:rPr>
          <w:szCs w:val="28"/>
        </w:rPr>
        <w:t xml:space="preserve">.  However, </w:t>
      </w:r>
      <w:r w:rsidRPr="009817FF">
        <w:rPr>
          <w:szCs w:val="28"/>
        </w:rPr>
        <w:t xml:space="preserve">the Hong Kong Court of Appeal decision of </w:t>
      </w:r>
      <w:r w:rsidRPr="009817FF">
        <w:rPr>
          <w:rFonts w:eastAsia="Times New Roman"/>
          <w:i/>
          <w:iCs/>
          <w:color w:val="000000"/>
          <w:szCs w:val="28"/>
          <w:lang w:eastAsia="zh-TW"/>
        </w:rPr>
        <w:t>Sun Jianqiang</w:t>
      </w:r>
      <w:r w:rsidRPr="009817FF">
        <w:rPr>
          <w:rFonts w:eastAsia="Times New Roman"/>
          <w:color w:val="000000"/>
          <w:szCs w:val="28"/>
          <w:lang w:eastAsia="zh-TW"/>
        </w:rPr>
        <w:t xml:space="preserve"> is still good law and I am bound by it.  There may be good arguments for the Hong Kong position to mirror the UK position set out in </w:t>
      </w:r>
      <w:r w:rsidRPr="009817FF">
        <w:rPr>
          <w:rFonts w:eastAsia="Times New Roman"/>
          <w:i/>
          <w:iCs/>
          <w:color w:val="000000"/>
          <w:szCs w:val="28"/>
          <w:lang w:eastAsia="zh-TW"/>
        </w:rPr>
        <w:t>Re L and B (Reversal of Judgment)</w:t>
      </w:r>
      <w:r w:rsidRPr="009817FF">
        <w:rPr>
          <w:rFonts w:eastAsia="Times New Roman"/>
          <w:color w:val="000000"/>
          <w:szCs w:val="28"/>
          <w:lang w:eastAsia="zh-TW"/>
        </w:rPr>
        <w:t xml:space="preserve">, especially when the cases relied upon in </w:t>
      </w:r>
      <w:r w:rsidRPr="009817FF">
        <w:rPr>
          <w:rFonts w:eastAsia="Times New Roman"/>
          <w:i/>
          <w:iCs/>
          <w:color w:val="000000"/>
          <w:szCs w:val="28"/>
          <w:lang w:eastAsia="zh-TW"/>
        </w:rPr>
        <w:t>Sun Jianqiang</w:t>
      </w:r>
      <w:r w:rsidRPr="009817FF">
        <w:rPr>
          <w:rFonts w:eastAsia="Times New Roman"/>
          <w:color w:val="000000"/>
          <w:szCs w:val="28"/>
          <w:lang w:eastAsia="zh-TW"/>
        </w:rPr>
        <w:t xml:space="preserve"> are the ones discussed in </w:t>
      </w:r>
      <w:r w:rsidRPr="009817FF">
        <w:rPr>
          <w:rFonts w:eastAsia="Times New Roman"/>
          <w:i/>
          <w:iCs/>
          <w:color w:val="000000"/>
          <w:szCs w:val="28"/>
          <w:lang w:eastAsia="zh-TW"/>
        </w:rPr>
        <w:t>Re L and B (Reversal of Judgment)</w:t>
      </w:r>
      <w:r w:rsidRPr="009817FF">
        <w:rPr>
          <w:rFonts w:eastAsia="Times New Roman"/>
          <w:color w:val="000000"/>
          <w:szCs w:val="28"/>
          <w:lang w:eastAsia="zh-TW"/>
        </w:rPr>
        <w:t>.  However, counsel for both sides have not referred to either of these cases and given that I consider the failure to include the relevant calculation to be a clear mistake and omission</w:t>
      </w:r>
      <w:r w:rsidR="00C9271C">
        <w:rPr>
          <w:rFonts w:eastAsia="Times New Roman"/>
          <w:color w:val="000000"/>
          <w:szCs w:val="28"/>
          <w:lang w:eastAsia="zh-TW"/>
        </w:rPr>
        <w:t xml:space="preserve"> (as explained below)</w:t>
      </w:r>
      <w:r w:rsidRPr="009817FF">
        <w:rPr>
          <w:rFonts w:eastAsia="Times New Roman"/>
          <w:color w:val="000000"/>
          <w:szCs w:val="28"/>
          <w:lang w:eastAsia="zh-TW"/>
        </w:rPr>
        <w:t>, I do not consider it necessary in the present case to reconcile the position.</w:t>
      </w:r>
    </w:p>
    <w:p w14:paraId="4D95BB68" w14:textId="77777777" w:rsidR="00CB3070" w:rsidRPr="009817FF" w:rsidRDefault="00CB3070" w:rsidP="00E76697">
      <w:pPr>
        <w:tabs>
          <w:tab w:val="clear" w:pos="4320"/>
          <w:tab w:val="clear" w:pos="9072"/>
        </w:tabs>
        <w:snapToGrid/>
        <w:spacing w:line="360" w:lineRule="auto"/>
        <w:jc w:val="both"/>
        <w:rPr>
          <w:i/>
          <w:iCs/>
          <w:szCs w:val="28"/>
        </w:rPr>
      </w:pPr>
    </w:p>
    <w:p w14:paraId="044360B9" w14:textId="12EACA17" w:rsidR="00CB3070" w:rsidRPr="00C9271C" w:rsidRDefault="00CB3070" w:rsidP="00C9271C">
      <w:pPr>
        <w:pStyle w:val="ListParagraph"/>
        <w:numPr>
          <w:ilvl w:val="0"/>
          <w:numId w:val="27"/>
        </w:numPr>
        <w:tabs>
          <w:tab w:val="clear" w:pos="4320"/>
          <w:tab w:val="clear" w:pos="9072"/>
        </w:tabs>
        <w:snapToGrid/>
        <w:spacing w:line="360" w:lineRule="auto"/>
        <w:ind w:hanging="720"/>
        <w:jc w:val="both"/>
        <w:rPr>
          <w:i/>
          <w:iCs/>
          <w:szCs w:val="28"/>
        </w:rPr>
      </w:pPr>
      <w:r w:rsidRPr="00C9271C">
        <w:rPr>
          <w:i/>
          <w:iCs/>
          <w:szCs w:val="28"/>
        </w:rPr>
        <w:t>Disposition</w:t>
      </w:r>
    </w:p>
    <w:p w14:paraId="27E247D0" w14:textId="77777777" w:rsidR="00CB3070" w:rsidRPr="00D71F12" w:rsidRDefault="00CB3070" w:rsidP="00E76697">
      <w:pPr>
        <w:tabs>
          <w:tab w:val="clear" w:pos="4320"/>
          <w:tab w:val="clear" w:pos="9072"/>
        </w:tabs>
        <w:snapToGrid/>
        <w:spacing w:line="360" w:lineRule="auto"/>
        <w:jc w:val="both"/>
        <w:rPr>
          <w:szCs w:val="28"/>
        </w:rPr>
      </w:pPr>
    </w:p>
    <w:p w14:paraId="2EE9CFA7" w14:textId="77777777" w:rsidR="00CB3070" w:rsidRDefault="00CB3070" w:rsidP="00344BF9">
      <w:pPr>
        <w:numPr>
          <w:ilvl w:val="0"/>
          <w:numId w:val="4"/>
        </w:numPr>
        <w:tabs>
          <w:tab w:val="clear" w:pos="4320"/>
          <w:tab w:val="clear" w:pos="9072"/>
        </w:tabs>
        <w:snapToGrid/>
        <w:spacing w:line="360" w:lineRule="auto"/>
        <w:ind w:left="0" w:firstLine="0"/>
        <w:jc w:val="both"/>
        <w:rPr>
          <w:szCs w:val="28"/>
        </w:rPr>
      </w:pPr>
      <w:r w:rsidRPr="009817FF">
        <w:rPr>
          <w:szCs w:val="28"/>
        </w:rPr>
        <w:t>By reason of the following, I will exercise my power to amend the Judgment:</w:t>
      </w:r>
    </w:p>
    <w:p w14:paraId="5AD01262" w14:textId="77777777" w:rsidR="00CB3070" w:rsidRPr="009817FF" w:rsidRDefault="00CB3070" w:rsidP="00E76697">
      <w:pPr>
        <w:tabs>
          <w:tab w:val="clear" w:pos="4320"/>
          <w:tab w:val="clear" w:pos="9072"/>
        </w:tabs>
        <w:snapToGrid/>
        <w:spacing w:line="360" w:lineRule="auto"/>
        <w:jc w:val="both"/>
        <w:rPr>
          <w:szCs w:val="28"/>
        </w:rPr>
      </w:pPr>
    </w:p>
    <w:p w14:paraId="7B5E15D6" w14:textId="1F6CC4EA" w:rsidR="00CB3070" w:rsidRPr="009817FF" w:rsidRDefault="00CB3070" w:rsidP="00344BF9">
      <w:pPr>
        <w:pStyle w:val="ListParagraph"/>
        <w:numPr>
          <w:ilvl w:val="1"/>
          <w:numId w:val="4"/>
        </w:numPr>
        <w:tabs>
          <w:tab w:val="clear" w:pos="4320"/>
          <w:tab w:val="clear" w:pos="9072"/>
        </w:tabs>
        <w:snapToGrid/>
        <w:spacing w:line="360" w:lineRule="auto"/>
        <w:ind w:left="2160"/>
        <w:jc w:val="both"/>
        <w:rPr>
          <w:szCs w:val="28"/>
        </w:rPr>
      </w:pPr>
      <w:r w:rsidRPr="009817FF">
        <w:rPr>
          <w:szCs w:val="28"/>
        </w:rPr>
        <w:lastRenderedPageBreak/>
        <w:t>Pre-trial loss of earnings includes loss of ability of work due to the injury.  This loss includes a total loss (where a plaintiff is granted sick leave and is absent from work) or a partial loss (where a plaintiff’s ability to return to his pre-accident employment has been affected by the injury and could only find alternative employment at a lower rate of earnings)</w:t>
      </w:r>
      <w:r w:rsidRPr="009817FF">
        <w:rPr>
          <w:rStyle w:val="FootnoteReference"/>
          <w:szCs w:val="28"/>
        </w:rPr>
        <w:footnoteReference w:id="16"/>
      </w:r>
      <w:r w:rsidRPr="009817FF">
        <w:rPr>
          <w:szCs w:val="28"/>
        </w:rPr>
        <w:t xml:space="preserve">. In only calculating the loss of income during the sick leave period (15 September 2015 to 19 October 2016) there was a clear omission on my part to include in the calculation the pre-trial loss of earnings &amp; MPF for the period from 20 October 2016 to 14 January 2020 (the date of the Judgment). </w:t>
      </w:r>
      <w:r w:rsidR="00344BF9">
        <w:rPr>
          <w:szCs w:val="28"/>
        </w:rPr>
        <w:t xml:space="preserve"> </w:t>
      </w:r>
      <w:r w:rsidRPr="009817FF">
        <w:rPr>
          <w:szCs w:val="28"/>
        </w:rPr>
        <w:t>There was no reason (contrary to the defendants’ suggestion) for not including the period from 20 October 2016 to 14 January 2020 in the calculation</w:t>
      </w:r>
      <w:r>
        <w:rPr>
          <w:szCs w:val="28"/>
        </w:rPr>
        <w:t xml:space="preserve"> of pre-trial loss of earnings</w:t>
      </w:r>
      <w:r w:rsidRPr="009817FF">
        <w:rPr>
          <w:szCs w:val="28"/>
        </w:rPr>
        <w:t>.</w:t>
      </w:r>
    </w:p>
    <w:p w14:paraId="6378A395" w14:textId="77777777" w:rsidR="00CB3070" w:rsidRPr="009817FF" w:rsidRDefault="00CB3070" w:rsidP="00344BF9">
      <w:pPr>
        <w:pStyle w:val="ListParagraph"/>
        <w:tabs>
          <w:tab w:val="clear" w:pos="4320"/>
          <w:tab w:val="clear" w:pos="9072"/>
        </w:tabs>
        <w:snapToGrid/>
        <w:spacing w:line="360" w:lineRule="auto"/>
        <w:ind w:left="2160" w:hanging="720"/>
        <w:jc w:val="both"/>
        <w:rPr>
          <w:szCs w:val="28"/>
        </w:rPr>
      </w:pPr>
    </w:p>
    <w:p w14:paraId="26287A40" w14:textId="77777777" w:rsidR="00CB3070" w:rsidRPr="009817FF" w:rsidRDefault="00CB3070" w:rsidP="00344BF9">
      <w:pPr>
        <w:pStyle w:val="ListParagraph"/>
        <w:numPr>
          <w:ilvl w:val="1"/>
          <w:numId w:val="4"/>
        </w:numPr>
        <w:tabs>
          <w:tab w:val="clear" w:pos="4320"/>
          <w:tab w:val="clear" w:pos="9072"/>
        </w:tabs>
        <w:snapToGrid/>
        <w:spacing w:line="360" w:lineRule="auto"/>
        <w:ind w:left="2160"/>
        <w:jc w:val="both"/>
        <w:rPr>
          <w:szCs w:val="28"/>
        </w:rPr>
      </w:pPr>
      <w:r w:rsidRPr="009817FF">
        <w:rPr>
          <w:szCs w:val="28"/>
        </w:rPr>
        <w:t xml:space="preserve">The plaintiff had all along in his opening submissions and closing submissions claimed pre-trial loss of earnings for the whole period of the sick leave granted (15 September 2015 to 5 May 2019) plus up to the date of the trial.  It is therefore not </w:t>
      </w:r>
      <w:r>
        <w:rPr>
          <w:szCs w:val="28"/>
        </w:rPr>
        <w:t xml:space="preserve">the case </w:t>
      </w:r>
      <w:r w:rsidRPr="009817FF">
        <w:rPr>
          <w:szCs w:val="28"/>
        </w:rPr>
        <w:t xml:space="preserve">that the plaintiff is only </w:t>
      </w:r>
      <w:r>
        <w:rPr>
          <w:szCs w:val="28"/>
        </w:rPr>
        <w:t>claiming</w:t>
      </w:r>
      <w:r w:rsidRPr="009817FF">
        <w:rPr>
          <w:szCs w:val="28"/>
        </w:rPr>
        <w:t xml:space="preserve"> </w:t>
      </w:r>
      <w:r>
        <w:rPr>
          <w:szCs w:val="28"/>
        </w:rPr>
        <w:t>for the said period in hindsight.</w:t>
      </w:r>
    </w:p>
    <w:p w14:paraId="79E6AB09" w14:textId="77777777" w:rsidR="00CB3070" w:rsidRPr="009817FF" w:rsidRDefault="00CB3070" w:rsidP="00344BF9">
      <w:pPr>
        <w:pStyle w:val="ListParagraph"/>
        <w:spacing w:line="360" w:lineRule="auto"/>
        <w:ind w:left="2160" w:hanging="720"/>
        <w:rPr>
          <w:szCs w:val="28"/>
        </w:rPr>
      </w:pPr>
    </w:p>
    <w:p w14:paraId="213C648B" w14:textId="77777777" w:rsidR="00CB3070" w:rsidRPr="009817FF" w:rsidRDefault="00CB3070" w:rsidP="00344BF9">
      <w:pPr>
        <w:pStyle w:val="ListParagraph"/>
        <w:numPr>
          <w:ilvl w:val="1"/>
          <w:numId w:val="4"/>
        </w:numPr>
        <w:tabs>
          <w:tab w:val="clear" w:pos="4320"/>
          <w:tab w:val="clear" w:pos="9072"/>
        </w:tabs>
        <w:snapToGrid/>
        <w:spacing w:line="360" w:lineRule="auto"/>
        <w:ind w:left="2160"/>
        <w:jc w:val="both"/>
        <w:rPr>
          <w:szCs w:val="28"/>
        </w:rPr>
      </w:pPr>
      <w:r w:rsidRPr="009817FF">
        <w:rPr>
          <w:szCs w:val="28"/>
        </w:rPr>
        <w:t xml:space="preserve">In the defendant’s opening and closing submissions, their position is that the plaintiff could have resumed his pre-accident job from 20 October 2016, and hence </w:t>
      </w:r>
      <w:r w:rsidRPr="009817FF">
        <w:rPr>
          <w:szCs w:val="28"/>
        </w:rPr>
        <w:lastRenderedPageBreak/>
        <w:t>any pre-trial loss of income would only be calculated up to 19 October 2016.  There was no submission on what would be the position in the event that the Court holds that the plaintiff would be able to work but in an alternative job.</w:t>
      </w:r>
    </w:p>
    <w:p w14:paraId="24E9EE1B" w14:textId="77777777" w:rsidR="00CB3070" w:rsidRPr="009817FF" w:rsidRDefault="00CB3070" w:rsidP="00344BF9">
      <w:pPr>
        <w:pStyle w:val="ListParagraph"/>
        <w:spacing w:line="360" w:lineRule="auto"/>
        <w:ind w:left="2160" w:hanging="720"/>
        <w:rPr>
          <w:szCs w:val="28"/>
        </w:rPr>
      </w:pPr>
    </w:p>
    <w:p w14:paraId="3D6051D5" w14:textId="6FBC5764" w:rsidR="00CB3070" w:rsidRPr="009817FF" w:rsidRDefault="00CB3070" w:rsidP="00344BF9">
      <w:pPr>
        <w:pStyle w:val="ListParagraph"/>
        <w:numPr>
          <w:ilvl w:val="1"/>
          <w:numId w:val="4"/>
        </w:numPr>
        <w:tabs>
          <w:tab w:val="clear" w:pos="4320"/>
          <w:tab w:val="clear" w:pos="9072"/>
        </w:tabs>
        <w:snapToGrid/>
        <w:spacing w:line="360" w:lineRule="auto"/>
        <w:ind w:left="2160"/>
        <w:jc w:val="both"/>
        <w:rPr>
          <w:szCs w:val="28"/>
        </w:rPr>
      </w:pPr>
      <w:r>
        <w:rPr>
          <w:szCs w:val="28"/>
        </w:rPr>
        <w:t>T</w:t>
      </w:r>
      <w:r w:rsidRPr="009817FF">
        <w:rPr>
          <w:szCs w:val="28"/>
        </w:rPr>
        <w:t>he plaintiff had put forward evidence</w:t>
      </w:r>
      <w:r w:rsidR="00C9271C">
        <w:rPr>
          <w:szCs w:val="28"/>
        </w:rPr>
        <w:t xml:space="preserve"> at trial</w:t>
      </w:r>
      <w:r w:rsidRPr="009817FF">
        <w:rPr>
          <w:szCs w:val="28"/>
        </w:rPr>
        <w:t xml:space="preserve"> that he had planned to change jobs to a security guard in May 2016.  If the defendants </w:t>
      </w:r>
      <w:r w:rsidR="00C9271C">
        <w:rPr>
          <w:szCs w:val="28"/>
        </w:rPr>
        <w:t xml:space="preserve">had wished </w:t>
      </w:r>
      <w:r w:rsidRPr="009817FF">
        <w:rPr>
          <w:szCs w:val="28"/>
        </w:rPr>
        <w:t xml:space="preserve">to challenge this piece of evidence and say that the plaintiff was capable of working at a job that is “a better alternative”, they </w:t>
      </w:r>
      <w:r w:rsidR="00C9271C">
        <w:rPr>
          <w:szCs w:val="28"/>
        </w:rPr>
        <w:t>would</w:t>
      </w:r>
      <w:r w:rsidR="00C9271C" w:rsidRPr="009817FF">
        <w:rPr>
          <w:szCs w:val="28"/>
        </w:rPr>
        <w:t xml:space="preserve"> </w:t>
      </w:r>
      <w:r w:rsidRPr="009817FF">
        <w:rPr>
          <w:szCs w:val="28"/>
        </w:rPr>
        <w:t>need to put forward evidence.  They had not done so at trial.  The Court is entitled to rely on the available evidence to reach a conclusion on what alternative job the plaintiff was able to take up from 20 October 2016 onwards.</w:t>
      </w:r>
    </w:p>
    <w:p w14:paraId="333031EB" w14:textId="77777777" w:rsidR="00CB3070" w:rsidRPr="009817FF" w:rsidRDefault="00CB3070" w:rsidP="00344BF9">
      <w:pPr>
        <w:pStyle w:val="ListParagraph"/>
        <w:spacing w:line="360" w:lineRule="auto"/>
        <w:ind w:left="2160" w:hanging="720"/>
        <w:rPr>
          <w:szCs w:val="28"/>
        </w:rPr>
      </w:pPr>
    </w:p>
    <w:p w14:paraId="5AF7E088" w14:textId="77777777" w:rsidR="00CB3070" w:rsidRPr="009817FF" w:rsidRDefault="00CB3070" w:rsidP="00344BF9">
      <w:pPr>
        <w:pStyle w:val="ListParagraph"/>
        <w:numPr>
          <w:ilvl w:val="1"/>
          <w:numId w:val="4"/>
        </w:numPr>
        <w:tabs>
          <w:tab w:val="clear" w:pos="4320"/>
          <w:tab w:val="clear" w:pos="9072"/>
        </w:tabs>
        <w:snapToGrid/>
        <w:spacing w:line="360" w:lineRule="auto"/>
        <w:ind w:left="2160"/>
        <w:jc w:val="both"/>
        <w:rPr>
          <w:szCs w:val="28"/>
        </w:rPr>
      </w:pPr>
      <w:r w:rsidRPr="009817FF">
        <w:rPr>
          <w:szCs w:val="28"/>
        </w:rPr>
        <w:t>In providing for the pre-trial loss of earnings &amp; MPF for the period from 20 October 2016 to 14 January 2020, there is no “reconsideration” or “changing of one’s mind”.  It is simply to provide for an essential part of the calculation which had unfortunately been omitted.  I do not consider this to be in any way “subverting the appeal process”.</w:t>
      </w:r>
    </w:p>
    <w:p w14:paraId="7450B5E1" w14:textId="77777777" w:rsidR="00CB3070" w:rsidRPr="009817FF" w:rsidRDefault="00CB3070" w:rsidP="00E76697">
      <w:pPr>
        <w:pStyle w:val="ListParagraph"/>
        <w:spacing w:line="360" w:lineRule="auto"/>
        <w:rPr>
          <w:szCs w:val="28"/>
        </w:rPr>
      </w:pPr>
    </w:p>
    <w:p w14:paraId="575E78F1" w14:textId="55426039" w:rsidR="00CB3070" w:rsidRPr="009817FF" w:rsidRDefault="00CB3070" w:rsidP="00C9271C">
      <w:pPr>
        <w:pStyle w:val="ListParagraph"/>
        <w:numPr>
          <w:ilvl w:val="0"/>
          <w:numId w:val="27"/>
        </w:numPr>
        <w:tabs>
          <w:tab w:val="clear" w:pos="4320"/>
          <w:tab w:val="clear" w:pos="9072"/>
        </w:tabs>
        <w:spacing w:line="360" w:lineRule="auto"/>
        <w:ind w:hanging="720"/>
        <w:jc w:val="both"/>
        <w:rPr>
          <w:i/>
          <w:iCs/>
          <w:szCs w:val="28"/>
        </w:rPr>
      </w:pPr>
      <w:r w:rsidRPr="009817FF">
        <w:rPr>
          <w:i/>
          <w:iCs/>
          <w:szCs w:val="28"/>
        </w:rPr>
        <w:t xml:space="preserve">Calculation of Pre-Trial Loss of </w:t>
      </w:r>
      <w:r>
        <w:rPr>
          <w:i/>
          <w:iCs/>
          <w:szCs w:val="28"/>
        </w:rPr>
        <w:t>E</w:t>
      </w:r>
      <w:r w:rsidRPr="009817FF">
        <w:rPr>
          <w:i/>
          <w:iCs/>
          <w:szCs w:val="28"/>
        </w:rPr>
        <w:t>arnings &amp; MPF for the period from 20 October 2016 to 14 January 2020</w:t>
      </w:r>
    </w:p>
    <w:p w14:paraId="5E52874C" w14:textId="77777777" w:rsidR="00CB3070" w:rsidRPr="009817FF" w:rsidRDefault="00CB3070" w:rsidP="00E76697">
      <w:pPr>
        <w:pStyle w:val="ListParagraph"/>
        <w:tabs>
          <w:tab w:val="clear" w:pos="4320"/>
          <w:tab w:val="clear" w:pos="9072"/>
        </w:tabs>
        <w:spacing w:line="360" w:lineRule="auto"/>
        <w:jc w:val="both"/>
        <w:rPr>
          <w:i/>
          <w:iCs/>
          <w:szCs w:val="28"/>
        </w:rPr>
      </w:pPr>
    </w:p>
    <w:p w14:paraId="1F1D4EF8" w14:textId="77777777" w:rsidR="00CB3070" w:rsidRDefault="00CB3070" w:rsidP="00344BF9">
      <w:pPr>
        <w:numPr>
          <w:ilvl w:val="0"/>
          <w:numId w:val="4"/>
        </w:numPr>
        <w:tabs>
          <w:tab w:val="clear" w:pos="4320"/>
          <w:tab w:val="clear" w:pos="9072"/>
        </w:tabs>
        <w:snapToGrid/>
        <w:spacing w:line="360" w:lineRule="auto"/>
        <w:ind w:left="0" w:firstLine="0"/>
        <w:jc w:val="both"/>
        <w:rPr>
          <w:szCs w:val="28"/>
        </w:rPr>
      </w:pPr>
      <w:r>
        <w:rPr>
          <w:szCs w:val="28"/>
        </w:rPr>
        <w:lastRenderedPageBreak/>
        <w:t xml:space="preserve">Mr Cheung (counsel for the plaintiff) urges the court to make use of the statistics from the Census and Statistics Department (the “CSD”) to calculate the pre-trial loss of earnings.  </w:t>
      </w:r>
    </w:p>
    <w:p w14:paraId="426B4A33" w14:textId="77777777" w:rsidR="00CB3070" w:rsidRDefault="00CB3070" w:rsidP="00E76697">
      <w:pPr>
        <w:tabs>
          <w:tab w:val="clear" w:pos="4320"/>
          <w:tab w:val="clear" w:pos="9072"/>
        </w:tabs>
        <w:snapToGrid/>
        <w:spacing w:line="360" w:lineRule="auto"/>
        <w:jc w:val="both"/>
        <w:rPr>
          <w:szCs w:val="28"/>
        </w:rPr>
      </w:pPr>
    </w:p>
    <w:p w14:paraId="290A52A8" w14:textId="138275BC" w:rsidR="00CB3070" w:rsidRPr="00787709" w:rsidRDefault="00CB3070" w:rsidP="00344BF9">
      <w:pPr>
        <w:numPr>
          <w:ilvl w:val="0"/>
          <w:numId w:val="4"/>
        </w:numPr>
        <w:tabs>
          <w:tab w:val="clear" w:pos="4320"/>
          <w:tab w:val="clear" w:pos="9072"/>
        </w:tabs>
        <w:snapToGrid/>
        <w:spacing w:line="360" w:lineRule="auto"/>
        <w:ind w:left="0" w:firstLine="0"/>
        <w:jc w:val="both"/>
        <w:rPr>
          <w:szCs w:val="28"/>
        </w:rPr>
      </w:pPr>
      <w:r w:rsidRPr="00787709">
        <w:rPr>
          <w:szCs w:val="28"/>
        </w:rPr>
        <w:t xml:space="preserve">Mr Cheung adopted the court’s finding in §72-73 of the Judgment that as at October 2016, the plaintiff, but for the accident, could have earned a daily wage of HK$999.3 and a monthly salary of HK$21,279.5 as a construction worker.  Mr Cheung then produced, as a new authority, the Average Daily Wages of Workers Engaged in Public Sector Construction Projects as reported by main contractors for January 2020 from CSD, which shows that the average daily wage has decreased to HK$985.1.  This he says shows </w:t>
      </w:r>
      <w:r w:rsidRPr="00787709">
        <w:rPr>
          <w:rFonts w:eastAsia="TimesNewRomanPSMT"/>
          <w:szCs w:val="28"/>
        </w:rPr>
        <w:t xml:space="preserve">a decrease of about 1.4% in the average daily wage between October 2016 and January 2020. </w:t>
      </w:r>
      <w:r w:rsidR="00344BF9">
        <w:rPr>
          <w:rFonts w:eastAsia="TimesNewRomanPSMT"/>
          <w:szCs w:val="28"/>
        </w:rPr>
        <w:t xml:space="preserve"> </w:t>
      </w:r>
      <w:r w:rsidRPr="00787709">
        <w:rPr>
          <w:rFonts w:eastAsia="TimesNewRomanPSMT"/>
          <w:szCs w:val="28"/>
        </w:rPr>
        <w:t>Accordingly, in January 2020, but for the Accident, P could have earned a monthly salary of HK$21,279.5 x 98.6 %= HK$20,981.59.</w:t>
      </w:r>
    </w:p>
    <w:p w14:paraId="0C11BF7E" w14:textId="77777777" w:rsidR="00CB3070" w:rsidRPr="00787709" w:rsidRDefault="00CB3070" w:rsidP="00E76697">
      <w:pPr>
        <w:pStyle w:val="ListParagraph"/>
        <w:spacing w:line="360" w:lineRule="auto"/>
        <w:rPr>
          <w:szCs w:val="28"/>
        </w:rPr>
      </w:pPr>
    </w:p>
    <w:p w14:paraId="1FEBEAB0" w14:textId="77777777" w:rsidR="00CB3070" w:rsidRDefault="00CB3070" w:rsidP="00344BF9">
      <w:pPr>
        <w:numPr>
          <w:ilvl w:val="0"/>
          <w:numId w:val="4"/>
        </w:numPr>
        <w:tabs>
          <w:tab w:val="clear" w:pos="4320"/>
          <w:tab w:val="clear" w:pos="9072"/>
        </w:tabs>
        <w:snapToGrid/>
        <w:spacing w:line="360" w:lineRule="auto"/>
        <w:ind w:left="0" w:firstLine="0"/>
        <w:jc w:val="both"/>
        <w:rPr>
          <w:szCs w:val="28"/>
        </w:rPr>
      </w:pPr>
      <w:r>
        <w:rPr>
          <w:szCs w:val="28"/>
        </w:rPr>
        <w:t>Mr Cheung then adopted HK$21,130.55 (being the average of HK$21,279.5 and HK$20,981.59) as the monthly earnings as a construction worker from October 2016 to January 2020.</w:t>
      </w:r>
    </w:p>
    <w:p w14:paraId="38973855" w14:textId="77777777" w:rsidR="00CB3070" w:rsidRDefault="00CB3070" w:rsidP="00E76697">
      <w:pPr>
        <w:pStyle w:val="ListParagraph"/>
        <w:spacing w:line="360" w:lineRule="auto"/>
        <w:rPr>
          <w:szCs w:val="28"/>
        </w:rPr>
      </w:pPr>
    </w:p>
    <w:p w14:paraId="1C58D8EB" w14:textId="77777777" w:rsidR="00CB3070" w:rsidRDefault="00CB3070" w:rsidP="00344BF9">
      <w:pPr>
        <w:numPr>
          <w:ilvl w:val="0"/>
          <w:numId w:val="4"/>
        </w:numPr>
        <w:tabs>
          <w:tab w:val="clear" w:pos="4320"/>
          <w:tab w:val="clear" w:pos="9072"/>
        </w:tabs>
        <w:snapToGrid/>
        <w:spacing w:line="360" w:lineRule="auto"/>
        <w:ind w:left="0" w:firstLine="0"/>
        <w:jc w:val="both"/>
        <w:rPr>
          <w:szCs w:val="28"/>
        </w:rPr>
      </w:pPr>
      <w:r>
        <w:rPr>
          <w:szCs w:val="28"/>
        </w:rPr>
        <w:t>On the other hand, the CSD figures show that the average monthly salary of a security guard in September 2016 is HK$12,068.  By 2019, the figure is HK$13,094.  Mr Cheung then adopted HK$12,581 (being the average of HK$12,068 and HK$13,094) as the monthly earnings as a security guard from 20 October 2016 to 14 January 2020.</w:t>
      </w:r>
    </w:p>
    <w:p w14:paraId="17866027" w14:textId="77777777" w:rsidR="00CB3070" w:rsidRDefault="00CB3070" w:rsidP="00E76697">
      <w:pPr>
        <w:pStyle w:val="ListParagraph"/>
        <w:spacing w:line="360" w:lineRule="auto"/>
        <w:rPr>
          <w:szCs w:val="28"/>
        </w:rPr>
      </w:pPr>
    </w:p>
    <w:p w14:paraId="1923752A" w14:textId="77777777" w:rsidR="00CB3070" w:rsidRPr="00DC58F5" w:rsidRDefault="00CB3070" w:rsidP="00344BF9">
      <w:pPr>
        <w:numPr>
          <w:ilvl w:val="0"/>
          <w:numId w:val="4"/>
        </w:numPr>
        <w:tabs>
          <w:tab w:val="clear" w:pos="4320"/>
          <w:tab w:val="clear" w:pos="9072"/>
        </w:tabs>
        <w:snapToGrid/>
        <w:spacing w:line="360" w:lineRule="auto"/>
        <w:ind w:left="0" w:firstLine="0"/>
        <w:jc w:val="both"/>
        <w:rPr>
          <w:szCs w:val="28"/>
        </w:rPr>
      </w:pPr>
      <w:r w:rsidRPr="00DC58F5">
        <w:rPr>
          <w:szCs w:val="28"/>
        </w:rPr>
        <w:lastRenderedPageBreak/>
        <w:t xml:space="preserve">There are 1181 days between 20 October 2016 to 14 January 2020.  The pre-trial loss of earnings &amp; MPF between 20 October 2016 to 14 January 2020 is thus: </w:t>
      </w:r>
      <w:r w:rsidRPr="00DC58F5">
        <w:rPr>
          <w:rFonts w:eastAsia="TimesNewRomanPSMT"/>
          <w:szCs w:val="28"/>
        </w:rPr>
        <w:t>(HK$21,130.55 - HK$12,581) x 1181/365 x</w:t>
      </w:r>
    </w:p>
    <w:p w14:paraId="00527A31" w14:textId="77777777" w:rsidR="00CB3070" w:rsidRPr="00344BF9" w:rsidRDefault="00CB3070" w:rsidP="00E76697">
      <w:pPr>
        <w:autoSpaceDE w:val="0"/>
        <w:autoSpaceDN w:val="0"/>
        <w:adjustRightInd w:val="0"/>
        <w:spacing w:line="360" w:lineRule="auto"/>
        <w:rPr>
          <w:rFonts w:eastAsia="TimesNewRomanPS-BoldMT"/>
          <w:bCs/>
          <w:szCs w:val="28"/>
        </w:rPr>
      </w:pPr>
      <w:r w:rsidRPr="00DC58F5">
        <w:rPr>
          <w:rFonts w:eastAsia="TimesNewRomanPSMT"/>
          <w:szCs w:val="28"/>
        </w:rPr>
        <w:t xml:space="preserve">12 months x 1.05 = </w:t>
      </w:r>
      <w:r w:rsidRPr="00505FEF">
        <w:rPr>
          <w:rFonts w:eastAsia="TimesNewRomanPS-BoldMT"/>
          <w:szCs w:val="28"/>
        </w:rPr>
        <w:t>HK$348,554.61</w:t>
      </w:r>
      <w:r>
        <w:rPr>
          <w:rFonts w:eastAsia="TimesNewRomanPS-BoldMT"/>
          <w:szCs w:val="28"/>
        </w:rPr>
        <w:t>.</w:t>
      </w:r>
    </w:p>
    <w:p w14:paraId="17D20794" w14:textId="77777777" w:rsidR="00CB3070" w:rsidRPr="00344BF9" w:rsidRDefault="00CB3070" w:rsidP="00E76697">
      <w:pPr>
        <w:autoSpaceDE w:val="0"/>
        <w:autoSpaceDN w:val="0"/>
        <w:adjustRightInd w:val="0"/>
        <w:spacing w:line="360" w:lineRule="auto"/>
        <w:rPr>
          <w:rFonts w:eastAsia="TimesNewRomanPS-BoldMT"/>
          <w:bCs/>
          <w:szCs w:val="28"/>
        </w:rPr>
      </w:pPr>
    </w:p>
    <w:p w14:paraId="6F7979BA" w14:textId="77777777" w:rsidR="00CB3070" w:rsidRPr="00787709" w:rsidRDefault="00CB3070" w:rsidP="00344BF9">
      <w:pPr>
        <w:numPr>
          <w:ilvl w:val="0"/>
          <w:numId w:val="4"/>
        </w:numPr>
        <w:tabs>
          <w:tab w:val="clear" w:pos="4320"/>
          <w:tab w:val="clear" w:pos="9072"/>
        </w:tabs>
        <w:snapToGrid/>
        <w:spacing w:line="360" w:lineRule="auto"/>
        <w:ind w:left="0" w:firstLine="0"/>
        <w:jc w:val="both"/>
        <w:rPr>
          <w:szCs w:val="28"/>
        </w:rPr>
      </w:pPr>
      <w:r>
        <w:rPr>
          <w:szCs w:val="28"/>
        </w:rPr>
        <w:t xml:space="preserve">As Mr Cheung has referred to the </w:t>
      </w:r>
      <w:r w:rsidRPr="00787709">
        <w:rPr>
          <w:szCs w:val="28"/>
        </w:rPr>
        <w:t>Average Daily Wages of Workers Engaged in Public Sector Construction Projects as reported by main contractors for January 2020 from CSD</w:t>
      </w:r>
      <w:r>
        <w:rPr>
          <w:szCs w:val="28"/>
        </w:rPr>
        <w:t xml:space="preserve"> and adopted a monthly salary of HK$20,981.59, he fairly conceded that to be consistent, the court ought to adopt the same figure in the calculation of the post-trial loss of earnings in §77 of the Judgment as well.  Hence, §77 ought to be amended to reflect the amended figure as well.  The post-trial loss of earnings should thus be: (HK$20,981.59 – HK$13,094) x 12 months x 8.4 x 1.05 = HK$834,822.53.  This is a lower figure than previously awarded.</w:t>
      </w:r>
    </w:p>
    <w:p w14:paraId="223FC0EB" w14:textId="77777777" w:rsidR="00CB3070" w:rsidRDefault="00CB3070" w:rsidP="00E76697">
      <w:pPr>
        <w:tabs>
          <w:tab w:val="clear" w:pos="4320"/>
          <w:tab w:val="clear" w:pos="9072"/>
        </w:tabs>
        <w:snapToGrid/>
        <w:spacing w:line="360" w:lineRule="auto"/>
        <w:jc w:val="both"/>
        <w:rPr>
          <w:szCs w:val="28"/>
        </w:rPr>
      </w:pPr>
    </w:p>
    <w:p w14:paraId="02D8C407" w14:textId="77777777" w:rsidR="00CB3070" w:rsidRDefault="00CB3070" w:rsidP="00344BF9">
      <w:pPr>
        <w:numPr>
          <w:ilvl w:val="0"/>
          <w:numId w:val="4"/>
        </w:numPr>
        <w:tabs>
          <w:tab w:val="clear" w:pos="4320"/>
          <w:tab w:val="clear" w:pos="9072"/>
        </w:tabs>
        <w:snapToGrid/>
        <w:spacing w:line="360" w:lineRule="auto"/>
        <w:ind w:left="0" w:firstLine="0"/>
        <w:jc w:val="both"/>
        <w:rPr>
          <w:szCs w:val="28"/>
        </w:rPr>
      </w:pPr>
      <w:r>
        <w:rPr>
          <w:szCs w:val="28"/>
        </w:rPr>
        <w:t>One would have thought the above calculations should be relatively non-contentious as the court has repeatedly based its calculations using the statistics from the CSD in personal injuries cases.  Mr Ho, counsel for the defendant, however have the following objections:</w:t>
      </w:r>
    </w:p>
    <w:p w14:paraId="50E4ED0D" w14:textId="77777777" w:rsidR="00CB3070" w:rsidRDefault="00CB3070" w:rsidP="00E76697">
      <w:pPr>
        <w:pStyle w:val="ListParagraph"/>
        <w:spacing w:line="360" w:lineRule="auto"/>
        <w:rPr>
          <w:szCs w:val="28"/>
        </w:rPr>
      </w:pPr>
    </w:p>
    <w:p w14:paraId="7966E184" w14:textId="19F68A61" w:rsidR="00CB3070" w:rsidRDefault="008D6E0D" w:rsidP="008D6E0D">
      <w:pPr>
        <w:pStyle w:val="ListParagraph"/>
        <w:tabs>
          <w:tab w:val="clear" w:pos="1440"/>
          <w:tab w:val="clear" w:pos="4320"/>
          <w:tab w:val="clear" w:pos="9072"/>
          <w:tab w:val="left" w:pos="2160"/>
        </w:tabs>
        <w:snapToGrid/>
        <w:spacing w:line="360" w:lineRule="auto"/>
        <w:ind w:left="2160" w:hanging="720"/>
        <w:jc w:val="both"/>
        <w:rPr>
          <w:szCs w:val="28"/>
        </w:rPr>
      </w:pPr>
      <w:r>
        <w:rPr>
          <w:szCs w:val="28"/>
        </w:rPr>
        <w:t>(i)</w:t>
      </w:r>
      <w:r>
        <w:rPr>
          <w:szCs w:val="28"/>
        </w:rPr>
        <w:tab/>
      </w:r>
      <w:r w:rsidR="00CB3070" w:rsidRPr="00505FEF">
        <w:rPr>
          <w:szCs w:val="28"/>
        </w:rPr>
        <w:t xml:space="preserve">to adopt the calculations put forward by Mr Cheung would be to allow the defendant to have a second bite of the cherry.  His argument runs thus: in the opening and closing submissions filed by Mr Cheung, the plaintiff had refused to rely on CSD data and preferred to rely on </w:t>
      </w:r>
      <w:r w:rsidR="00CB3070">
        <w:rPr>
          <w:szCs w:val="28"/>
        </w:rPr>
        <w:t>the plaintiff’s</w:t>
      </w:r>
      <w:r w:rsidR="00CB3070" w:rsidRPr="00505FEF">
        <w:rPr>
          <w:szCs w:val="28"/>
        </w:rPr>
        <w:t xml:space="preserve"> actual earnings as a security guard from 1 March 2019 to 1 October 2019 in the calculation of pre-trial loss of earnings.  In the </w:t>
      </w:r>
      <w:r w:rsidR="00CB3070" w:rsidRPr="00505FEF">
        <w:rPr>
          <w:szCs w:val="28"/>
        </w:rPr>
        <w:lastRenderedPageBreak/>
        <w:t>Judgment, I rejected using the actual earnings and adopted the CSD statistics, as there was no reason put forward by the plaintiff as to why his actual earnings (HK$8,742.9) were so much lower than the CSD statistics of HK$13,094.</w:t>
      </w:r>
      <w:r w:rsidR="00CB3070">
        <w:rPr>
          <w:szCs w:val="28"/>
        </w:rPr>
        <w:t xml:space="preserve">  -- I do not think this is a valid objection.  In urging the court to adopt the CSD statistics in the calculations now, Mr Cheung is simply basing his calculations in a way that is consistent with what the court adopted in the Judgment.  There is no dispute that the pre-trial loss of earnings </w:t>
      </w:r>
      <w:r w:rsidR="00CB3070" w:rsidRPr="008A7D4B">
        <w:rPr>
          <w:szCs w:val="28"/>
        </w:rPr>
        <w:t>for the period from 20 October 2016 to 14 January 2020</w:t>
      </w:r>
      <w:r w:rsidR="00CB3070">
        <w:rPr>
          <w:szCs w:val="28"/>
        </w:rPr>
        <w:t xml:space="preserve"> (if the Court is of the view that the plaintiff could and should obtain alternative employment) was not canvassed during trial.  There can thus no room to argue (as Mr Ho does) that this is “re-opening matters which had been ruled by the court” or “to add new matters to his case”.</w:t>
      </w:r>
    </w:p>
    <w:p w14:paraId="7AE674F8" w14:textId="77777777" w:rsidR="00CB3070" w:rsidRDefault="00CB3070" w:rsidP="008D6E0D">
      <w:pPr>
        <w:pStyle w:val="ListParagraph"/>
        <w:tabs>
          <w:tab w:val="clear" w:pos="1440"/>
          <w:tab w:val="clear" w:pos="4320"/>
          <w:tab w:val="clear" w:pos="9072"/>
          <w:tab w:val="left" w:pos="2880"/>
        </w:tabs>
        <w:snapToGrid/>
        <w:spacing w:line="360" w:lineRule="auto"/>
        <w:ind w:left="2880" w:hanging="720"/>
        <w:jc w:val="both"/>
        <w:rPr>
          <w:szCs w:val="28"/>
        </w:rPr>
      </w:pPr>
    </w:p>
    <w:p w14:paraId="76223D36" w14:textId="69571808" w:rsidR="00CB3070" w:rsidRPr="00505FEF" w:rsidRDefault="008D6E0D" w:rsidP="008D6E0D">
      <w:pPr>
        <w:pStyle w:val="ListParagraph"/>
        <w:tabs>
          <w:tab w:val="clear" w:pos="1440"/>
          <w:tab w:val="clear" w:pos="4320"/>
          <w:tab w:val="clear" w:pos="9072"/>
          <w:tab w:val="left" w:pos="2160"/>
        </w:tabs>
        <w:snapToGrid/>
        <w:spacing w:line="360" w:lineRule="auto"/>
        <w:ind w:left="2160" w:hanging="720"/>
        <w:jc w:val="both"/>
        <w:rPr>
          <w:szCs w:val="28"/>
        </w:rPr>
      </w:pPr>
      <w:r>
        <w:rPr>
          <w:szCs w:val="28"/>
        </w:rPr>
        <w:t>(ii)</w:t>
      </w:r>
      <w:r w:rsidR="00614BBD">
        <w:rPr>
          <w:szCs w:val="28"/>
        </w:rPr>
        <w:tab/>
      </w:r>
      <w:r w:rsidR="00CB3070">
        <w:rPr>
          <w:szCs w:val="28"/>
        </w:rPr>
        <w:t>the method of calculations put forward by Mr Cheung is inconsistent with §72-73 of the Judgment.  However, Mr Ho had not put forward any calculations for the Court’s consideration.</w:t>
      </w:r>
    </w:p>
    <w:p w14:paraId="1A92B36C" w14:textId="77777777" w:rsidR="00CB3070" w:rsidRDefault="00CB3070" w:rsidP="00E76697">
      <w:pPr>
        <w:pStyle w:val="ListParagraph"/>
        <w:spacing w:line="360" w:lineRule="auto"/>
        <w:rPr>
          <w:szCs w:val="28"/>
        </w:rPr>
      </w:pPr>
    </w:p>
    <w:p w14:paraId="08F9FE9E" w14:textId="77777777" w:rsidR="00CB3070" w:rsidRDefault="00CB3070" w:rsidP="003A49EA">
      <w:pPr>
        <w:numPr>
          <w:ilvl w:val="0"/>
          <w:numId w:val="4"/>
        </w:numPr>
        <w:tabs>
          <w:tab w:val="clear" w:pos="4320"/>
          <w:tab w:val="clear" w:pos="9072"/>
        </w:tabs>
        <w:snapToGrid/>
        <w:spacing w:line="360" w:lineRule="auto"/>
        <w:ind w:left="0" w:firstLine="0"/>
        <w:jc w:val="both"/>
        <w:rPr>
          <w:szCs w:val="28"/>
        </w:rPr>
      </w:pPr>
      <w:r>
        <w:rPr>
          <w:szCs w:val="28"/>
        </w:rPr>
        <w:t>In view of the disputes on the calculation basis, I invited parties to further submit written agreed calculations, failing which parties should attend a hearing before me for arguments.</w:t>
      </w:r>
    </w:p>
    <w:p w14:paraId="79A9B8B4" w14:textId="77777777" w:rsidR="00CB3070" w:rsidRDefault="00CB3070" w:rsidP="00E76697">
      <w:pPr>
        <w:pStyle w:val="ListParagraph"/>
        <w:spacing w:line="360" w:lineRule="auto"/>
        <w:rPr>
          <w:szCs w:val="28"/>
        </w:rPr>
      </w:pPr>
    </w:p>
    <w:p w14:paraId="7F1FD244" w14:textId="7951B0A5" w:rsidR="00CB3070" w:rsidRDefault="00CB3070" w:rsidP="003A49EA">
      <w:pPr>
        <w:numPr>
          <w:ilvl w:val="0"/>
          <w:numId w:val="4"/>
        </w:numPr>
        <w:tabs>
          <w:tab w:val="clear" w:pos="4320"/>
          <w:tab w:val="clear" w:pos="9072"/>
        </w:tabs>
        <w:snapToGrid/>
        <w:spacing w:line="360" w:lineRule="auto"/>
        <w:ind w:left="0" w:firstLine="0"/>
        <w:jc w:val="both"/>
        <w:rPr>
          <w:szCs w:val="28"/>
        </w:rPr>
      </w:pPr>
      <w:r>
        <w:rPr>
          <w:szCs w:val="28"/>
        </w:rPr>
        <w:t>By letter dated 15 May 2020, solicitors for the plaintiff agreed to the defendant’s calculations</w:t>
      </w:r>
      <w:r w:rsidR="00516CED">
        <w:rPr>
          <w:szCs w:val="28"/>
        </w:rPr>
        <w:t xml:space="preserve"> in their further submissions dated 8 May </w:t>
      </w:r>
      <w:r w:rsidR="00516CED">
        <w:rPr>
          <w:szCs w:val="28"/>
        </w:rPr>
        <w:lastRenderedPageBreak/>
        <w:t>2020</w:t>
      </w:r>
      <w:r>
        <w:rPr>
          <w:szCs w:val="28"/>
        </w:rPr>
        <w:t xml:space="preserve">.  In coming to the agreed calculations, I note that the defendant is not taken to have accepted that the Judgment could and should be varied.  </w:t>
      </w:r>
      <w:r w:rsidR="00C9271C">
        <w:rPr>
          <w:szCs w:val="28"/>
        </w:rPr>
        <w:t>On that basis, th</w:t>
      </w:r>
      <w:r>
        <w:rPr>
          <w:szCs w:val="28"/>
        </w:rPr>
        <w:t>e agreed calculation is as follows:</w:t>
      </w:r>
    </w:p>
    <w:p w14:paraId="02D264BB" w14:textId="77777777" w:rsidR="00CB3070" w:rsidRDefault="00CB3070" w:rsidP="00E76697">
      <w:pPr>
        <w:pStyle w:val="ListParagraph"/>
        <w:spacing w:line="360" w:lineRule="auto"/>
        <w:ind w:left="1418" w:hanging="1418"/>
        <w:rPr>
          <w:szCs w:val="28"/>
        </w:rPr>
      </w:pPr>
      <w:r>
        <w:rPr>
          <w:szCs w:val="28"/>
        </w:rPr>
        <w:tab/>
      </w:r>
    </w:p>
    <w:p w14:paraId="5C6F0E4F" w14:textId="77777777" w:rsidR="00CB3070" w:rsidRPr="001D3681" w:rsidRDefault="00CB3070" w:rsidP="00E76697">
      <w:pPr>
        <w:pStyle w:val="ListParagraph"/>
        <w:spacing w:line="360" w:lineRule="auto"/>
        <w:ind w:left="1418"/>
        <w:rPr>
          <w:szCs w:val="28"/>
          <w:u w:val="single"/>
        </w:rPr>
      </w:pPr>
      <w:r w:rsidRPr="001D3681">
        <w:rPr>
          <w:szCs w:val="28"/>
          <w:u w:val="single"/>
        </w:rPr>
        <w:t>The plaintiff’s notional earnings from 15 September 2015 to 14 January 2020</w:t>
      </w:r>
    </w:p>
    <w:p w14:paraId="2B84C545" w14:textId="77777777" w:rsidR="00CB3070" w:rsidRDefault="00CB3070" w:rsidP="00E76697">
      <w:pPr>
        <w:pStyle w:val="ListParagraph"/>
        <w:spacing w:line="360" w:lineRule="auto"/>
        <w:rPr>
          <w:szCs w:val="28"/>
        </w:rPr>
      </w:pPr>
    </w:p>
    <w:p w14:paraId="1F90A702" w14:textId="77777777" w:rsidR="00CB3070" w:rsidRDefault="00CB3070" w:rsidP="003A49EA">
      <w:pPr>
        <w:pStyle w:val="ListParagraph"/>
        <w:numPr>
          <w:ilvl w:val="3"/>
          <w:numId w:val="4"/>
        </w:numPr>
        <w:tabs>
          <w:tab w:val="clear" w:pos="1440"/>
          <w:tab w:val="clear" w:pos="4320"/>
          <w:tab w:val="clear" w:pos="9072"/>
          <w:tab w:val="left" w:pos="2160"/>
        </w:tabs>
        <w:snapToGrid/>
        <w:spacing w:line="360" w:lineRule="auto"/>
        <w:ind w:left="2160" w:hanging="720"/>
        <w:jc w:val="both"/>
        <w:rPr>
          <w:szCs w:val="28"/>
        </w:rPr>
      </w:pPr>
      <w:r>
        <w:rPr>
          <w:szCs w:val="28"/>
        </w:rPr>
        <w:t>The plaintiff’s pre-accident monthly salary was HK$19,345 (§71 of the Judgment).</w:t>
      </w:r>
    </w:p>
    <w:p w14:paraId="0B63C162" w14:textId="77777777" w:rsidR="00CB3070" w:rsidRDefault="00CB3070" w:rsidP="00E76697">
      <w:pPr>
        <w:pStyle w:val="ListParagraph"/>
        <w:tabs>
          <w:tab w:val="clear" w:pos="4320"/>
          <w:tab w:val="clear" w:pos="9072"/>
        </w:tabs>
        <w:snapToGrid/>
        <w:spacing w:line="360" w:lineRule="auto"/>
        <w:ind w:left="1843"/>
        <w:jc w:val="both"/>
        <w:rPr>
          <w:szCs w:val="28"/>
        </w:rPr>
      </w:pPr>
    </w:p>
    <w:p w14:paraId="0CFE9549" w14:textId="77777777" w:rsidR="00CB3070" w:rsidRDefault="00CB3070" w:rsidP="003A49EA">
      <w:pPr>
        <w:pStyle w:val="ListParagraph"/>
        <w:numPr>
          <w:ilvl w:val="3"/>
          <w:numId w:val="4"/>
        </w:numPr>
        <w:tabs>
          <w:tab w:val="clear" w:pos="4320"/>
          <w:tab w:val="clear" w:pos="9072"/>
        </w:tabs>
        <w:snapToGrid/>
        <w:spacing w:line="360" w:lineRule="auto"/>
        <w:ind w:left="2160" w:hanging="742"/>
        <w:jc w:val="both"/>
        <w:rPr>
          <w:szCs w:val="28"/>
        </w:rPr>
      </w:pPr>
      <w:r>
        <w:rPr>
          <w:szCs w:val="28"/>
        </w:rPr>
        <w:t>The statistical tables from the CSD shows that the average daily wages of general labourers in September 2015 was HK$907.40 while the average daily wages of general labourers in January 2020 was HK$985.10.  The percentage increase is (HK$985.10 – HK$907.40)/HK$907.40 x 100% = 8.5%.</w:t>
      </w:r>
    </w:p>
    <w:p w14:paraId="1DB1CC57" w14:textId="77777777" w:rsidR="00CB3070" w:rsidRPr="001D3681" w:rsidRDefault="00CB3070" w:rsidP="00E76697">
      <w:pPr>
        <w:pStyle w:val="ListParagraph"/>
        <w:spacing w:line="360" w:lineRule="auto"/>
        <w:rPr>
          <w:szCs w:val="28"/>
        </w:rPr>
      </w:pPr>
    </w:p>
    <w:p w14:paraId="48F8EFA2" w14:textId="77777777" w:rsidR="00CB3070" w:rsidRDefault="00CB3070" w:rsidP="003A49EA">
      <w:pPr>
        <w:pStyle w:val="ListParagraph"/>
        <w:numPr>
          <w:ilvl w:val="3"/>
          <w:numId w:val="4"/>
        </w:numPr>
        <w:tabs>
          <w:tab w:val="clear" w:pos="4320"/>
          <w:tab w:val="clear" w:pos="9072"/>
        </w:tabs>
        <w:snapToGrid/>
        <w:spacing w:line="360" w:lineRule="auto"/>
        <w:ind w:left="2160" w:hanging="742"/>
        <w:jc w:val="both"/>
        <w:rPr>
          <w:szCs w:val="28"/>
        </w:rPr>
      </w:pPr>
      <w:r>
        <w:rPr>
          <w:szCs w:val="28"/>
        </w:rPr>
        <w:t>The plaintiff’s notional monthly earnings as at January 2020 is thus HK$19,345 x (1+8.56%) = HK$21,000.93</w:t>
      </w:r>
    </w:p>
    <w:p w14:paraId="110E0560" w14:textId="77777777" w:rsidR="00CB3070" w:rsidRPr="007D6718" w:rsidRDefault="00CB3070" w:rsidP="00E76697">
      <w:pPr>
        <w:pStyle w:val="ListParagraph"/>
        <w:spacing w:line="360" w:lineRule="auto"/>
        <w:rPr>
          <w:szCs w:val="28"/>
        </w:rPr>
      </w:pPr>
    </w:p>
    <w:p w14:paraId="61F10073" w14:textId="77777777" w:rsidR="00CB3070" w:rsidRDefault="00CB3070" w:rsidP="003A49EA">
      <w:pPr>
        <w:pStyle w:val="ListParagraph"/>
        <w:numPr>
          <w:ilvl w:val="3"/>
          <w:numId w:val="4"/>
        </w:numPr>
        <w:tabs>
          <w:tab w:val="clear" w:pos="4320"/>
          <w:tab w:val="clear" w:pos="9072"/>
        </w:tabs>
        <w:snapToGrid/>
        <w:spacing w:line="360" w:lineRule="auto"/>
        <w:ind w:left="2160" w:hanging="742"/>
        <w:jc w:val="both"/>
        <w:rPr>
          <w:szCs w:val="28"/>
        </w:rPr>
      </w:pPr>
      <w:r>
        <w:rPr>
          <w:szCs w:val="28"/>
        </w:rPr>
        <w:t>The plaintiff’s notional earnings for the entire pre-judgment period (15 September 2015 to 14 January 2020, a total of 52 months) are: (HK$19,345 + HK$21,000.93)/2 x 1.05 x 52 months = HK$1,101,443.94.</w:t>
      </w:r>
    </w:p>
    <w:p w14:paraId="75AB2E0A" w14:textId="77777777" w:rsidR="00CB3070" w:rsidRPr="001D3681" w:rsidRDefault="00CB3070" w:rsidP="00E76697">
      <w:pPr>
        <w:pStyle w:val="ListParagraph"/>
        <w:spacing w:line="360" w:lineRule="auto"/>
        <w:rPr>
          <w:szCs w:val="28"/>
        </w:rPr>
      </w:pPr>
    </w:p>
    <w:p w14:paraId="431235E9" w14:textId="77777777" w:rsidR="00CB3070" w:rsidRDefault="00CB3070" w:rsidP="00E76697">
      <w:pPr>
        <w:tabs>
          <w:tab w:val="clear" w:pos="4320"/>
          <w:tab w:val="clear" w:pos="9072"/>
        </w:tabs>
        <w:snapToGrid/>
        <w:spacing w:line="360" w:lineRule="auto"/>
        <w:ind w:left="1418"/>
        <w:jc w:val="both"/>
        <w:rPr>
          <w:szCs w:val="28"/>
        </w:rPr>
      </w:pPr>
      <w:r w:rsidRPr="001D3681">
        <w:rPr>
          <w:szCs w:val="28"/>
          <w:u w:val="single"/>
        </w:rPr>
        <w:t>The plaintiff’s expected pre-trial earnings for the period from 16 October 2016 to 14 January 2020</w:t>
      </w:r>
      <w:r w:rsidRPr="001D3681">
        <w:rPr>
          <w:szCs w:val="28"/>
        </w:rPr>
        <w:t xml:space="preserve"> </w:t>
      </w:r>
    </w:p>
    <w:p w14:paraId="2CAB0449" w14:textId="77777777" w:rsidR="00CB3070" w:rsidRDefault="00CB3070" w:rsidP="00E76697">
      <w:pPr>
        <w:tabs>
          <w:tab w:val="clear" w:pos="4320"/>
          <w:tab w:val="clear" w:pos="9072"/>
        </w:tabs>
        <w:snapToGrid/>
        <w:spacing w:line="360" w:lineRule="auto"/>
        <w:ind w:left="1418"/>
        <w:jc w:val="both"/>
        <w:rPr>
          <w:szCs w:val="28"/>
        </w:rPr>
      </w:pPr>
    </w:p>
    <w:p w14:paraId="37D039CA" w14:textId="77777777" w:rsidR="00CB3070" w:rsidRDefault="00CB3070" w:rsidP="003A49EA">
      <w:pPr>
        <w:pStyle w:val="ListParagraph"/>
        <w:numPr>
          <w:ilvl w:val="0"/>
          <w:numId w:val="23"/>
        </w:numPr>
        <w:tabs>
          <w:tab w:val="clear" w:pos="1440"/>
          <w:tab w:val="clear" w:pos="4320"/>
          <w:tab w:val="clear" w:pos="9072"/>
          <w:tab w:val="left" w:pos="2160"/>
        </w:tabs>
        <w:snapToGrid/>
        <w:spacing w:line="360" w:lineRule="auto"/>
        <w:ind w:left="2160" w:hanging="720"/>
        <w:jc w:val="both"/>
        <w:rPr>
          <w:szCs w:val="28"/>
        </w:rPr>
      </w:pPr>
      <w:r>
        <w:rPr>
          <w:szCs w:val="28"/>
        </w:rPr>
        <w:t>Based on Table 8 of the Quarterly Report of Wage and Payroll Statistics (December 2016), the average monthly salary of a male security guard was HK$12,275.00</w:t>
      </w:r>
    </w:p>
    <w:p w14:paraId="4A45C8FB" w14:textId="77777777" w:rsidR="00CB3070" w:rsidRDefault="00CB3070" w:rsidP="003A49EA">
      <w:pPr>
        <w:pStyle w:val="ListParagraph"/>
        <w:tabs>
          <w:tab w:val="clear" w:pos="1440"/>
          <w:tab w:val="clear" w:pos="4320"/>
          <w:tab w:val="clear" w:pos="9072"/>
          <w:tab w:val="left" w:pos="2160"/>
        </w:tabs>
        <w:snapToGrid/>
        <w:spacing w:line="360" w:lineRule="auto"/>
        <w:ind w:left="2160" w:hanging="720"/>
        <w:jc w:val="both"/>
        <w:rPr>
          <w:szCs w:val="28"/>
        </w:rPr>
      </w:pPr>
    </w:p>
    <w:p w14:paraId="723C33C6" w14:textId="77777777" w:rsidR="00CB3070" w:rsidRDefault="00CB3070" w:rsidP="003A49EA">
      <w:pPr>
        <w:pStyle w:val="ListParagraph"/>
        <w:numPr>
          <w:ilvl w:val="0"/>
          <w:numId w:val="23"/>
        </w:numPr>
        <w:tabs>
          <w:tab w:val="clear" w:pos="1440"/>
          <w:tab w:val="clear" w:pos="4320"/>
          <w:tab w:val="clear" w:pos="9072"/>
          <w:tab w:val="left" w:pos="2160"/>
        </w:tabs>
        <w:snapToGrid/>
        <w:spacing w:line="360" w:lineRule="auto"/>
        <w:ind w:left="2160" w:hanging="720"/>
        <w:jc w:val="both"/>
        <w:rPr>
          <w:szCs w:val="28"/>
        </w:rPr>
      </w:pPr>
      <w:r>
        <w:rPr>
          <w:szCs w:val="28"/>
        </w:rPr>
        <w:t>Based on Table 8 of the Quarterly Report of Wage and Payroll Statistics (December 2019), the average monthly salary of a male security guard was HK$13,844.00.</w:t>
      </w:r>
    </w:p>
    <w:p w14:paraId="0A9B3708" w14:textId="77777777" w:rsidR="00CB3070" w:rsidRPr="001D3681" w:rsidRDefault="00CB3070" w:rsidP="003A49EA">
      <w:pPr>
        <w:pStyle w:val="ListParagraph"/>
        <w:tabs>
          <w:tab w:val="clear" w:pos="1440"/>
          <w:tab w:val="left" w:pos="2160"/>
        </w:tabs>
        <w:spacing w:line="360" w:lineRule="auto"/>
        <w:ind w:left="2160" w:hanging="720"/>
        <w:rPr>
          <w:szCs w:val="28"/>
        </w:rPr>
      </w:pPr>
    </w:p>
    <w:p w14:paraId="7F9AEA5F" w14:textId="77777777" w:rsidR="00CB3070" w:rsidRDefault="00CB3070" w:rsidP="003A49EA">
      <w:pPr>
        <w:pStyle w:val="ListParagraph"/>
        <w:numPr>
          <w:ilvl w:val="0"/>
          <w:numId w:val="23"/>
        </w:numPr>
        <w:tabs>
          <w:tab w:val="clear" w:pos="1440"/>
          <w:tab w:val="clear" w:pos="4320"/>
          <w:tab w:val="clear" w:pos="9072"/>
          <w:tab w:val="left" w:pos="2160"/>
        </w:tabs>
        <w:snapToGrid/>
        <w:spacing w:line="360" w:lineRule="auto"/>
        <w:ind w:left="2160" w:hanging="720"/>
        <w:jc w:val="both"/>
        <w:rPr>
          <w:szCs w:val="28"/>
        </w:rPr>
      </w:pPr>
      <w:r>
        <w:rPr>
          <w:szCs w:val="28"/>
        </w:rPr>
        <w:t>The average salary of a male security guard between the period 16 October 2016 to 14 January 2020 is (HK$12,275 + HK$13,844) /2 = HK$13,095.50.</w:t>
      </w:r>
    </w:p>
    <w:p w14:paraId="751E2EC0" w14:textId="77777777" w:rsidR="00CB3070" w:rsidRPr="001D3681" w:rsidRDefault="00CB3070" w:rsidP="003A49EA">
      <w:pPr>
        <w:pStyle w:val="ListParagraph"/>
        <w:tabs>
          <w:tab w:val="clear" w:pos="1440"/>
          <w:tab w:val="left" w:pos="2160"/>
        </w:tabs>
        <w:spacing w:line="360" w:lineRule="auto"/>
        <w:ind w:left="2160" w:hanging="720"/>
        <w:rPr>
          <w:szCs w:val="28"/>
        </w:rPr>
      </w:pPr>
    </w:p>
    <w:p w14:paraId="21F47FDA" w14:textId="77777777" w:rsidR="00CB3070" w:rsidRDefault="00CB3070" w:rsidP="003A49EA">
      <w:pPr>
        <w:pStyle w:val="ListParagraph"/>
        <w:numPr>
          <w:ilvl w:val="0"/>
          <w:numId w:val="23"/>
        </w:numPr>
        <w:tabs>
          <w:tab w:val="clear" w:pos="1440"/>
          <w:tab w:val="clear" w:pos="4320"/>
          <w:tab w:val="clear" w:pos="9072"/>
          <w:tab w:val="left" w:pos="2160"/>
        </w:tabs>
        <w:snapToGrid/>
        <w:spacing w:line="360" w:lineRule="auto"/>
        <w:ind w:left="2160" w:hanging="720"/>
        <w:jc w:val="both"/>
        <w:rPr>
          <w:szCs w:val="28"/>
        </w:rPr>
      </w:pPr>
      <w:r>
        <w:rPr>
          <w:szCs w:val="28"/>
        </w:rPr>
        <w:t>The expected pre-trial earnings as a security guard is thus: HK$13,095.50 x 1.05 x (38</w:t>
      </w:r>
      <m:oMath>
        <m:r>
          <w:rPr>
            <w:rFonts w:ascii="Cambria Math" w:hAnsi="Cambria Math"/>
            <w:szCs w:val="28"/>
          </w:rPr>
          <m:t xml:space="preserve"> </m:t>
        </m:r>
        <m:f>
          <m:fPr>
            <m:ctrlPr>
              <w:rPr>
                <w:rFonts w:ascii="Cambria Math" w:hAnsi="Cambria Math"/>
                <w:i/>
                <w:szCs w:val="28"/>
              </w:rPr>
            </m:ctrlPr>
          </m:fPr>
          <m:num>
            <m:r>
              <w:rPr>
                <w:rFonts w:ascii="Cambria Math" w:hAnsi="Cambria Math"/>
                <w:szCs w:val="28"/>
              </w:rPr>
              <m:t>27</m:t>
            </m:r>
          </m:num>
          <m:den>
            <m:r>
              <w:rPr>
                <w:rFonts w:ascii="Cambria Math" w:hAnsi="Cambria Math"/>
                <w:szCs w:val="28"/>
              </w:rPr>
              <m:t>30</m:t>
            </m:r>
          </m:den>
        </m:f>
      </m:oMath>
      <w:r>
        <w:rPr>
          <w:szCs w:val="28"/>
        </w:rPr>
        <w:t>) = HK$533,415.28</w:t>
      </w:r>
    </w:p>
    <w:p w14:paraId="3BD98AAA" w14:textId="77777777" w:rsidR="00CB3070" w:rsidRDefault="00CB3070" w:rsidP="00E76697">
      <w:pPr>
        <w:pStyle w:val="ListParagraph"/>
        <w:spacing w:line="360" w:lineRule="auto"/>
        <w:rPr>
          <w:szCs w:val="28"/>
        </w:rPr>
      </w:pPr>
      <w:r>
        <w:rPr>
          <w:szCs w:val="28"/>
        </w:rPr>
        <w:tab/>
      </w:r>
    </w:p>
    <w:p w14:paraId="23A965A4" w14:textId="77777777" w:rsidR="00CB3070" w:rsidRPr="00F149D8" w:rsidRDefault="00CB3070" w:rsidP="00E76697">
      <w:pPr>
        <w:pStyle w:val="ListParagraph"/>
        <w:spacing w:line="360" w:lineRule="auto"/>
        <w:rPr>
          <w:szCs w:val="28"/>
          <w:u w:val="single"/>
        </w:rPr>
      </w:pPr>
      <w:r>
        <w:rPr>
          <w:szCs w:val="28"/>
        </w:rPr>
        <w:tab/>
      </w:r>
      <w:r>
        <w:rPr>
          <w:szCs w:val="28"/>
          <w:u w:val="single"/>
        </w:rPr>
        <w:t>Pre-Trial Loss of earnings</w:t>
      </w:r>
    </w:p>
    <w:p w14:paraId="1C210F78" w14:textId="77777777" w:rsidR="003A49EA" w:rsidRDefault="003A49EA" w:rsidP="003A49EA">
      <w:pPr>
        <w:tabs>
          <w:tab w:val="clear" w:pos="4320"/>
          <w:tab w:val="clear" w:pos="9072"/>
        </w:tabs>
        <w:snapToGrid/>
        <w:spacing w:line="360" w:lineRule="auto"/>
        <w:ind w:left="1440"/>
        <w:jc w:val="both"/>
        <w:rPr>
          <w:szCs w:val="28"/>
        </w:rPr>
      </w:pPr>
    </w:p>
    <w:p w14:paraId="34ACFBCD" w14:textId="6C4131D1" w:rsidR="00CB3070" w:rsidRPr="00D12A2D" w:rsidRDefault="00CB3070" w:rsidP="00E76697">
      <w:pPr>
        <w:tabs>
          <w:tab w:val="clear" w:pos="4320"/>
          <w:tab w:val="clear" w:pos="9072"/>
        </w:tabs>
        <w:snapToGrid/>
        <w:spacing w:line="360" w:lineRule="auto"/>
        <w:ind w:left="1418"/>
        <w:jc w:val="both"/>
        <w:rPr>
          <w:szCs w:val="28"/>
        </w:rPr>
      </w:pPr>
      <w:r w:rsidRPr="00D12A2D">
        <w:rPr>
          <w:szCs w:val="28"/>
        </w:rPr>
        <w:t>The plaintiff’s pre</w:t>
      </w:r>
      <w:r>
        <w:rPr>
          <w:szCs w:val="28"/>
        </w:rPr>
        <w:t xml:space="preserve"> </w:t>
      </w:r>
      <w:r w:rsidRPr="00D12A2D">
        <w:rPr>
          <w:szCs w:val="28"/>
        </w:rPr>
        <w:t xml:space="preserve">- trial loss of earnings is thus the plaintiff’s notional earnings from 15 September 2015 to 14 January 2020 minus what he could have earned as a security guard from 16 October 2016 to 14 January 2020, </w:t>
      </w:r>
      <w:r w:rsidRPr="00D12A2D">
        <w:rPr>
          <w:i/>
          <w:iCs/>
          <w:szCs w:val="28"/>
        </w:rPr>
        <w:t>i.e.</w:t>
      </w:r>
      <w:r w:rsidRPr="00D12A2D">
        <w:rPr>
          <w:szCs w:val="28"/>
        </w:rPr>
        <w:t xml:space="preserve"> HK$1,101,443.94 – HK$533,415.28 = </w:t>
      </w:r>
      <w:r w:rsidRPr="00D12A2D">
        <w:rPr>
          <w:b/>
          <w:bCs/>
          <w:szCs w:val="28"/>
        </w:rPr>
        <w:t>HK$568,028.66</w:t>
      </w:r>
      <w:r w:rsidRPr="00D12A2D">
        <w:rPr>
          <w:szCs w:val="28"/>
        </w:rPr>
        <w:t>.</w:t>
      </w:r>
    </w:p>
    <w:p w14:paraId="6B44BC4A" w14:textId="77777777" w:rsidR="00CB3070" w:rsidRDefault="00CB3070" w:rsidP="00E76697">
      <w:pPr>
        <w:tabs>
          <w:tab w:val="clear" w:pos="4320"/>
          <w:tab w:val="clear" w:pos="9072"/>
        </w:tabs>
        <w:snapToGrid/>
        <w:spacing w:line="360" w:lineRule="auto"/>
        <w:jc w:val="both"/>
        <w:rPr>
          <w:i/>
          <w:iCs/>
          <w:szCs w:val="28"/>
        </w:rPr>
      </w:pPr>
    </w:p>
    <w:p w14:paraId="46F85466" w14:textId="34F098DF" w:rsidR="00CB3070" w:rsidRPr="00C9271C" w:rsidRDefault="00CB3070" w:rsidP="00C9271C">
      <w:pPr>
        <w:pStyle w:val="ListParagraph"/>
        <w:numPr>
          <w:ilvl w:val="0"/>
          <w:numId w:val="27"/>
        </w:numPr>
        <w:tabs>
          <w:tab w:val="clear" w:pos="4320"/>
          <w:tab w:val="clear" w:pos="9072"/>
        </w:tabs>
        <w:snapToGrid/>
        <w:spacing w:line="360" w:lineRule="auto"/>
        <w:ind w:hanging="720"/>
        <w:jc w:val="both"/>
        <w:rPr>
          <w:i/>
          <w:iCs/>
          <w:szCs w:val="28"/>
        </w:rPr>
      </w:pPr>
      <w:r w:rsidRPr="00C9271C">
        <w:rPr>
          <w:i/>
          <w:iCs/>
          <w:szCs w:val="28"/>
        </w:rPr>
        <w:t>Amendments to be made to the Judgment</w:t>
      </w:r>
    </w:p>
    <w:p w14:paraId="3FCAAE16" w14:textId="77777777" w:rsidR="00CB3070" w:rsidRDefault="00CB3070" w:rsidP="00E76697">
      <w:pPr>
        <w:pStyle w:val="ListParagraph"/>
        <w:spacing w:line="360" w:lineRule="auto"/>
        <w:rPr>
          <w:szCs w:val="28"/>
        </w:rPr>
      </w:pPr>
    </w:p>
    <w:p w14:paraId="5D856472" w14:textId="77777777" w:rsidR="00CB3070" w:rsidRDefault="00CB3070" w:rsidP="003A49EA">
      <w:pPr>
        <w:numPr>
          <w:ilvl w:val="0"/>
          <w:numId w:val="4"/>
        </w:numPr>
        <w:tabs>
          <w:tab w:val="clear" w:pos="4320"/>
          <w:tab w:val="clear" w:pos="9072"/>
        </w:tabs>
        <w:snapToGrid/>
        <w:spacing w:line="360" w:lineRule="auto"/>
        <w:ind w:left="0" w:firstLine="0"/>
        <w:jc w:val="both"/>
        <w:rPr>
          <w:szCs w:val="28"/>
        </w:rPr>
      </w:pPr>
      <w:r>
        <w:rPr>
          <w:szCs w:val="28"/>
        </w:rPr>
        <w:lastRenderedPageBreak/>
        <w:t>Based on the above analysis and calculations, I will amend the Judgment as follows:</w:t>
      </w:r>
    </w:p>
    <w:p w14:paraId="616B5D2D" w14:textId="77777777" w:rsidR="00CB3070" w:rsidRDefault="00CB3070" w:rsidP="00E76697">
      <w:pPr>
        <w:tabs>
          <w:tab w:val="clear" w:pos="4320"/>
          <w:tab w:val="clear" w:pos="9072"/>
        </w:tabs>
        <w:snapToGrid/>
        <w:spacing w:line="360" w:lineRule="auto"/>
        <w:jc w:val="both"/>
        <w:rPr>
          <w:szCs w:val="28"/>
        </w:rPr>
      </w:pPr>
    </w:p>
    <w:p w14:paraId="6EE27989" w14:textId="32D3BDD3" w:rsidR="00CB3070" w:rsidRPr="003A49EA" w:rsidRDefault="00C9271C" w:rsidP="00E76697">
      <w:pPr>
        <w:tabs>
          <w:tab w:val="clear" w:pos="4320"/>
          <w:tab w:val="clear" w:pos="9072"/>
        </w:tabs>
        <w:snapToGrid/>
        <w:spacing w:line="360" w:lineRule="auto"/>
        <w:jc w:val="both"/>
        <w:rPr>
          <w:i/>
          <w:szCs w:val="28"/>
        </w:rPr>
      </w:pPr>
      <w:r>
        <w:rPr>
          <w:i/>
          <w:szCs w:val="28"/>
        </w:rPr>
        <w:t xml:space="preserve">F1. </w:t>
      </w:r>
      <w:r w:rsidR="00CB3070" w:rsidRPr="003A49EA">
        <w:rPr>
          <w:i/>
          <w:szCs w:val="28"/>
        </w:rPr>
        <w:t>Paragraph 72 of the Judgment</w:t>
      </w:r>
    </w:p>
    <w:p w14:paraId="015D7615" w14:textId="77777777" w:rsidR="00CB3070" w:rsidRPr="00B53972" w:rsidRDefault="00CB3070" w:rsidP="00E76697">
      <w:pPr>
        <w:tabs>
          <w:tab w:val="clear" w:pos="4320"/>
          <w:tab w:val="clear" w:pos="9072"/>
        </w:tabs>
        <w:snapToGrid/>
        <w:spacing w:line="360" w:lineRule="auto"/>
        <w:jc w:val="both"/>
        <w:rPr>
          <w:szCs w:val="28"/>
          <w:u w:val="single"/>
        </w:rPr>
      </w:pPr>
    </w:p>
    <w:p w14:paraId="7987BA19" w14:textId="77777777" w:rsidR="00CB3070" w:rsidRDefault="00CB3070" w:rsidP="003A49EA">
      <w:pPr>
        <w:numPr>
          <w:ilvl w:val="0"/>
          <w:numId w:val="4"/>
        </w:numPr>
        <w:tabs>
          <w:tab w:val="clear" w:pos="4320"/>
          <w:tab w:val="clear" w:pos="9072"/>
        </w:tabs>
        <w:snapToGrid/>
        <w:spacing w:line="360" w:lineRule="auto"/>
        <w:ind w:left="0" w:firstLine="0"/>
        <w:jc w:val="both"/>
        <w:rPr>
          <w:szCs w:val="28"/>
        </w:rPr>
      </w:pPr>
      <w:r>
        <w:rPr>
          <w:szCs w:val="28"/>
        </w:rPr>
        <w:t>Paragraph 72 of the Judgment should be amended to read as follows, with underlining to show the amendments made:</w:t>
      </w:r>
    </w:p>
    <w:p w14:paraId="66FB534E" w14:textId="4983EAE5" w:rsidR="00CB3070" w:rsidRDefault="00CB3070" w:rsidP="00E76697">
      <w:pPr>
        <w:tabs>
          <w:tab w:val="clear" w:pos="4320"/>
          <w:tab w:val="clear" w:pos="9072"/>
        </w:tabs>
        <w:snapToGrid/>
        <w:spacing w:line="360" w:lineRule="auto"/>
        <w:jc w:val="both"/>
        <w:rPr>
          <w:szCs w:val="28"/>
        </w:rPr>
      </w:pPr>
    </w:p>
    <w:p w14:paraId="52B7D73D" w14:textId="77777777" w:rsidR="00CB3070" w:rsidRDefault="00CB3070" w:rsidP="00E76697">
      <w:pPr>
        <w:tabs>
          <w:tab w:val="clear" w:pos="4320"/>
          <w:tab w:val="clear" w:pos="9072"/>
        </w:tabs>
        <w:snapToGrid/>
        <w:spacing w:line="360" w:lineRule="auto"/>
        <w:ind w:left="1418"/>
        <w:jc w:val="both"/>
        <w:rPr>
          <w:szCs w:val="28"/>
        </w:rPr>
      </w:pPr>
      <w:r>
        <w:rPr>
          <w:szCs w:val="28"/>
        </w:rPr>
        <w:t xml:space="preserve">“Parties also differ as to whether the CPI index or the Statistical Tables of Average Daily Wages of Workers Engaged in Public Sector Construction Projects as Reported by Main Contractor (the “Tables”) should be adopted for measuring the increase in salary as a result of inflation.  I agree with the plaintiff’s submission that the Tables are more appropriate in measuring the increase in salary than the CPI which reflects consumer price changes on households.  The Tables show an increase of about </w:t>
      </w:r>
      <w:r w:rsidRPr="00B53972">
        <w:rPr>
          <w:szCs w:val="28"/>
          <w:u w:val="single"/>
        </w:rPr>
        <w:t>8.5%</w:t>
      </w:r>
      <w:r>
        <w:rPr>
          <w:szCs w:val="28"/>
        </w:rPr>
        <w:t xml:space="preserve"> between September 2015 (HK$907.4) and </w:t>
      </w:r>
      <w:r w:rsidRPr="00B53972">
        <w:rPr>
          <w:szCs w:val="28"/>
          <w:u w:val="single"/>
        </w:rPr>
        <w:t>January 2020 (HK$985.1)</w:t>
      </w:r>
      <w:r>
        <w:rPr>
          <w:szCs w:val="28"/>
        </w:rPr>
        <w:t>.</w:t>
      </w:r>
    </w:p>
    <w:p w14:paraId="71C91B52" w14:textId="77777777" w:rsidR="00CB3070" w:rsidRDefault="00CB3070" w:rsidP="00E76697">
      <w:pPr>
        <w:tabs>
          <w:tab w:val="clear" w:pos="4320"/>
          <w:tab w:val="clear" w:pos="9072"/>
        </w:tabs>
        <w:snapToGrid/>
        <w:spacing w:line="360" w:lineRule="auto"/>
        <w:jc w:val="both"/>
        <w:rPr>
          <w:szCs w:val="28"/>
          <w:u w:val="single"/>
        </w:rPr>
      </w:pPr>
    </w:p>
    <w:p w14:paraId="4B2A02AA" w14:textId="7CE313DA" w:rsidR="00CB3070" w:rsidRPr="006E0F68" w:rsidRDefault="00C9271C" w:rsidP="00E76697">
      <w:pPr>
        <w:tabs>
          <w:tab w:val="clear" w:pos="4320"/>
          <w:tab w:val="clear" w:pos="9072"/>
        </w:tabs>
        <w:snapToGrid/>
        <w:spacing w:line="360" w:lineRule="auto"/>
        <w:jc w:val="both"/>
        <w:rPr>
          <w:i/>
          <w:szCs w:val="28"/>
        </w:rPr>
      </w:pPr>
      <w:r>
        <w:rPr>
          <w:i/>
          <w:szCs w:val="28"/>
        </w:rPr>
        <w:t xml:space="preserve">F2. </w:t>
      </w:r>
      <w:r w:rsidR="00CB3070" w:rsidRPr="006E0F68">
        <w:rPr>
          <w:i/>
          <w:szCs w:val="28"/>
        </w:rPr>
        <w:t>Paragraph 73 of the Judgment</w:t>
      </w:r>
    </w:p>
    <w:p w14:paraId="25B50090" w14:textId="77777777" w:rsidR="00CB3070" w:rsidRDefault="00CB3070" w:rsidP="00E76697">
      <w:pPr>
        <w:tabs>
          <w:tab w:val="clear" w:pos="4320"/>
          <w:tab w:val="clear" w:pos="9072"/>
        </w:tabs>
        <w:snapToGrid/>
        <w:spacing w:line="360" w:lineRule="auto"/>
        <w:jc w:val="both"/>
        <w:rPr>
          <w:szCs w:val="28"/>
        </w:rPr>
      </w:pPr>
    </w:p>
    <w:p w14:paraId="2BE34EC2" w14:textId="77777777" w:rsidR="00CB3070" w:rsidRDefault="00CB3070" w:rsidP="00E76697">
      <w:pPr>
        <w:numPr>
          <w:ilvl w:val="0"/>
          <w:numId w:val="21"/>
        </w:numPr>
        <w:tabs>
          <w:tab w:val="clear" w:pos="4320"/>
          <w:tab w:val="clear" w:pos="9072"/>
        </w:tabs>
        <w:snapToGrid/>
        <w:spacing w:line="360" w:lineRule="auto"/>
        <w:ind w:left="0" w:firstLine="0"/>
        <w:jc w:val="both"/>
        <w:rPr>
          <w:szCs w:val="28"/>
        </w:rPr>
      </w:pPr>
      <w:r>
        <w:rPr>
          <w:szCs w:val="28"/>
        </w:rPr>
        <w:t>Paragraph 73 of the Judgment should be amended to read as follows, with underlining to show the amendments made:</w:t>
      </w:r>
    </w:p>
    <w:p w14:paraId="4A513607" w14:textId="77777777" w:rsidR="00CB3070" w:rsidRDefault="00CB3070" w:rsidP="00E76697">
      <w:pPr>
        <w:tabs>
          <w:tab w:val="clear" w:pos="4320"/>
          <w:tab w:val="clear" w:pos="9072"/>
        </w:tabs>
        <w:snapToGrid/>
        <w:spacing w:line="360" w:lineRule="auto"/>
        <w:jc w:val="both"/>
        <w:rPr>
          <w:szCs w:val="28"/>
        </w:rPr>
      </w:pPr>
    </w:p>
    <w:p w14:paraId="2892844F" w14:textId="77777777" w:rsidR="00CB3070" w:rsidRPr="00B53972" w:rsidRDefault="00CB3070" w:rsidP="003A49EA">
      <w:pPr>
        <w:tabs>
          <w:tab w:val="clear" w:pos="4320"/>
          <w:tab w:val="clear" w:pos="9072"/>
        </w:tabs>
        <w:snapToGrid/>
        <w:spacing w:line="360" w:lineRule="auto"/>
        <w:ind w:left="1440"/>
        <w:jc w:val="both"/>
        <w:rPr>
          <w:szCs w:val="28"/>
          <w:u w:val="single"/>
        </w:rPr>
      </w:pPr>
      <w:r>
        <w:rPr>
          <w:szCs w:val="28"/>
        </w:rPr>
        <w:t xml:space="preserve">“Thus, the plaintiff’s pre-trial loss of earnings &amp; MPF </w:t>
      </w:r>
      <w:r w:rsidRPr="00B53972">
        <w:rPr>
          <w:szCs w:val="28"/>
          <w:u w:val="single"/>
        </w:rPr>
        <w:t xml:space="preserve">from 15 September 2015 to 14 January 2020 </w:t>
      </w:r>
      <w:r>
        <w:rPr>
          <w:szCs w:val="28"/>
          <w:u w:val="single"/>
        </w:rPr>
        <w:t>are</w:t>
      </w:r>
      <w:r w:rsidRPr="00B53972">
        <w:rPr>
          <w:szCs w:val="28"/>
          <w:u w:val="single"/>
        </w:rPr>
        <w:t xml:space="preserve"> calculated as follows:</w:t>
      </w:r>
    </w:p>
    <w:p w14:paraId="17EA9568" w14:textId="77777777" w:rsidR="00CB3070" w:rsidRPr="00B53972" w:rsidRDefault="00CB3070" w:rsidP="003A49EA">
      <w:pPr>
        <w:pStyle w:val="ListParagraph"/>
        <w:tabs>
          <w:tab w:val="clear" w:pos="1440"/>
          <w:tab w:val="left" w:pos="1530"/>
        </w:tabs>
        <w:spacing w:line="360" w:lineRule="auto"/>
        <w:ind w:left="1440"/>
        <w:rPr>
          <w:szCs w:val="28"/>
          <w:u w:val="single"/>
        </w:rPr>
      </w:pPr>
    </w:p>
    <w:p w14:paraId="1D726DEE" w14:textId="77777777" w:rsidR="00CB3070" w:rsidRPr="00B53972" w:rsidRDefault="00CB3070" w:rsidP="003A49EA">
      <w:pPr>
        <w:pStyle w:val="ListParagraph"/>
        <w:tabs>
          <w:tab w:val="clear" w:pos="1440"/>
          <w:tab w:val="left" w:pos="1530"/>
        </w:tabs>
        <w:spacing w:line="360" w:lineRule="auto"/>
        <w:ind w:left="1440"/>
        <w:rPr>
          <w:szCs w:val="28"/>
          <w:u w:val="single"/>
        </w:rPr>
      </w:pPr>
      <w:r w:rsidRPr="00B53972">
        <w:rPr>
          <w:szCs w:val="28"/>
          <w:u w:val="single"/>
        </w:rPr>
        <w:lastRenderedPageBreak/>
        <w:t>The plaintiff’s notional earnings from 15 September 2015 to 14 January 2020</w:t>
      </w:r>
    </w:p>
    <w:p w14:paraId="49F01150" w14:textId="77777777" w:rsidR="00CB3070" w:rsidRPr="00B53972" w:rsidRDefault="00CB3070" w:rsidP="003A49EA">
      <w:pPr>
        <w:pStyle w:val="ListParagraph"/>
        <w:tabs>
          <w:tab w:val="clear" w:pos="1440"/>
          <w:tab w:val="left" w:pos="1530"/>
        </w:tabs>
        <w:spacing w:line="360" w:lineRule="auto"/>
        <w:ind w:left="1440"/>
        <w:rPr>
          <w:szCs w:val="28"/>
          <w:u w:val="single"/>
        </w:rPr>
      </w:pPr>
    </w:p>
    <w:p w14:paraId="19D4F957" w14:textId="77777777" w:rsidR="00CB3070" w:rsidRPr="00B53972" w:rsidRDefault="00CB3070" w:rsidP="003A49EA">
      <w:pPr>
        <w:pStyle w:val="ListParagraph"/>
        <w:numPr>
          <w:ilvl w:val="4"/>
          <w:numId w:val="4"/>
        </w:numPr>
        <w:tabs>
          <w:tab w:val="clear" w:pos="1440"/>
          <w:tab w:val="clear" w:pos="4320"/>
          <w:tab w:val="clear" w:pos="9072"/>
          <w:tab w:val="left" w:pos="2160"/>
        </w:tabs>
        <w:snapToGrid/>
        <w:spacing w:line="360" w:lineRule="auto"/>
        <w:ind w:left="2160" w:hanging="720"/>
        <w:jc w:val="both"/>
        <w:rPr>
          <w:szCs w:val="28"/>
          <w:u w:val="single"/>
        </w:rPr>
      </w:pPr>
      <w:r w:rsidRPr="00B53972">
        <w:rPr>
          <w:szCs w:val="28"/>
          <w:u w:val="single"/>
        </w:rPr>
        <w:t>The plaintiff’s pre-accident monthly salary was HK$19,345 (§71 of the Judgment).</w:t>
      </w:r>
    </w:p>
    <w:p w14:paraId="1A6E38D4" w14:textId="77777777" w:rsidR="00CB3070" w:rsidRPr="00B53972" w:rsidRDefault="00CB3070" w:rsidP="003A49EA">
      <w:pPr>
        <w:pStyle w:val="ListParagraph"/>
        <w:tabs>
          <w:tab w:val="clear" w:pos="1440"/>
          <w:tab w:val="clear" w:pos="4320"/>
          <w:tab w:val="clear" w:pos="9072"/>
          <w:tab w:val="left" w:pos="2160"/>
        </w:tabs>
        <w:snapToGrid/>
        <w:spacing w:line="360" w:lineRule="auto"/>
        <w:ind w:left="2160" w:hanging="720"/>
        <w:jc w:val="both"/>
        <w:rPr>
          <w:szCs w:val="28"/>
          <w:u w:val="single"/>
        </w:rPr>
      </w:pPr>
    </w:p>
    <w:p w14:paraId="1186D5AA" w14:textId="77777777" w:rsidR="00CB3070" w:rsidRPr="00B53972" w:rsidRDefault="00CB3070" w:rsidP="003A49EA">
      <w:pPr>
        <w:pStyle w:val="ListParagraph"/>
        <w:numPr>
          <w:ilvl w:val="4"/>
          <w:numId w:val="4"/>
        </w:numPr>
        <w:tabs>
          <w:tab w:val="clear" w:pos="1440"/>
          <w:tab w:val="clear" w:pos="4320"/>
          <w:tab w:val="clear" w:pos="9072"/>
          <w:tab w:val="left" w:pos="2160"/>
        </w:tabs>
        <w:snapToGrid/>
        <w:spacing w:line="360" w:lineRule="auto"/>
        <w:ind w:left="2160" w:hanging="720"/>
        <w:jc w:val="both"/>
        <w:rPr>
          <w:szCs w:val="28"/>
          <w:u w:val="single"/>
        </w:rPr>
      </w:pPr>
      <w:r w:rsidRPr="00B53972">
        <w:rPr>
          <w:szCs w:val="28"/>
          <w:u w:val="single"/>
        </w:rPr>
        <w:t>The average daily wages of general labourers in September 2015 was HK$907.40.  The average daily wages of general labourers in January 2020 was HK$985.10.  The percentage increase is (HK$985.10 – HK$907.40)/HK$907.40 x 100% = 8.5%.</w:t>
      </w:r>
    </w:p>
    <w:p w14:paraId="7CBF9A85" w14:textId="77777777" w:rsidR="00CB3070" w:rsidRPr="00B53972" w:rsidRDefault="00CB3070" w:rsidP="003A49EA">
      <w:pPr>
        <w:tabs>
          <w:tab w:val="clear" w:pos="1440"/>
          <w:tab w:val="clear" w:pos="4320"/>
          <w:tab w:val="clear" w:pos="9072"/>
          <w:tab w:val="left" w:pos="2160"/>
        </w:tabs>
        <w:snapToGrid/>
        <w:spacing w:line="360" w:lineRule="auto"/>
        <w:ind w:left="2160" w:hanging="720"/>
        <w:jc w:val="both"/>
        <w:rPr>
          <w:szCs w:val="28"/>
          <w:u w:val="single"/>
        </w:rPr>
      </w:pPr>
    </w:p>
    <w:p w14:paraId="5D97D042" w14:textId="77777777" w:rsidR="00CB3070" w:rsidRPr="00B53972" w:rsidRDefault="00CB3070" w:rsidP="003A49EA">
      <w:pPr>
        <w:pStyle w:val="ListParagraph"/>
        <w:numPr>
          <w:ilvl w:val="4"/>
          <w:numId w:val="4"/>
        </w:numPr>
        <w:tabs>
          <w:tab w:val="clear" w:pos="1440"/>
          <w:tab w:val="clear" w:pos="4320"/>
          <w:tab w:val="clear" w:pos="9072"/>
          <w:tab w:val="left" w:pos="2160"/>
        </w:tabs>
        <w:snapToGrid/>
        <w:spacing w:line="360" w:lineRule="auto"/>
        <w:ind w:left="2160" w:hanging="720"/>
        <w:jc w:val="both"/>
        <w:rPr>
          <w:szCs w:val="28"/>
          <w:u w:val="single"/>
        </w:rPr>
      </w:pPr>
      <w:r w:rsidRPr="00B53972">
        <w:rPr>
          <w:szCs w:val="28"/>
          <w:u w:val="single"/>
        </w:rPr>
        <w:t>The plaintiff’s notional monthly earnings as at January 2020 is HK$19,345 x (1+8.56%) = HK$21,000.93</w:t>
      </w:r>
    </w:p>
    <w:p w14:paraId="241D5C34" w14:textId="77777777" w:rsidR="00CB3070" w:rsidRPr="00B53972" w:rsidRDefault="00CB3070" w:rsidP="003A49EA">
      <w:pPr>
        <w:tabs>
          <w:tab w:val="clear" w:pos="1440"/>
          <w:tab w:val="clear" w:pos="4320"/>
          <w:tab w:val="clear" w:pos="9072"/>
          <w:tab w:val="left" w:pos="2160"/>
        </w:tabs>
        <w:snapToGrid/>
        <w:spacing w:line="360" w:lineRule="auto"/>
        <w:ind w:left="2160" w:hanging="720"/>
        <w:jc w:val="both"/>
        <w:rPr>
          <w:szCs w:val="28"/>
          <w:u w:val="single"/>
        </w:rPr>
      </w:pPr>
    </w:p>
    <w:p w14:paraId="156703C5" w14:textId="77777777" w:rsidR="00CB3070" w:rsidRPr="00B53972" w:rsidRDefault="00CB3070" w:rsidP="003A49EA">
      <w:pPr>
        <w:pStyle w:val="ListParagraph"/>
        <w:numPr>
          <w:ilvl w:val="4"/>
          <w:numId w:val="4"/>
        </w:numPr>
        <w:tabs>
          <w:tab w:val="clear" w:pos="1440"/>
          <w:tab w:val="clear" w:pos="4320"/>
          <w:tab w:val="clear" w:pos="9072"/>
          <w:tab w:val="left" w:pos="2160"/>
        </w:tabs>
        <w:snapToGrid/>
        <w:spacing w:line="360" w:lineRule="auto"/>
        <w:ind w:left="2160" w:hanging="720"/>
        <w:jc w:val="both"/>
        <w:rPr>
          <w:szCs w:val="28"/>
          <w:u w:val="single"/>
        </w:rPr>
      </w:pPr>
      <w:r w:rsidRPr="00B53972">
        <w:rPr>
          <w:szCs w:val="28"/>
          <w:u w:val="single"/>
        </w:rPr>
        <w:t>The plaintiff’s notional earnings for the entire pre-judgment period (15 September 2015 to 14 January 2020, a total of 52 months) are: (HK$19,345 + HK$21,000.93)/2 x 1.05 x 52 months = HK$1,101,443.94.</w:t>
      </w:r>
    </w:p>
    <w:p w14:paraId="2C085DFB" w14:textId="77777777" w:rsidR="00CB3070" w:rsidRPr="00B53972" w:rsidRDefault="00CB3070" w:rsidP="003A49EA">
      <w:pPr>
        <w:pStyle w:val="ListParagraph"/>
        <w:tabs>
          <w:tab w:val="clear" w:pos="1440"/>
          <w:tab w:val="left" w:pos="1530"/>
        </w:tabs>
        <w:spacing w:line="360" w:lineRule="auto"/>
        <w:ind w:left="1440"/>
        <w:rPr>
          <w:szCs w:val="28"/>
          <w:u w:val="single"/>
        </w:rPr>
      </w:pPr>
    </w:p>
    <w:p w14:paraId="580A2F9D" w14:textId="77777777" w:rsidR="00CB3070" w:rsidRPr="00B53972" w:rsidRDefault="00CB3070" w:rsidP="003A49EA">
      <w:pPr>
        <w:tabs>
          <w:tab w:val="clear" w:pos="1440"/>
          <w:tab w:val="clear" w:pos="4320"/>
          <w:tab w:val="clear" w:pos="9072"/>
          <w:tab w:val="left" w:pos="2160"/>
        </w:tabs>
        <w:snapToGrid/>
        <w:spacing w:line="360" w:lineRule="auto"/>
        <w:ind w:left="1440"/>
        <w:jc w:val="both"/>
        <w:rPr>
          <w:szCs w:val="28"/>
          <w:u w:val="single"/>
        </w:rPr>
      </w:pPr>
      <w:r w:rsidRPr="00B53972">
        <w:rPr>
          <w:szCs w:val="28"/>
          <w:u w:val="single"/>
        </w:rPr>
        <w:t xml:space="preserve">The plaintiff’s expected pre-trial earnings for the period from 16 October 2016 to 14 January 2020 </w:t>
      </w:r>
    </w:p>
    <w:p w14:paraId="19D1742D" w14:textId="77777777" w:rsidR="00CB3070" w:rsidRPr="00B53972" w:rsidRDefault="00CB3070" w:rsidP="003A49EA">
      <w:pPr>
        <w:tabs>
          <w:tab w:val="clear" w:pos="1440"/>
          <w:tab w:val="clear" w:pos="4320"/>
          <w:tab w:val="clear" w:pos="9072"/>
          <w:tab w:val="left" w:pos="2160"/>
        </w:tabs>
        <w:snapToGrid/>
        <w:spacing w:line="360" w:lineRule="auto"/>
        <w:ind w:left="1440"/>
        <w:jc w:val="both"/>
        <w:rPr>
          <w:szCs w:val="28"/>
          <w:u w:val="single"/>
        </w:rPr>
      </w:pPr>
    </w:p>
    <w:p w14:paraId="1362A988" w14:textId="77777777" w:rsidR="00CB3070" w:rsidRPr="00B53972" w:rsidRDefault="00CB3070" w:rsidP="00EA1DA2">
      <w:pPr>
        <w:pStyle w:val="ListParagraph"/>
        <w:numPr>
          <w:ilvl w:val="0"/>
          <w:numId w:val="26"/>
        </w:numPr>
        <w:tabs>
          <w:tab w:val="clear" w:pos="1440"/>
          <w:tab w:val="clear" w:pos="4320"/>
          <w:tab w:val="clear" w:pos="9072"/>
          <w:tab w:val="left" w:pos="2160"/>
        </w:tabs>
        <w:snapToGrid/>
        <w:spacing w:line="360" w:lineRule="auto"/>
        <w:ind w:left="2160" w:hanging="720"/>
        <w:jc w:val="both"/>
        <w:rPr>
          <w:szCs w:val="28"/>
          <w:u w:val="single"/>
        </w:rPr>
      </w:pPr>
      <w:r w:rsidRPr="00B53972">
        <w:rPr>
          <w:szCs w:val="28"/>
          <w:u w:val="single"/>
        </w:rPr>
        <w:t>Based on Table 8 of the Quarterly Report of Wage and Payroll Statistics (December 2016), the average monthly salary of a male security guard was HK$12,275.00.</w:t>
      </w:r>
    </w:p>
    <w:p w14:paraId="4B0E8F50" w14:textId="77777777" w:rsidR="00CB3070" w:rsidRPr="00B53972" w:rsidRDefault="00CB3070" w:rsidP="00EA1DA2">
      <w:pPr>
        <w:pStyle w:val="ListParagraph"/>
        <w:tabs>
          <w:tab w:val="clear" w:pos="1440"/>
          <w:tab w:val="clear" w:pos="4320"/>
          <w:tab w:val="clear" w:pos="9072"/>
          <w:tab w:val="left" w:pos="2160"/>
        </w:tabs>
        <w:snapToGrid/>
        <w:spacing w:line="360" w:lineRule="auto"/>
        <w:ind w:left="2160" w:hanging="720"/>
        <w:jc w:val="both"/>
        <w:rPr>
          <w:szCs w:val="28"/>
          <w:u w:val="single"/>
        </w:rPr>
      </w:pPr>
    </w:p>
    <w:p w14:paraId="089CBFCA" w14:textId="77777777" w:rsidR="00CB3070" w:rsidRPr="00B53972" w:rsidRDefault="00CB3070" w:rsidP="00EA1DA2">
      <w:pPr>
        <w:pStyle w:val="ListParagraph"/>
        <w:numPr>
          <w:ilvl w:val="0"/>
          <w:numId w:val="26"/>
        </w:numPr>
        <w:tabs>
          <w:tab w:val="clear" w:pos="1440"/>
          <w:tab w:val="clear" w:pos="4320"/>
          <w:tab w:val="clear" w:pos="9072"/>
          <w:tab w:val="left" w:pos="2160"/>
        </w:tabs>
        <w:snapToGrid/>
        <w:spacing w:line="360" w:lineRule="auto"/>
        <w:ind w:left="2160" w:hanging="720"/>
        <w:jc w:val="both"/>
        <w:rPr>
          <w:szCs w:val="28"/>
          <w:u w:val="single"/>
        </w:rPr>
      </w:pPr>
      <w:r w:rsidRPr="00B53972">
        <w:rPr>
          <w:szCs w:val="28"/>
          <w:u w:val="single"/>
        </w:rPr>
        <w:t>Based on Table 8 of the Quarterly Report of Wage and Payroll Statistics (December 2019), the average monthly salary of a male security guard was HK$13,844.00.</w:t>
      </w:r>
    </w:p>
    <w:p w14:paraId="0076660E" w14:textId="77777777" w:rsidR="00CB3070" w:rsidRPr="00B53972" w:rsidRDefault="00CB3070" w:rsidP="00EA1DA2">
      <w:pPr>
        <w:pStyle w:val="ListParagraph"/>
        <w:tabs>
          <w:tab w:val="clear" w:pos="1440"/>
          <w:tab w:val="left" w:pos="2160"/>
        </w:tabs>
        <w:spacing w:line="360" w:lineRule="auto"/>
        <w:ind w:left="2160" w:hanging="720"/>
        <w:rPr>
          <w:szCs w:val="28"/>
          <w:u w:val="single"/>
        </w:rPr>
      </w:pPr>
    </w:p>
    <w:p w14:paraId="5935C701" w14:textId="77777777" w:rsidR="00CB3070" w:rsidRPr="00B53972" w:rsidRDefault="00CB3070" w:rsidP="00EA1DA2">
      <w:pPr>
        <w:pStyle w:val="ListParagraph"/>
        <w:numPr>
          <w:ilvl w:val="0"/>
          <w:numId w:val="26"/>
        </w:numPr>
        <w:tabs>
          <w:tab w:val="clear" w:pos="1440"/>
          <w:tab w:val="clear" w:pos="4320"/>
          <w:tab w:val="clear" w:pos="9072"/>
          <w:tab w:val="left" w:pos="2160"/>
        </w:tabs>
        <w:snapToGrid/>
        <w:spacing w:line="360" w:lineRule="auto"/>
        <w:ind w:left="2160" w:hanging="720"/>
        <w:jc w:val="both"/>
        <w:rPr>
          <w:szCs w:val="28"/>
          <w:u w:val="single"/>
        </w:rPr>
      </w:pPr>
      <w:r w:rsidRPr="00B53972">
        <w:rPr>
          <w:szCs w:val="28"/>
          <w:u w:val="single"/>
        </w:rPr>
        <w:t>The average salary of a male security guard between the period 16 October 2016 to 14 January 2020 is (HK$12,275 + HK$13,844) /2 = HK$13,095.50.</w:t>
      </w:r>
    </w:p>
    <w:p w14:paraId="7F2059BC" w14:textId="77777777" w:rsidR="00CB3070" w:rsidRPr="00B53972" w:rsidRDefault="00CB3070" w:rsidP="00EA1DA2">
      <w:pPr>
        <w:pStyle w:val="ListParagraph"/>
        <w:tabs>
          <w:tab w:val="clear" w:pos="1440"/>
          <w:tab w:val="left" w:pos="2160"/>
        </w:tabs>
        <w:spacing w:line="360" w:lineRule="auto"/>
        <w:ind w:left="2160" w:hanging="720"/>
        <w:rPr>
          <w:szCs w:val="28"/>
          <w:u w:val="single"/>
        </w:rPr>
      </w:pPr>
    </w:p>
    <w:p w14:paraId="171F8DF1" w14:textId="77777777" w:rsidR="00CB3070" w:rsidRPr="00B53972" w:rsidRDefault="00CB3070" w:rsidP="00EA1DA2">
      <w:pPr>
        <w:pStyle w:val="ListParagraph"/>
        <w:numPr>
          <w:ilvl w:val="0"/>
          <w:numId w:val="26"/>
        </w:numPr>
        <w:tabs>
          <w:tab w:val="clear" w:pos="1440"/>
          <w:tab w:val="clear" w:pos="4320"/>
          <w:tab w:val="clear" w:pos="9072"/>
          <w:tab w:val="left" w:pos="2160"/>
        </w:tabs>
        <w:snapToGrid/>
        <w:spacing w:line="360" w:lineRule="auto"/>
        <w:ind w:left="2160" w:hanging="720"/>
        <w:jc w:val="both"/>
        <w:rPr>
          <w:szCs w:val="28"/>
          <w:u w:val="single"/>
        </w:rPr>
      </w:pPr>
      <w:r w:rsidRPr="00B53972">
        <w:rPr>
          <w:szCs w:val="28"/>
          <w:u w:val="single"/>
        </w:rPr>
        <w:t>The expected pre-trial earnings as a security guard is thus: HK$13,095.50 x 1.05 x (38</w:t>
      </w:r>
      <m:oMath>
        <m:r>
          <m:rPr>
            <m:sty m:val="p"/>
          </m:rPr>
          <w:rPr>
            <w:rFonts w:ascii="Cambria Math" w:hAnsi="Cambria Math"/>
            <w:szCs w:val="28"/>
            <w:u w:val="single"/>
          </w:rPr>
          <m:t xml:space="preserve"> </m:t>
        </m:r>
        <m:f>
          <m:fPr>
            <m:ctrlPr>
              <w:rPr>
                <w:rFonts w:ascii="Cambria Math" w:hAnsi="Cambria Math"/>
                <w:szCs w:val="28"/>
                <w:u w:val="single"/>
              </w:rPr>
            </m:ctrlPr>
          </m:fPr>
          <m:num>
            <m:r>
              <m:rPr>
                <m:sty m:val="p"/>
              </m:rPr>
              <w:rPr>
                <w:rFonts w:ascii="Cambria Math" w:hAnsi="Cambria Math"/>
                <w:szCs w:val="28"/>
                <w:u w:val="single"/>
              </w:rPr>
              <m:t>27</m:t>
            </m:r>
          </m:num>
          <m:den>
            <m:r>
              <m:rPr>
                <m:sty m:val="p"/>
              </m:rPr>
              <w:rPr>
                <w:rFonts w:ascii="Cambria Math" w:hAnsi="Cambria Math"/>
                <w:szCs w:val="28"/>
                <w:u w:val="single"/>
              </w:rPr>
              <m:t>30</m:t>
            </m:r>
          </m:den>
        </m:f>
      </m:oMath>
      <w:r w:rsidRPr="00B53972">
        <w:rPr>
          <w:szCs w:val="28"/>
          <w:u w:val="single"/>
        </w:rPr>
        <w:t>) = HK$533,415.28</w:t>
      </w:r>
    </w:p>
    <w:p w14:paraId="309507C8" w14:textId="77777777" w:rsidR="00CB3070" w:rsidRPr="00B53972" w:rsidRDefault="00CB3070" w:rsidP="003A49EA">
      <w:pPr>
        <w:pStyle w:val="ListParagraph"/>
        <w:tabs>
          <w:tab w:val="left" w:pos="2160"/>
        </w:tabs>
        <w:spacing w:line="360" w:lineRule="auto"/>
        <w:ind w:left="1440"/>
        <w:rPr>
          <w:szCs w:val="28"/>
          <w:u w:val="single"/>
        </w:rPr>
      </w:pPr>
    </w:p>
    <w:p w14:paraId="60584418" w14:textId="1EE84C2F" w:rsidR="00CB3070" w:rsidRPr="00B53972" w:rsidRDefault="00CB3070" w:rsidP="003A49EA">
      <w:pPr>
        <w:pStyle w:val="ListParagraph"/>
        <w:tabs>
          <w:tab w:val="clear" w:pos="1440"/>
          <w:tab w:val="left" w:pos="2160"/>
        </w:tabs>
        <w:spacing w:line="360" w:lineRule="auto"/>
        <w:ind w:left="1440"/>
        <w:rPr>
          <w:szCs w:val="28"/>
          <w:u w:val="single"/>
        </w:rPr>
      </w:pPr>
      <w:r w:rsidRPr="00B53972">
        <w:rPr>
          <w:szCs w:val="28"/>
          <w:u w:val="single"/>
        </w:rPr>
        <w:t>Pre-Trial Loss of earnings</w:t>
      </w:r>
    </w:p>
    <w:p w14:paraId="35392EA7" w14:textId="77777777" w:rsidR="00CB3070" w:rsidRPr="00B53972" w:rsidRDefault="00CB3070" w:rsidP="003A49EA">
      <w:pPr>
        <w:tabs>
          <w:tab w:val="clear" w:pos="1440"/>
          <w:tab w:val="clear" w:pos="4320"/>
          <w:tab w:val="clear" w:pos="9072"/>
          <w:tab w:val="left" w:pos="2160"/>
        </w:tabs>
        <w:snapToGrid/>
        <w:spacing w:line="360" w:lineRule="auto"/>
        <w:ind w:left="1440"/>
        <w:jc w:val="both"/>
        <w:rPr>
          <w:szCs w:val="28"/>
          <w:u w:val="single"/>
        </w:rPr>
      </w:pPr>
    </w:p>
    <w:p w14:paraId="6DBF7FA7" w14:textId="77777777" w:rsidR="00CB3070" w:rsidRPr="00D12A2D" w:rsidRDefault="00CB3070" w:rsidP="003A49EA">
      <w:pPr>
        <w:tabs>
          <w:tab w:val="clear" w:pos="1440"/>
          <w:tab w:val="clear" w:pos="4320"/>
          <w:tab w:val="clear" w:pos="9072"/>
          <w:tab w:val="left" w:pos="2160"/>
        </w:tabs>
        <w:snapToGrid/>
        <w:spacing w:line="360" w:lineRule="auto"/>
        <w:ind w:left="1440"/>
        <w:jc w:val="both"/>
        <w:rPr>
          <w:szCs w:val="28"/>
        </w:rPr>
      </w:pPr>
      <w:r w:rsidRPr="00B53972">
        <w:rPr>
          <w:szCs w:val="28"/>
          <w:u w:val="single"/>
        </w:rPr>
        <w:t xml:space="preserve">The plaintiff’s pre- trial loss of earnings is thus the plaintiff’s notional earnings from 15 September 2015 to 14 January 2020 minus what he could have earned as a security guard from 16 October 2016 to 14 January 2020, i.e. HK$1,101,443.94 – HK$533,415.28 = </w:t>
      </w:r>
      <w:r w:rsidRPr="00B53972">
        <w:rPr>
          <w:b/>
          <w:bCs/>
          <w:szCs w:val="28"/>
          <w:u w:val="single"/>
        </w:rPr>
        <w:t>HK$568,028.66</w:t>
      </w:r>
      <w:r w:rsidRPr="00B53972">
        <w:rPr>
          <w:szCs w:val="28"/>
          <w:u w:val="single"/>
        </w:rPr>
        <w:t>.</w:t>
      </w:r>
      <w:r>
        <w:rPr>
          <w:szCs w:val="28"/>
        </w:rPr>
        <w:t>”</w:t>
      </w:r>
    </w:p>
    <w:p w14:paraId="66798A5D" w14:textId="77777777" w:rsidR="00CB3070" w:rsidRDefault="00CB3070" w:rsidP="00E76697">
      <w:pPr>
        <w:tabs>
          <w:tab w:val="clear" w:pos="4320"/>
          <w:tab w:val="clear" w:pos="9072"/>
        </w:tabs>
        <w:snapToGrid/>
        <w:spacing w:line="360" w:lineRule="auto"/>
        <w:jc w:val="both"/>
        <w:rPr>
          <w:szCs w:val="28"/>
        </w:rPr>
      </w:pPr>
    </w:p>
    <w:p w14:paraId="5FBE0E2A" w14:textId="3698C7EE" w:rsidR="00CB3070" w:rsidRPr="00CE2FBC" w:rsidRDefault="00C9271C" w:rsidP="00E76697">
      <w:pPr>
        <w:spacing w:line="360" w:lineRule="auto"/>
        <w:rPr>
          <w:i/>
          <w:iCs/>
          <w:szCs w:val="28"/>
        </w:rPr>
      </w:pPr>
      <w:r>
        <w:rPr>
          <w:i/>
          <w:iCs/>
          <w:szCs w:val="28"/>
        </w:rPr>
        <w:t xml:space="preserve">F3. </w:t>
      </w:r>
      <w:r w:rsidR="00CB3070" w:rsidRPr="00CE2FBC">
        <w:rPr>
          <w:i/>
          <w:iCs/>
          <w:szCs w:val="28"/>
        </w:rPr>
        <w:t>Calculation of Post-Trial Loss of Earnings &amp; MPF</w:t>
      </w:r>
    </w:p>
    <w:p w14:paraId="19324F2E" w14:textId="77777777" w:rsidR="00CB3070" w:rsidRDefault="00CB3070" w:rsidP="00E76697">
      <w:pPr>
        <w:tabs>
          <w:tab w:val="clear" w:pos="4320"/>
          <w:tab w:val="clear" w:pos="9072"/>
        </w:tabs>
        <w:snapToGrid/>
        <w:spacing w:line="360" w:lineRule="auto"/>
        <w:jc w:val="both"/>
        <w:rPr>
          <w:szCs w:val="28"/>
        </w:rPr>
      </w:pPr>
    </w:p>
    <w:p w14:paraId="3A145D18" w14:textId="77777777" w:rsidR="00CB3070" w:rsidRDefault="00CB3070" w:rsidP="00E76697">
      <w:pPr>
        <w:numPr>
          <w:ilvl w:val="0"/>
          <w:numId w:val="21"/>
        </w:numPr>
        <w:tabs>
          <w:tab w:val="clear" w:pos="4320"/>
          <w:tab w:val="clear" w:pos="9072"/>
        </w:tabs>
        <w:snapToGrid/>
        <w:spacing w:line="360" w:lineRule="auto"/>
        <w:ind w:left="0" w:firstLine="0"/>
        <w:jc w:val="both"/>
        <w:rPr>
          <w:szCs w:val="28"/>
        </w:rPr>
      </w:pPr>
      <w:r>
        <w:rPr>
          <w:szCs w:val="28"/>
        </w:rPr>
        <w:t xml:space="preserve">As the above calculation for pre-judgment loss of earnings was based on the updated figures, it was agreed between the parties that to be consistent, the calculation of post-trial loss of income would need to adopt the updated figures in Table 8 of the Quarterly Report of Wage and Payroll Statistics (December 2019) and the average daily wages of general </w:t>
      </w:r>
      <w:r>
        <w:rPr>
          <w:szCs w:val="28"/>
        </w:rPr>
        <w:lastRenderedPageBreak/>
        <w:t xml:space="preserve">labourers in January 2020 as well.  The updated calculation of the post-trial loss of income is thus: (HK$21,000.93 – HK$13,844) x 12 months x 8.4 x 1.05 = </w:t>
      </w:r>
      <w:r w:rsidRPr="00D12A2D">
        <w:rPr>
          <w:b/>
          <w:bCs/>
          <w:szCs w:val="28"/>
        </w:rPr>
        <w:t>HK$757,489.47</w:t>
      </w:r>
      <w:r>
        <w:rPr>
          <w:szCs w:val="28"/>
        </w:rPr>
        <w:t>.</w:t>
      </w:r>
    </w:p>
    <w:p w14:paraId="3A444333" w14:textId="71DDCC04" w:rsidR="00CB3070" w:rsidRDefault="00CB3070" w:rsidP="00E76697">
      <w:pPr>
        <w:tabs>
          <w:tab w:val="clear" w:pos="4320"/>
          <w:tab w:val="clear" w:pos="9072"/>
        </w:tabs>
        <w:snapToGrid/>
        <w:spacing w:line="360" w:lineRule="auto"/>
        <w:jc w:val="both"/>
        <w:rPr>
          <w:szCs w:val="28"/>
        </w:rPr>
      </w:pPr>
    </w:p>
    <w:p w14:paraId="64E8ACE3" w14:textId="2E4E2B0F" w:rsidR="006E0F68" w:rsidRDefault="006E0F68" w:rsidP="00E76697">
      <w:pPr>
        <w:tabs>
          <w:tab w:val="clear" w:pos="4320"/>
          <w:tab w:val="clear" w:pos="9072"/>
        </w:tabs>
        <w:snapToGrid/>
        <w:spacing w:line="360" w:lineRule="auto"/>
        <w:jc w:val="both"/>
        <w:rPr>
          <w:szCs w:val="28"/>
        </w:rPr>
      </w:pPr>
    </w:p>
    <w:p w14:paraId="07D6BCF0" w14:textId="77777777" w:rsidR="006E0F68" w:rsidRDefault="006E0F68" w:rsidP="00E76697">
      <w:pPr>
        <w:tabs>
          <w:tab w:val="clear" w:pos="4320"/>
          <w:tab w:val="clear" w:pos="9072"/>
        </w:tabs>
        <w:snapToGrid/>
        <w:spacing w:line="360" w:lineRule="auto"/>
        <w:jc w:val="both"/>
        <w:rPr>
          <w:szCs w:val="28"/>
        </w:rPr>
      </w:pPr>
    </w:p>
    <w:p w14:paraId="67D2E16D" w14:textId="71B8E0D2" w:rsidR="00CB3070" w:rsidRPr="006E0F68" w:rsidRDefault="00C9271C" w:rsidP="00E76697">
      <w:pPr>
        <w:tabs>
          <w:tab w:val="clear" w:pos="4320"/>
          <w:tab w:val="clear" w:pos="9072"/>
        </w:tabs>
        <w:snapToGrid/>
        <w:spacing w:line="360" w:lineRule="auto"/>
        <w:jc w:val="both"/>
        <w:rPr>
          <w:i/>
          <w:szCs w:val="28"/>
        </w:rPr>
      </w:pPr>
      <w:r>
        <w:rPr>
          <w:i/>
          <w:szCs w:val="28"/>
        </w:rPr>
        <w:t xml:space="preserve">F4. </w:t>
      </w:r>
      <w:r w:rsidR="00CB3070" w:rsidRPr="006E0F68">
        <w:rPr>
          <w:i/>
          <w:szCs w:val="28"/>
        </w:rPr>
        <w:t>Paragraph 75 of the Judgment</w:t>
      </w:r>
    </w:p>
    <w:p w14:paraId="201F1400" w14:textId="77777777" w:rsidR="00CB3070" w:rsidRDefault="00CB3070" w:rsidP="00E76697">
      <w:pPr>
        <w:tabs>
          <w:tab w:val="clear" w:pos="4320"/>
          <w:tab w:val="clear" w:pos="9072"/>
        </w:tabs>
        <w:snapToGrid/>
        <w:spacing w:line="360" w:lineRule="auto"/>
        <w:jc w:val="both"/>
        <w:rPr>
          <w:szCs w:val="28"/>
        </w:rPr>
      </w:pPr>
    </w:p>
    <w:p w14:paraId="634F1213" w14:textId="77777777" w:rsidR="00CB3070" w:rsidRDefault="00CB3070" w:rsidP="00E76697">
      <w:pPr>
        <w:numPr>
          <w:ilvl w:val="0"/>
          <w:numId w:val="21"/>
        </w:numPr>
        <w:tabs>
          <w:tab w:val="clear" w:pos="4320"/>
          <w:tab w:val="clear" w:pos="9072"/>
        </w:tabs>
        <w:snapToGrid/>
        <w:spacing w:line="360" w:lineRule="auto"/>
        <w:ind w:left="0" w:firstLine="0"/>
        <w:jc w:val="both"/>
        <w:rPr>
          <w:szCs w:val="28"/>
        </w:rPr>
      </w:pPr>
      <w:r>
        <w:rPr>
          <w:szCs w:val="28"/>
        </w:rPr>
        <w:t>Paragraph 75 of the Judgment should thus be amended to read as follows, with underlining to show the amendments made:</w:t>
      </w:r>
    </w:p>
    <w:p w14:paraId="6B754714" w14:textId="77777777" w:rsidR="00CB3070" w:rsidRDefault="00CB3070" w:rsidP="00E76697">
      <w:pPr>
        <w:pStyle w:val="ListParagraph"/>
        <w:spacing w:line="360" w:lineRule="auto"/>
        <w:rPr>
          <w:szCs w:val="28"/>
        </w:rPr>
      </w:pPr>
    </w:p>
    <w:p w14:paraId="0D34C4DA" w14:textId="77777777" w:rsidR="00CB3070" w:rsidRDefault="00CB3070" w:rsidP="00E76697">
      <w:pPr>
        <w:tabs>
          <w:tab w:val="clear" w:pos="4320"/>
          <w:tab w:val="clear" w:pos="9072"/>
        </w:tabs>
        <w:snapToGrid/>
        <w:spacing w:line="360" w:lineRule="auto"/>
        <w:ind w:left="1560" w:hanging="1560"/>
        <w:jc w:val="both"/>
        <w:rPr>
          <w:szCs w:val="28"/>
        </w:rPr>
      </w:pPr>
      <w:r>
        <w:rPr>
          <w:szCs w:val="28"/>
        </w:rPr>
        <w:tab/>
        <w:t>“</w:t>
      </w:r>
      <w:r w:rsidRPr="00C47B4B">
        <w:rPr>
          <w:szCs w:val="28"/>
        </w:rPr>
        <w:t xml:space="preserve">The plaintiff worked as a security guard from March 2019 to 1 October 2019 and his average monthly income was HK$8,742.93.  I do not agree this figure should be adopted as the plaintiff’s monthly earnings as a security guard.  </w:t>
      </w:r>
      <w:r w:rsidRPr="00B53972">
        <w:rPr>
          <w:szCs w:val="28"/>
          <w:u w:val="single"/>
        </w:rPr>
        <w:t>Based on Table 8 of the Quarterly Report of Wage and Payroll Statistics (December 2019), the average monthly salary of a male security guard was HK$13,844.00.</w:t>
      </w:r>
      <w:r w:rsidRPr="00C47B4B">
        <w:rPr>
          <w:szCs w:val="28"/>
        </w:rPr>
        <w:t xml:space="preserve">  </w:t>
      </w:r>
      <w:r>
        <w:rPr>
          <w:szCs w:val="28"/>
        </w:rPr>
        <w:t xml:space="preserve">I already found the plaintiff to be physically fit for a job as a security guard.  I also found that the plaintiff would be able to resume working as a security guard with his residual psychiatric symptoms.  No explanation was given on why the plaintiff would fail to achieve the average income of a security guard.  I would therefore adopt </w:t>
      </w:r>
      <w:r w:rsidRPr="00B53972">
        <w:rPr>
          <w:szCs w:val="28"/>
          <w:u w:val="single"/>
        </w:rPr>
        <w:t>HK$13,844</w:t>
      </w:r>
      <w:r>
        <w:rPr>
          <w:szCs w:val="28"/>
        </w:rPr>
        <w:t xml:space="preserve"> as the figure of what the plaintiff should be able to earn from the date of trial onwards.”</w:t>
      </w:r>
    </w:p>
    <w:p w14:paraId="3C7098F7" w14:textId="77777777" w:rsidR="00CB3070" w:rsidRDefault="00CB3070" w:rsidP="00E76697">
      <w:pPr>
        <w:tabs>
          <w:tab w:val="clear" w:pos="4320"/>
          <w:tab w:val="clear" w:pos="9072"/>
        </w:tabs>
        <w:snapToGrid/>
        <w:spacing w:line="360" w:lineRule="auto"/>
        <w:jc w:val="both"/>
        <w:rPr>
          <w:szCs w:val="28"/>
          <w:u w:val="single"/>
        </w:rPr>
      </w:pPr>
    </w:p>
    <w:p w14:paraId="46A9174B" w14:textId="001B133E" w:rsidR="00CB3070" w:rsidRPr="006E0F68" w:rsidRDefault="00C9271C" w:rsidP="00E76697">
      <w:pPr>
        <w:tabs>
          <w:tab w:val="clear" w:pos="4320"/>
          <w:tab w:val="clear" w:pos="9072"/>
        </w:tabs>
        <w:snapToGrid/>
        <w:spacing w:line="360" w:lineRule="auto"/>
        <w:jc w:val="both"/>
        <w:rPr>
          <w:i/>
          <w:szCs w:val="28"/>
        </w:rPr>
      </w:pPr>
      <w:r>
        <w:rPr>
          <w:i/>
          <w:szCs w:val="28"/>
        </w:rPr>
        <w:t xml:space="preserve">F5. </w:t>
      </w:r>
      <w:r w:rsidR="00CB3070" w:rsidRPr="006E0F68">
        <w:rPr>
          <w:i/>
          <w:szCs w:val="28"/>
        </w:rPr>
        <w:t>Paragraph 77 of the Judgment</w:t>
      </w:r>
    </w:p>
    <w:p w14:paraId="5FEF70BC" w14:textId="77777777" w:rsidR="00CB3070" w:rsidRDefault="00CB3070" w:rsidP="00E76697">
      <w:pPr>
        <w:tabs>
          <w:tab w:val="clear" w:pos="4320"/>
          <w:tab w:val="clear" w:pos="9072"/>
        </w:tabs>
        <w:snapToGrid/>
        <w:spacing w:line="360" w:lineRule="auto"/>
        <w:ind w:left="1560" w:hanging="1560"/>
        <w:jc w:val="both"/>
        <w:rPr>
          <w:szCs w:val="28"/>
        </w:rPr>
      </w:pPr>
    </w:p>
    <w:p w14:paraId="7FC4C9FD" w14:textId="77777777" w:rsidR="00CB3070" w:rsidRDefault="00CB3070" w:rsidP="00E76697">
      <w:pPr>
        <w:numPr>
          <w:ilvl w:val="0"/>
          <w:numId w:val="21"/>
        </w:numPr>
        <w:tabs>
          <w:tab w:val="clear" w:pos="4320"/>
          <w:tab w:val="clear" w:pos="9072"/>
        </w:tabs>
        <w:snapToGrid/>
        <w:spacing w:line="360" w:lineRule="auto"/>
        <w:ind w:left="0" w:firstLine="0"/>
        <w:jc w:val="both"/>
        <w:rPr>
          <w:szCs w:val="28"/>
        </w:rPr>
      </w:pPr>
      <w:r>
        <w:rPr>
          <w:szCs w:val="28"/>
        </w:rPr>
        <w:lastRenderedPageBreak/>
        <w:t>Paragraph 77 of the Judgment should be amended to read as follows, with underlining to show the amendments made:</w:t>
      </w:r>
    </w:p>
    <w:p w14:paraId="3B85EC1E" w14:textId="77777777" w:rsidR="00CB3070" w:rsidRDefault="00CB3070" w:rsidP="00E76697">
      <w:pPr>
        <w:tabs>
          <w:tab w:val="clear" w:pos="4320"/>
          <w:tab w:val="clear" w:pos="9072"/>
        </w:tabs>
        <w:snapToGrid/>
        <w:spacing w:line="360" w:lineRule="auto"/>
        <w:jc w:val="both"/>
        <w:rPr>
          <w:szCs w:val="28"/>
        </w:rPr>
      </w:pPr>
    </w:p>
    <w:p w14:paraId="1BC00275" w14:textId="77777777" w:rsidR="00CB3070" w:rsidRDefault="00CB3070" w:rsidP="00E76697">
      <w:pPr>
        <w:pStyle w:val="ListParagraph"/>
        <w:tabs>
          <w:tab w:val="clear" w:pos="4320"/>
          <w:tab w:val="clear" w:pos="9072"/>
        </w:tabs>
        <w:spacing w:line="360" w:lineRule="auto"/>
        <w:ind w:left="1418"/>
        <w:jc w:val="both"/>
        <w:rPr>
          <w:szCs w:val="28"/>
        </w:rPr>
      </w:pPr>
      <w:r>
        <w:rPr>
          <w:szCs w:val="28"/>
        </w:rPr>
        <w:t>“Consequently, the plaintiff’s post-trial loss of income is:</w:t>
      </w:r>
    </w:p>
    <w:p w14:paraId="302B07E4" w14:textId="77777777" w:rsidR="00CB3070" w:rsidRPr="00C47B4B" w:rsidRDefault="00CB3070" w:rsidP="00E76697">
      <w:pPr>
        <w:pStyle w:val="ListParagraph"/>
        <w:spacing w:line="360" w:lineRule="auto"/>
        <w:rPr>
          <w:szCs w:val="28"/>
          <w:u w:val="single"/>
        </w:rPr>
      </w:pPr>
      <w:r>
        <w:rPr>
          <w:szCs w:val="28"/>
        </w:rPr>
        <w:tab/>
      </w:r>
    </w:p>
    <w:p w14:paraId="7DDA70F1" w14:textId="77777777" w:rsidR="00CB3070" w:rsidRDefault="00CB3070" w:rsidP="00E76697">
      <w:pPr>
        <w:tabs>
          <w:tab w:val="clear" w:pos="4320"/>
          <w:tab w:val="clear" w:pos="9072"/>
        </w:tabs>
        <w:snapToGrid/>
        <w:spacing w:line="360" w:lineRule="auto"/>
        <w:ind w:left="1418" w:hanging="1418"/>
        <w:jc w:val="both"/>
        <w:rPr>
          <w:szCs w:val="28"/>
        </w:rPr>
      </w:pPr>
      <w:r>
        <w:rPr>
          <w:szCs w:val="28"/>
        </w:rPr>
        <w:tab/>
      </w:r>
      <w:r w:rsidRPr="00562FDB">
        <w:rPr>
          <w:szCs w:val="28"/>
          <w:u w:val="single"/>
        </w:rPr>
        <w:t>(HK$21,000.93 – HK$13,844)</w:t>
      </w:r>
      <w:r>
        <w:rPr>
          <w:szCs w:val="28"/>
        </w:rPr>
        <w:t xml:space="preserve"> x 12 months x 8.4 x 1.05 = </w:t>
      </w:r>
      <w:r w:rsidRPr="00562FDB">
        <w:rPr>
          <w:szCs w:val="28"/>
          <w:u w:val="single"/>
        </w:rPr>
        <w:t>HK$757,489.47</w:t>
      </w:r>
      <w:r>
        <w:rPr>
          <w:szCs w:val="28"/>
        </w:rPr>
        <w:t>.</w:t>
      </w:r>
    </w:p>
    <w:p w14:paraId="402BD9D1" w14:textId="77777777" w:rsidR="00CB3070" w:rsidRDefault="00CB3070" w:rsidP="00E76697">
      <w:pPr>
        <w:pStyle w:val="ListParagraph"/>
        <w:spacing w:line="360" w:lineRule="auto"/>
        <w:rPr>
          <w:szCs w:val="28"/>
        </w:rPr>
      </w:pPr>
    </w:p>
    <w:p w14:paraId="6D5001F6" w14:textId="16157387" w:rsidR="00CB3070" w:rsidRPr="006E0F68" w:rsidRDefault="00C9271C" w:rsidP="00E76697">
      <w:pPr>
        <w:tabs>
          <w:tab w:val="clear" w:pos="4320"/>
          <w:tab w:val="clear" w:pos="9072"/>
        </w:tabs>
        <w:snapToGrid/>
        <w:spacing w:line="360" w:lineRule="auto"/>
        <w:jc w:val="both"/>
        <w:rPr>
          <w:i/>
          <w:szCs w:val="28"/>
        </w:rPr>
      </w:pPr>
      <w:r>
        <w:rPr>
          <w:i/>
          <w:szCs w:val="28"/>
        </w:rPr>
        <w:t xml:space="preserve">F6. </w:t>
      </w:r>
      <w:r w:rsidR="00CB3070" w:rsidRPr="006E0F68">
        <w:rPr>
          <w:i/>
          <w:szCs w:val="28"/>
        </w:rPr>
        <w:t>Paragraph 81 of the Judgment</w:t>
      </w:r>
    </w:p>
    <w:p w14:paraId="31682ECF" w14:textId="77777777" w:rsidR="00CB3070" w:rsidRDefault="00CB3070" w:rsidP="00E76697">
      <w:pPr>
        <w:pStyle w:val="ListParagraph"/>
        <w:spacing w:line="360" w:lineRule="auto"/>
        <w:rPr>
          <w:szCs w:val="28"/>
        </w:rPr>
      </w:pPr>
    </w:p>
    <w:p w14:paraId="04D8792B" w14:textId="77777777" w:rsidR="00CB3070" w:rsidRDefault="00CB3070" w:rsidP="00E76697">
      <w:pPr>
        <w:numPr>
          <w:ilvl w:val="0"/>
          <w:numId w:val="21"/>
        </w:numPr>
        <w:tabs>
          <w:tab w:val="clear" w:pos="4320"/>
          <w:tab w:val="clear" w:pos="9072"/>
        </w:tabs>
        <w:snapToGrid/>
        <w:spacing w:line="360" w:lineRule="auto"/>
        <w:ind w:left="0" w:firstLine="0"/>
        <w:jc w:val="both"/>
        <w:rPr>
          <w:szCs w:val="28"/>
        </w:rPr>
      </w:pPr>
      <w:r>
        <w:rPr>
          <w:szCs w:val="28"/>
        </w:rPr>
        <w:t>The Summary under paragraph 81 should be consequentially amended to read as follows, with underlining to show the amendments made:</w:t>
      </w:r>
    </w:p>
    <w:p w14:paraId="7FAD2269" w14:textId="77777777" w:rsidR="00CB3070" w:rsidRDefault="00CB3070" w:rsidP="00E76697">
      <w:pPr>
        <w:tabs>
          <w:tab w:val="clear" w:pos="4320"/>
          <w:tab w:val="clear" w:pos="9072"/>
        </w:tabs>
        <w:snapToGrid/>
        <w:spacing w:line="360" w:lineRule="auto"/>
        <w:jc w:val="both"/>
        <w:rPr>
          <w:szCs w:val="28"/>
        </w:rPr>
      </w:pPr>
    </w:p>
    <w:p w14:paraId="300E1466" w14:textId="77777777" w:rsidR="00CB3070" w:rsidRPr="003210FE" w:rsidRDefault="00CB3070" w:rsidP="00E76697">
      <w:pPr>
        <w:pStyle w:val="normal2"/>
        <w:tabs>
          <w:tab w:val="clear" w:pos="1411"/>
          <w:tab w:val="right" w:pos="8100"/>
        </w:tabs>
        <w:overflowPunct/>
        <w:autoSpaceDE/>
        <w:autoSpaceDN/>
        <w:ind w:left="709" w:firstLine="709"/>
        <w:jc w:val="both"/>
        <w:rPr>
          <w:rFonts w:eastAsia="宋体"/>
          <w:i/>
          <w:caps w:val="0"/>
          <w:lang w:val="en-US"/>
        </w:rPr>
      </w:pPr>
      <w:r>
        <w:rPr>
          <w:rFonts w:eastAsia="宋体"/>
          <w:i/>
          <w:caps w:val="0"/>
          <w:lang w:val="en-US"/>
        </w:rPr>
        <w:t>“</w:t>
      </w:r>
      <w:r>
        <w:rPr>
          <w:rFonts w:eastAsia="宋体" w:hint="eastAsia"/>
          <w:i/>
          <w:caps w:val="0"/>
          <w:lang w:val="en-US"/>
        </w:rPr>
        <w:t>Summary</w:t>
      </w:r>
    </w:p>
    <w:p w14:paraId="27316971" w14:textId="77777777" w:rsidR="00CB3070" w:rsidRDefault="00CB3070" w:rsidP="006E0F68">
      <w:pPr>
        <w:pStyle w:val="normal2"/>
        <w:tabs>
          <w:tab w:val="clear" w:pos="1411"/>
          <w:tab w:val="right" w:pos="8100"/>
        </w:tabs>
        <w:overflowPunct/>
        <w:autoSpaceDE/>
        <w:autoSpaceDN/>
        <w:ind w:left="1440"/>
        <w:jc w:val="both"/>
        <w:rPr>
          <w:rFonts w:eastAsiaTheme="minorEastAsia"/>
          <w:caps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4843"/>
        <w:gridCol w:w="3229"/>
      </w:tblGrid>
      <w:tr w:rsidR="00CB3070" w14:paraId="288C0D5A" w14:textId="77777777" w:rsidTr="00EA372A">
        <w:tc>
          <w:tcPr>
            <w:tcW w:w="234" w:type="dxa"/>
          </w:tcPr>
          <w:p w14:paraId="2DA6EC78"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4843" w:type="dxa"/>
          </w:tcPr>
          <w:p w14:paraId="77CA77F4"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3229" w:type="dxa"/>
          </w:tcPr>
          <w:p w14:paraId="2D68CCF8" w14:textId="77777777" w:rsidR="00CB3070" w:rsidRDefault="00CB3070" w:rsidP="00E76697">
            <w:pPr>
              <w:pStyle w:val="normal2"/>
              <w:tabs>
                <w:tab w:val="clear" w:pos="1411"/>
                <w:tab w:val="right" w:pos="8100"/>
              </w:tabs>
              <w:overflowPunct/>
              <w:autoSpaceDE/>
              <w:autoSpaceDN/>
              <w:ind w:left="709" w:firstLine="709"/>
              <w:rPr>
                <w:rFonts w:eastAsiaTheme="minorEastAsia"/>
                <w:caps w:val="0"/>
              </w:rPr>
            </w:pPr>
            <w:r>
              <w:rPr>
                <w:rFonts w:eastAsiaTheme="minorEastAsia" w:hint="eastAsia"/>
                <w:caps w:val="0"/>
              </w:rPr>
              <w:t>HK$</w:t>
            </w:r>
          </w:p>
        </w:tc>
      </w:tr>
      <w:tr w:rsidR="00CB3070" w14:paraId="0D22E650" w14:textId="77777777" w:rsidTr="00EA372A">
        <w:tc>
          <w:tcPr>
            <w:tcW w:w="234" w:type="dxa"/>
          </w:tcPr>
          <w:p w14:paraId="1FE90592"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4843" w:type="dxa"/>
          </w:tcPr>
          <w:p w14:paraId="49877DA4"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r>
              <w:rPr>
                <w:rFonts w:eastAsiaTheme="minorEastAsia" w:hint="eastAsia"/>
                <w:caps w:val="0"/>
              </w:rPr>
              <w:t>PSLA</w:t>
            </w:r>
          </w:p>
        </w:tc>
        <w:tc>
          <w:tcPr>
            <w:tcW w:w="3229" w:type="dxa"/>
          </w:tcPr>
          <w:p w14:paraId="6DEBE0FB" w14:textId="77777777" w:rsidR="00CB3070" w:rsidRDefault="00CB3070" w:rsidP="00E76697">
            <w:pPr>
              <w:pStyle w:val="normal2"/>
              <w:tabs>
                <w:tab w:val="clear" w:pos="1411"/>
                <w:tab w:val="right" w:pos="8100"/>
              </w:tabs>
              <w:overflowPunct/>
              <w:autoSpaceDE/>
              <w:autoSpaceDN/>
              <w:ind w:left="709" w:firstLine="709"/>
              <w:jc w:val="right"/>
              <w:rPr>
                <w:rFonts w:eastAsiaTheme="minorEastAsia"/>
                <w:caps w:val="0"/>
              </w:rPr>
            </w:pPr>
            <w:r>
              <w:rPr>
                <w:rFonts w:eastAsiaTheme="minorEastAsia"/>
                <w:caps w:val="0"/>
              </w:rPr>
              <w:t>250,000.00</w:t>
            </w:r>
          </w:p>
        </w:tc>
      </w:tr>
      <w:tr w:rsidR="00CB3070" w14:paraId="1D813414" w14:textId="77777777" w:rsidTr="00EA372A">
        <w:tc>
          <w:tcPr>
            <w:tcW w:w="234" w:type="dxa"/>
          </w:tcPr>
          <w:p w14:paraId="0EEA388C"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4843" w:type="dxa"/>
          </w:tcPr>
          <w:p w14:paraId="4A881027"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r>
              <w:rPr>
                <w:rFonts w:eastAsiaTheme="minorEastAsia"/>
                <w:caps w:val="0"/>
              </w:rPr>
              <w:t>P</w:t>
            </w:r>
            <w:r>
              <w:rPr>
                <w:rFonts w:eastAsiaTheme="minorEastAsia" w:hint="eastAsia"/>
                <w:caps w:val="0"/>
              </w:rPr>
              <w:t>re-trial loss of earnings</w:t>
            </w:r>
          </w:p>
        </w:tc>
        <w:tc>
          <w:tcPr>
            <w:tcW w:w="3229" w:type="dxa"/>
          </w:tcPr>
          <w:p w14:paraId="60E071F8" w14:textId="77777777" w:rsidR="00CB3070" w:rsidRPr="00CB5D15" w:rsidRDefault="00CB3070" w:rsidP="00E76697">
            <w:pPr>
              <w:pStyle w:val="normal2"/>
              <w:tabs>
                <w:tab w:val="clear" w:pos="1411"/>
                <w:tab w:val="right" w:pos="8100"/>
              </w:tabs>
              <w:overflowPunct/>
              <w:autoSpaceDE/>
              <w:autoSpaceDN/>
              <w:ind w:left="709" w:firstLine="709"/>
              <w:jc w:val="right"/>
              <w:rPr>
                <w:rFonts w:eastAsiaTheme="minorEastAsia"/>
                <w:caps w:val="0"/>
                <w:u w:val="single"/>
              </w:rPr>
            </w:pPr>
            <w:r w:rsidRPr="00CB5D15">
              <w:rPr>
                <w:szCs w:val="28"/>
                <w:u w:val="single"/>
              </w:rPr>
              <w:t>568,028.66</w:t>
            </w:r>
          </w:p>
        </w:tc>
      </w:tr>
      <w:tr w:rsidR="00CB3070" w14:paraId="468DE661" w14:textId="77777777" w:rsidTr="00EA372A">
        <w:tc>
          <w:tcPr>
            <w:tcW w:w="234" w:type="dxa"/>
          </w:tcPr>
          <w:p w14:paraId="00B795D9"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4843" w:type="dxa"/>
          </w:tcPr>
          <w:p w14:paraId="1DFC4A40"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r>
              <w:rPr>
                <w:rFonts w:eastAsiaTheme="minorEastAsia" w:hint="eastAsia"/>
                <w:caps w:val="0"/>
              </w:rPr>
              <w:t>Future loss of earnings</w:t>
            </w:r>
          </w:p>
        </w:tc>
        <w:tc>
          <w:tcPr>
            <w:tcW w:w="3229" w:type="dxa"/>
          </w:tcPr>
          <w:p w14:paraId="72B9375D" w14:textId="77777777" w:rsidR="00CB3070" w:rsidRPr="00CB5D15" w:rsidRDefault="00CB3070" w:rsidP="00E76697">
            <w:pPr>
              <w:pStyle w:val="normal2"/>
              <w:tabs>
                <w:tab w:val="clear" w:pos="1411"/>
                <w:tab w:val="right" w:pos="8100"/>
              </w:tabs>
              <w:overflowPunct/>
              <w:autoSpaceDE/>
              <w:autoSpaceDN/>
              <w:ind w:left="709" w:firstLine="709"/>
              <w:jc w:val="right"/>
              <w:rPr>
                <w:rFonts w:eastAsiaTheme="minorEastAsia"/>
                <w:caps w:val="0"/>
                <w:u w:val="single"/>
              </w:rPr>
            </w:pPr>
            <w:r w:rsidRPr="00CB5D15">
              <w:rPr>
                <w:szCs w:val="28"/>
                <w:u w:val="single"/>
              </w:rPr>
              <w:t>757,489.47</w:t>
            </w:r>
          </w:p>
        </w:tc>
      </w:tr>
      <w:tr w:rsidR="00CB3070" w14:paraId="13DF5D29" w14:textId="77777777" w:rsidTr="00EA372A">
        <w:tc>
          <w:tcPr>
            <w:tcW w:w="234" w:type="dxa"/>
          </w:tcPr>
          <w:p w14:paraId="4CCBF593"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4843" w:type="dxa"/>
          </w:tcPr>
          <w:p w14:paraId="4798D62E"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r>
              <w:rPr>
                <w:rFonts w:eastAsiaTheme="minorEastAsia"/>
                <w:caps w:val="0"/>
              </w:rPr>
              <w:t>L</w:t>
            </w:r>
            <w:r>
              <w:rPr>
                <w:rFonts w:eastAsiaTheme="minorEastAsia" w:hint="eastAsia"/>
                <w:caps w:val="0"/>
              </w:rPr>
              <w:t>oss of earning capacity</w:t>
            </w:r>
          </w:p>
        </w:tc>
        <w:tc>
          <w:tcPr>
            <w:tcW w:w="3229" w:type="dxa"/>
          </w:tcPr>
          <w:p w14:paraId="4D5D6B04" w14:textId="77777777" w:rsidR="00CB3070" w:rsidRDefault="00CB3070" w:rsidP="00E76697">
            <w:pPr>
              <w:pStyle w:val="normal2"/>
              <w:tabs>
                <w:tab w:val="clear" w:pos="1411"/>
                <w:tab w:val="right" w:pos="8100"/>
              </w:tabs>
              <w:overflowPunct/>
              <w:autoSpaceDE/>
              <w:autoSpaceDN/>
              <w:ind w:left="709" w:firstLine="709"/>
              <w:jc w:val="right"/>
              <w:rPr>
                <w:rFonts w:eastAsiaTheme="minorEastAsia"/>
                <w:caps w:val="0"/>
              </w:rPr>
            </w:pPr>
            <w:r>
              <w:rPr>
                <w:rFonts w:eastAsiaTheme="minorEastAsia"/>
                <w:caps w:val="0"/>
              </w:rPr>
              <w:t>20,000.00</w:t>
            </w:r>
          </w:p>
        </w:tc>
      </w:tr>
      <w:tr w:rsidR="00CB3070" w14:paraId="6BC2672C" w14:textId="77777777" w:rsidTr="00EA372A">
        <w:tc>
          <w:tcPr>
            <w:tcW w:w="234" w:type="dxa"/>
          </w:tcPr>
          <w:p w14:paraId="7B05A62A"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4843" w:type="dxa"/>
          </w:tcPr>
          <w:p w14:paraId="22C482E9"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r>
              <w:rPr>
                <w:rFonts w:eastAsiaTheme="minorEastAsia"/>
                <w:caps w:val="0"/>
              </w:rPr>
              <w:t>Future Medical Expenses</w:t>
            </w:r>
          </w:p>
        </w:tc>
        <w:tc>
          <w:tcPr>
            <w:tcW w:w="3229" w:type="dxa"/>
          </w:tcPr>
          <w:p w14:paraId="67DEDC9D" w14:textId="77777777" w:rsidR="00CB3070" w:rsidRDefault="00CB3070" w:rsidP="00E76697">
            <w:pPr>
              <w:pStyle w:val="normal2"/>
              <w:tabs>
                <w:tab w:val="clear" w:pos="1411"/>
                <w:tab w:val="right" w:pos="8100"/>
              </w:tabs>
              <w:overflowPunct/>
              <w:autoSpaceDE/>
              <w:autoSpaceDN/>
              <w:ind w:left="709" w:firstLine="709"/>
              <w:jc w:val="right"/>
              <w:rPr>
                <w:rFonts w:eastAsiaTheme="minorEastAsia"/>
                <w:caps w:val="0"/>
              </w:rPr>
            </w:pPr>
            <w:r>
              <w:rPr>
                <w:rFonts w:eastAsiaTheme="minorEastAsia"/>
                <w:caps w:val="0"/>
              </w:rPr>
              <w:t>8,000.00</w:t>
            </w:r>
          </w:p>
        </w:tc>
      </w:tr>
      <w:tr w:rsidR="00CB3070" w14:paraId="57B0E5FB" w14:textId="77777777" w:rsidTr="00EA372A">
        <w:tc>
          <w:tcPr>
            <w:tcW w:w="234" w:type="dxa"/>
          </w:tcPr>
          <w:p w14:paraId="1BFCF1A8"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4843" w:type="dxa"/>
          </w:tcPr>
          <w:p w14:paraId="51CF7872"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r>
              <w:rPr>
                <w:rFonts w:eastAsiaTheme="minorEastAsia" w:hint="eastAsia"/>
                <w:caps w:val="0"/>
              </w:rPr>
              <w:t>Special damages</w:t>
            </w:r>
          </w:p>
        </w:tc>
        <w:tc>
          <w:tcPr>
            <w:tcW w:w="3229" w:type="dxa"/>
            <w:tcBorders>
              <w:bottom w:val="single" w:sz="4" w:space="0" w:color="auto"/>
            </w:tcBorders>
          </w:tcPr>
          <w:p w14:paraId="1F4C9305" w14:textId="77777777" w:rsidR="00CB3070" w:rsidRDefault="00CB3070" w:rsidP="00E76697">
            <w:pPr>
              <w:pStyle w:val="normal2"/>
              <w:tabs>
                <w:tab w:val="clear" w:pos="1411"/>
                <w:tab w:val="right" w:pos="8100"/>
              </w:tabs>
              <w:overflowPunct/>
              <w:autoSpaceDE/>
              <w:autoSpaceDN/>
              <w:ind w:left="709" w:firstLine="709"/>
              <w:jc w:val="right"/>
              <w:rPr>
                <w:rFonts w:eastAsiaTheme="minorEastAsia"/>
                <w:caps w:val="0"/>
              </w:rPr>
            </w:pPr>
            <w:r>
              <w:rPr>
                <w:rFonts w:eastAsiaTheme="minorEastAsia"/>
                <w:caps w:val="0"/>
              </w:rPr>
              <w:t>23,205.00</w:t>
            </w:r>
          </w:p>
        </w:tc>
      </w:tr>
      <w:tr w:rsidR="00CB3070" w14:paraId="606DF07D" w14:textId="77777777" w:rsidTr="00EA372A">
        <w:tc>
          <w:tcPr>
            <w:tcW w:w="234" w:type="dxa"/>
          </w:tcPr>
          <w:p w14:paraId="3873ACBE"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4843" w:type="dxa"/>
          </w:tcPr>
          <w:p w14:paraId="48B6D7B4"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r>
              <w:rPr>
                <w:rFonts w:eastAsiaTheme="minorEastAsia" w:hint="eastAsia"/>
                <w:caps w:val="0"/>
              </w:rPr>
              <w:t>Total</w:t>
            </w:r>
          </w:p>
        </w:tc>
        <w:tc>
          <w:tcPr>
            <w:tcW w:w="3229" w:type="dxa"/>
            <w:tcBorders>
              <w:top w:val="single" w:sz="4" w:space="0" w:color="auto"/>
            </w:tcBorders>
          </w:tcPr>
          <w:p w14:paraId="297DF6B3" w14:textId="77777777" w:rsidR="00CB3070" w:rsidRDefault="00CB3070" w:rsidP="00E76697">
            <w:pPr>
              <w:pStyle w:val="normal2"/>
              <w:tabs>
                <w:tab w:val="clear" w:pos="1411"/>
                <w:tab w:val="right" w:pos="8100"/>
              </w:tabs>
              <w:overflowPunct/>
              <w:autoSpaceDE/>
              <w:autoSpaceDN/>
              <w:ind w:left="709" w:firstLine="709"/>
              <w:jc w:val="right"/>
              <w:rPr>
                <w:rFonts w:eastAsiaTheme="minorEastAsia"/>
                <w:caps w:val="0"/>
              </w:rPr>
            </w:pPr>
          </w:p>
        </w:tc>
      </w:tr>
      <w:tr w:rsidR="00CB3070" w14:paraId="1E253DED" w14:textId="77777777" w:rsidTr="00EA372A">
        <w:tc>
          <w:tcPr>
            <w:tcW w:w="234" w:type="dxa"/>
          </w:tcPr>
          <w:p w14:paraId="74AFE5D7"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4843" w:type="dxa"/>
          </w:tcPr>
          <w:p w14:paraId="1B1161AB"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3229" w:type="dxa"/>
          </w:tcPr>
          <w:p w14:paraId="04DC9AA4" w14:textId="77777777" w:rsidR="00CB3070" w:rsidRDefault="00CB3070" w:rsidP="00E76697">
            <w:pPr>
              <w:pStyle w:val="normal2"/>
              <w:tabs>
                <w:tab w:val="clear" w:pos="1411"/>
                <w:tab w:val="right" w:pos="8100"/>
              </w:tabs>
              <w:overflowPunct/>
              <w:autoSpaceDE/>
              <w:autoSpaceDN/>
              <w:ind w:left="709" w:firstLine="709"/>
              <w:jc w:val="right"/>
              <w:rPr>
                <w:rFonts w:eastAsiaTheme="minorEastAsia"/>
                <w:caps w:val="0"/>
              </w:rPr>
            </w:pPr>
          </w:p>
        </w:tc>
      </w:tr>
      <w:tr w:rsidR="00CB3070" w14:paraId="5E43341C" w14:textId="77777777" w:rsidTr="00EA372A">
        <w:tc>
          <w:tcPr>
            <w:tcW w:w="234" w:type="dxa"/>
          </w:tcPr>
          <w:p w14:paraId="15C5775B"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4843" w:type="dxa"/>
          </w:tcPr>
          <w:p w14:paraId="538091C2"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r>
              <w:rPr>
                <w:rFonts w:eastAsiaTheme="minorEastAsia" w:hint="eastAsia"/>
                <w:caps w:val="0"/>
              </w:rPr>
              <w:t>Less:</w:t>
            </w:r>
          </w:p>
        </w:tc>
        <w:tc>
          <w:tcPr>
            <w:tcW w:w="3229" w:type="dxa"/>
          </w:tcPr>
          <w:p w14:paraId="0664A60F" w14:textId="77777777" w:rsidR="00CB3070" w:rsidRDefault="00CB3070" w:rsidP="00E76697">
            <w:pPr>
              <w:pStyle w:val="normal2"/>
              <w:tabs>
                <w:tab w:val="clear" w:pos="1411"/>
                <w:tab w:val="right" w:pos="8100"/>
              </w:tabs>
              <w:overflowPunct/>
              <w:autoSpaceDE/>
              <w:autoSpaceDN/>
              <w:ind w:left="709" w:firstLine="709"/>
              <w:jc w:val="right"/>
              <w:rPr>
                <w:rFonts w:eastAsiaTheme="minorEastAsia"/>
                <w:caps w:val="0"/>
              </w:rPr>
            </w:pPr>
          </w:p>
        </w:tc>
      </w:tr>
      <w:tr w:rsidR="00CB3070" w14:paraId="030BCF18" w14:textId="77777777" w:rsidTr="00EA372A">
        <w:tc>
          <w:tcPr>
            <w:tcW w:w="234" w:type="dxa"/>
          </w:tcPr>
          <w:p w14:paraId="53330BE2"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4843" w:type="dxa"/>
          </w:tcPr>
          <w:p w14:paraId="685BC4A6"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r>
              <w:rPr>
                <w:rFonts w:eastAsiaTheme="minorEastAsia" w:hint="eastAsia"/>
                <w:caps w:val="0"/>
              </w:rPr>
              <w:t>Employee</w:t>
            </w:r>
            <w:r>
              <w:rPr>
                <w:rFonts w:eastAsiaTheme="minorEastAsia"/>
                <w:caps w:val="0"/>
              </w:rPr>
              <w:t>s’</w:t>
            </w:r>
            <w:r>
              <w:rPr>
                <w:rFonts w:eastAsiaTheme="minorEastAsia" w:hint="eastAsia"/>
                <w:caps w:val="0"/>
              </w:rPr>
              <w:t xml:space="preserve"> Compensation</w:t>
            </w:r>
          </w:p>
        </w:tc>
        <w:tc>
          <w:tcPr>
            <w:tcW w:w="3229" w:type="dxa"/>
          </w:tcPr>
          <w:p w14:paraId="2394158F" w14:textId="77777777" w:rsidR="00CB3070" w:rsidRDefault="00CB3070" w:rsidP="00E76697">
            <w:pPr>
              <w:pStyle w:val="normal2"/>
              <w:tabs>
                <w:tab w:val="clear" w:pos="1411"/>
                <w:tab w:val="right" w:pos="8100"/>
              </w:tabs>
              <w:overflowPunct/>
              <w:autoSpaceDE/>
              <w:autoSpaceDN/>
              <w:ind w:left="709" w:firstLine="709"/>
              <w:jc w:val="right"/>
              <w:rPr>
                <w:rFonts w:eastAsiaTheme="minorEastAsia"/>
                <w:caps w:val="0"/>
              </w:rPr>
            </w:pPr>
            <w:r>
              <w:rPr>
                <w:rFonts w:eastAsiaTheme="minorEastAsia"/>
                <w:caps w:val="0"/>
              </w:rPr>
              <w:t>(123,046.00)</w:t>
            </w:r>
          </w:p>
        </w:tc>
      </w:tr>
      <w:tr w:rsidR="00CB3070" w14:paraId="77EB6A36" w14:textId="77777777" w:rsidTr="00EA372A">
        <w:tc>
          <w:tcPr>
            <w:tcW w:w="234" w:type="dxa"/>
          </w:tcPr>
          <w:p w14:paraId="77146B69"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4843" w:type="dxa"/>
          </w:tcPr>
          <w:p w14:paraId="656994FA" w14:textId="77777777" w:rsidR="00CB3070" w:rsidRDefault="00CB3070" w:rsidP="00E76697">
            <w:pPr>
              <w:pStyle w:val="normal2"/>
              <w:tabs>
                <w:tab w:val="clear" w:pos="1411"/>
                <w:tab w:val="right" w:pos="8100"/>
              </w:tabs>
              <w:overflowPunct/>
              <w:autoSpaceDE/>
              <w:autoSpaceDN/>
              <w:ind w:left="709" w:firstLine="709"/>
              <w:jc w:val="both"/>
              <w:rPr>
                <w:rFonts w:eastAsiaTheme="minorEastAsia"/>
                <w:caps w:val="0"/>
              </w:rPr>
            </w:pPr>
          </w:p>
        </w:tc>
        <w:tc>
          <w:tcPr>
            <w:tcW w:w="3229" w:type="dxa"/>
            <w:tcBorders>
              <w:top w:val="single" w:sz="4" w:space="0" w:color="auto"/>
            </w:tcBorders>
          </w:tcPr>
          <w:p w14:paraId="1E853914" w14:textId="77777777" w:rsidR="00CB3070" w:rsidRDefault="00CB3070" w:rsidP="00E76697">
            <w:pPr>
              <w:pStyle w:val="normal2"/>
              <w:tabs>
                <w:tab w:val="clear" w:pos="1411"/>
                <w:tab w:val="right" w:pos="8100"/>
              </w:tabs>
              <w:overflowPunct/>
              <w:autoSpaceDE/>
              <w:autoSpaceDN/>
              <w:ind w:left="709" w:firstLine="709"/>
              <w:jc w:val="right"/>
              <w:rPr>
                <w:rFonts w:eastAsiaTheme="minorEastAsia"/>
                <w:caps w:val="0"/>
              </w:rPr>
            </w:pPr>
            <w:r w:rsidRPr="00CB5D15">
              <w:rPr>
                <w:rFonts w:eastAsiaTheme="minorEastAsia"/>
                <w:caps w:val="0"/>
                <w:u w:val="single"/>
              </w:rPr>
              <w:t>1,503,677.13</w:t>
            </w:r>
            <w:r>
              <w:rPr>
                <w:rFonts w:eastAsiaTheme="minorEastAsia"/>
                <w:caps w:val="0"/>
              </w:rPr>
              <w:t>”</w:t>
            </w:r>
          </w:p>
        </w:tc>
      </w:tr>
    </w:tbl>
    <w:p w14:paraId="71E3E543" w14:textId="77777777" w:rsidR="006E0F68" w:rsidRDefault="006E0F68" w:rsidP="00E76697">
      <w:pPr>
        <w:tabs>
          <w:tab w:val="clear" w:pos="4320"/>
          <w:tab w:val="clear" w:pos="9072"/>
        </w:tabs>
        <w:snapToGrid/>
        <w:spacing w:line="360" w:lineRule="auto"/>
        <w:jc w:val="both"/>
        <w:rPr>
          <w:szCs w:val="28"/>
          <w:u w:val="single"/>
        </w:rPr>
      </w:pPr>
    </w:p>
    <w:p w14:paraId="1D56916E" w14:textId="4A09FCD4" w:rsidR="00CB3070" w:rsidRPr="006E0F68" w:rsidRDefault="00C9271C" w:rsidP="00E76697">
      <w:pPr>
        <w:tabs>
          <w:tab w:val="clear" w:pos="4320"/>
          <w:tab w:val="clear" w:pos="9072"/>
        </w:tabs>
        <w:snapToGrid/>
        <w:spacing w:line="360" w:lineRule="auto"/>
        <w:jc w:val="both"/>
        <w:rPr>
          <w:i/>
          <w:szCs w:val="28"/>
        </w:rPr>
      </w:pPr>
      <w:r>
        <w:rPr>
          <w:i/>
          <w:szCs w:val="28"/>
        </w:rPr>
        <w:t xml:space="preserve">F7. </w:t>
      </w:r>
      <w:r w:rsidR="00CB3070" w:rsidRPr="006E0F68">
        <w:rPr>
          <w:i/>
          <w:szCs w:val="28"/>
        </w:rPr>
        <w:t>Paragraph 82 of the Judgment</w:t>
      </w:r>
    </w:p>
    <w:p w14:paraId="1D15ED86" w14:textId="77777777" w:rsidR="00CB3070" w:rsidRDefault="00CB3070" w:rsidP="00E76697">
      <w:pPr>
        <w:pStyle w:val="ListParagraph"/>
        <w:spacing w:line="360" w:lineRule="auto"/>
        <w:rPr>
          <w:szCs w:val="28"/>
        </w:rPr>
      </w:pPr>
    </w:p>
    <w:p w14:paraId="6D45E8DF" w14:textId="77777777" w:rsidR="00CB3070" w:rsidRDefault="00CB3070" w:rsidP="00E76697">
      <w:pPr>
        <w:numPr>
          <w:ilvl w:val="0"/>
          <w:numId w:val="21"/>
        </w:numPr>
        <w:tabs>
          <w:tab w:val="clear" w:pos="4320"/>
          <w:tab w:val="clear" w:pos="9072"/>
        </w:tabs>
        <w:snapToGrid/>
        <w:spacing w:line="360" w:lineRule="auto"/>
        <w:ind w:left="0" w:firstLine="0"/>
        <w:jc w:val="both"/>
        <w:rPr>
          <w:szCs w:val="28"/>
        </w:rPr>
      </w:pPr>
      <w:r>
        <w:rPr>
          <w:szCs w:val="28"/>
        </w:rPr>
        <w:t>Paragraph 82 of the Judgment should be consequentially amended to read as follows, with underlining to show the amendments made:</w:t>
      </w:r>
    </w:p>
    <w:p w14:paraId="2E039FE2" w14:textId="77777777" w:rsidR="00CB3070" w:rsidRDefault="00CB3070" w:rsidP="00E76697">
      <w:pPr>
        <w:tabs>
          <w:tab w:val="clear" w:pos="4320"/>
          <w:tab w:val="clear" w:pos="9072"/>
        </w:tabs>
        <w:snapToGrid/>
        <w:spacing w:line="360" w:lineRule="auto"/>
        <w:jc w:val="both"/>
        <w:rPr>
          <w:szCs w:val="28"/>
        </w:rPr>
      </w:pPr>
    </w:p>
    <w:p w14:paraId="5C197818" w14:textId="2ED1119D" w:rsidR="00CB3070" w:rsidRPr="006D2711" w:rsidRDefault="00CB3070" w:rsidP="006E0F68">
      <w:pPr>
        <w:tabs>
          <w:tab w:val="clear" w:pos="4320"/>
          <w:tab w:val="clear" w:pos="9072"/>
        </w:tabs>
        <w:snapToGrid/>
        <w:spacing w:line="360" w:lineRule="auto"/>
        <w:ind w:left="1440"/>
        <w:jc w:val="both"/>
        <w:rPr>
          <w:szCs w:val="28"/>
        </w:rPr>
      </w:pPr>
      <w:r>
        <w:rPr>
          <w:szCs w:val="28"/>
        </w:rPr>
        <w:t>“I therefore order the 1</w:t>
      </w:r>
      <w:r w:rsidRPr="002B0A10">
        <w:rPr>
          <w:szCs w:val="28"/>
          <w:vertAlign w:val="superscript"/>
        </w:rPr>
        <w:t>st</w:t>
      </w:r>
      <w:r>
        <w:rPr>
          <w:szCs w:val="28"/>
        </w:rPr>
        <w:t xml:space="preserve"> and 2</w:t>
      </w:r>
      <w:r w:rsidRPr="002B0A10">
        <w:rPr>
          <w:szCs w:val="28"/>
          <w:vertAlign w:val="superscript"/>
        </w:rPr>
        <w:t>nd</w:t>
      </w:r>
      <w:r>
        <w:rPr>
          <w:szCs w:val="28"/>
        </w:rPr>
        <w:t xml:space="preserve"> </w:t>
      </w:r>
      <w:r w:rsidR="006E0F68">
        <w:rPr>
          <w:szCs w:val="28"/>
        </w:rPr>
        <w:t>d</w:t>
      </w:r>
      <w:r>
        <w:rPr>
          <w:szCs w:val="28"/>
        </w:rPr>
        <w:t xml:space="preserve">efendants to pay damages in the sum of </w:t>
      </w:r>
      <w:r w:rsidRPr="00CB5D15">
        <w:rPr>
          <w:szCs w:val="28"/>
          <w:u w:val="single"/>
        </w:rPr>
        <w:t>HK$</w:t>
      </w:r>
      <w:r w:rsidRPr="00CB5D15">
        <w:rPr>
          <w:rFonts w:eastAsiaTheme="minorEastAsia"/>
          <w:u w:val="single"/>
        </w:rPr>
        <w:t>1,</w:t>
      </w:r>
      <w:r w:rsidRPr="00CB5D15">
        <w:rPr>
          <w:rFonts w:eastAsiaTheme="minorEastAsia"/>
          <w:caps/>
          <w:u w:val="single"/>
        </w:rPr>
        <w:t>503,677.13</w:t>
      </w:r>
      <w:r>
        <w:rPr>
          <w:szCs w:val="28"/>
        </w:rPr>
        <w:t xml:space="preserve"> to the </w:t>
      </w:r>
      <w:r w:rsidR="006E0F68">
        <w:rPr>
          <w:szCs w:val="28"/>
        </w:rPr>
        <w:t>p</w:t>
      </w:r>
      <w:r>
        <w:rPr>
          <w:szCs w:val="28"/>
        </w:rPr>
        <w:t>laintiff.”</w:t>
      </w:r>
    </w:p>
    <w:p w14:paraId="58210623" w14:textId="77777777" w:rsidR="00CB3070" w:rsidRDefault="00CB3070" w:rsidP="00E76697">
      <w:pPr>
        <w:tabs>
          <w:tab w:val="clear" w:pos="4320"/>
          <w:tab w:val="clear" w:pos="9072"/>
        </w:tabs>
        <w:snapToGrid/>
        <w:spacing w:line="360" w:lineRule="auto"/>
        <w:jc w:val="both"/>
        <w:rPr>
          <w:i/>
          <w:iCs/>
          <w:szCs w:val="28"/>
        </w:rPr>
      </w:pPr>
    </w:p>
    <w:p w14:paraId="05F54941" w14:textId="479E9549" w:rsidR="00CB3070" w:rsidRPr="00C9271C" w:rsidRDefault="00CB3070" w:rsidP="00C9271C">
      <w:pPr>
        <w:pStyle w:val="ListParagraph"/>
        <w:numPr>
          <w:ilvl w:val="0"/>
          <w:numId w:val="27"/>
        </w:numPr>
        <w:tabs>
          <w:tab w:val="clear" w:pos="4320"/>
          <w:tab w:val="clear" w:pos="9072"/>
        </w:tabs>
        <w:snapToGrid/>
        <w:spacing w:line="360" w:lineRule="auto"/>
        <w:ind w:hanging="720"/>
        <w:jc w:val="both"/>
        <w:rPr>
          <w:i/>
          <w:iCs/>
          <w:szCs w:val="28"/>
        </w:rPr>
      </w:pPr>
      <w:r w:rsidRPr="00C9271C">
        <w:rPr>
          <w:i/>
          <w:iCs/>
          <w:szCs w:val="28"/>
        </w:rPr>
        <w:t>Costs</w:t>
      </w:r>
    </w:p>
    <w:p w14:paraId="1FE710EC" w14:textId="77777777" w:rsidR="006E0F68" w:rsidRPr="006E0F68" w:rsidRDefault="006E0F68" w:rsidP="00E76697">
      <w:pPr>
        <w:tabs>
          <w:tab w:val="clear" w:pos="4320"/>
          <w:tab w:val="clear" w:pos="9072"/>
        </w:tabs>
        <w:snapToGrid/>
        <w:spacing w:line="360" w:lineRule="auto"/>
        <w:jc w:val="both"/>
        <w:rPr>
          <w:iCs/>
          <w:szCs w:val="28"/>
        </w:rPr>
      </w:pPr>
    </w:p>
    <w:p w14:paraId="2E08029A" w14:textId="722F7955" w:rsidR="00CB3070" w:rsidRDefault="00CB3070" w:rsidP="00E76697">
      <w:pPr>
        <w:numPr>
          <w:ilvl w:val="0"/>
          <w:numId w:val="21"/>
        </w:numPr>
        <w:tabs>
          <w:tab w:val="clear" w:pos="4320"/>
          <w:tab w:val="clear" w:pos="9072"/>
        </w:tabs>
        <w:snapToGrid/>
        <w:spacing w:line="360" w:lineRule="auto"/>
        <w:ind w:left="0" w:firstLine="0"/>
        <w:jc w:val="both"/>
        <w:rPr>
          <w:szCs w:val="28"/>
        </w:rPr>
      </w:pPr>
      <w:r>
        <w:rPr>
          <w:szCs w:val="28"/>
        </w:rPr>
        <w:t xml:space="preserve">As noted above, the plaintiff’s position </w:t>
      </w:r>
      <w:r w:rsidR="00C9271C">
        <w:rPr>
          <w:szCs w:val="28"/>
        </w:rPr>
        <w:t xml:space="preserve">at trial </w:t>
      </w:r>
      <w:r>
        <w:rPr>
          <w:szCs w:val="28"/>
        </w:rPr>
        <w:t xml:space="preserve">was that the plaintiff would be entitled to the full period of sick leave granted, and put forward no alternative submissions on computation of earnings of alternative employment, in the event that the court is of the view that the plaintiff could have returned to work from a certain date onwards.  On the other hand, </w:t>
      </w:r>
      <w:r w:rsidRPr="009817FF">
        <w:rPr>
          <w:szCs w:val="28"/>
        </w:rPr>
        <w:t>the defendant’s position</w:t>
      </w:r>
      <w:r w:rsidR="00C9271C">
        <w:rPr>
          <w:szCs w:val="28"/>
        </w:rPr>
        <w:t xml:space="preserve"> at trial</w:t>
      </w:r>
      <w:r w:rsidRPr="009817FF">
        <w:rPr>
          <w:szCs w:val="28"/>
        </w:rPr>
        <w:t xml:space="preserve"> </w:t>
      </w:r>
      <w:r>
        <w:rPr>
          <w:szCs w:val="28"/>
        </w:rPr>
        <w:t>was</w:t>
      </w:r>
      <w:r w:rsidRPr="009817FF">
        <w:rPr>
          <w:szCs w:val="28"/>
        </w:rPr>
        <w:t xml:space="preserve"> that the plaintiff could have resumed his pre-accident job from 20 October 2016, and hence any pre-trial loss of income would only be calculated up to 19 October 2016.  There was no submission</w:t>
      </w:r>
      <w:r>
        <w:rPr>
          <w:szCs w:val="28"/>
        </w:rPr>
        <w:t xml:space="preserve"> from either party</w:t>
      </w:r>
      <w:r w:rsidRPr="009817FF">
        <w:rPr>
          <w:szCs w:val="28"/>
        </w:rPr>
        <w:t xml:space="preserve"> on what would be the position in the event that the Court holds that the plaintiff would be able to work but in an alternative job</w:t>
      </w:r>
      <w:r>
        <w:rPr>
          <w:szCs w:val="28"/>
        </w:rPr>
        <w:t>.  It was partly the lack of submissions by both parties for the possibility of alternative employment that led to the omission.</w:t>
      </w:r>
    </w:p>
    <w:p w14:paraId="0458AC6F" w14:textId="6B8E463D" w:rsidR="00CB3070" w:rsidRDefault="00CB3070" w:rsidP="00E76697">
      <w:pPr>
        <w:tabs>
          <w:tab w:val="clear" w:pos="4320"/>
          <w:tab w:val="clear" w:pos="9072"/>
        </w:tabs>
        <w:snapToGrid/>
        <w:spacing w:line="360" w:lineRule="auto"/>
        <w:jc w:val="both"/>
        <w:rPr>
          <w:szCs w:val="28"/>
        </w:rPr>
      </w:pPr>
    </w:p>
    <w:p w14:paraId="4C2991B0" w14:textId="7FA3069C" w:rsidR="00740A40" w:rsidRDefault="00740A40" w:rsidP="00E76697">
      <w:pPr>
        <w:tabs>
          <w:tab w:val="clear" w:pos="4320"/>
          <w:tab w:val="clear" w:pos="9072"/>
        </w:tabs>
        <w:snapToGrid/>
        <w:spacing w:line="360" w:lineRule="auto"/>
        <w:jc w:val="both"/>
        <w:rPr>
          <w:szCs w:val="28"/>
        </w:rPr>
      </w:pPr>
    </w:p>
    <w:p w14:paraId="2C417FAA" w14:textId="2BAC3E66" w:rsidR="00740A40" w:rsidRDefault="00740A40" w:rsidP="00E76697">
      <w:pPr>
        <w:tabs>
          <w:tab w:val="clear" w:pos="4320"/>
          <w:tab w:val="clear" w:pos="9072"/>
        </w:tabs>
        <w:snapToGrid/>
        <w:spacing w:line="360" w:lineRule="auto"/>
        <w:jc w:val="both"/>
        <w:rPr>
          <w:szCs w:val="28"/>
        </w:rPr>
      </w:pPr>
    </w:p>
    <w:p w14:paraId="09E28861" w14:textId="77777777" w:rsidR="00740A40" w:rsidRDefault="00740A40" w:rsidP="00E76697">
      <w:pPr>
        <w:tabs>
          <w:tab w:val="clear" w:pos="4320"/>
          <w:tab w:val="clear" w:pos="9072"/>
        </w:tabs>
        <w:snapToGrid/>
        <w:spacing w:line="360" w:lineRule="auto"/>
        <w:jc w:val="both"/>
        <w:rPr>
          <w:szCs w:val="28"/>
        </w:rPr>
      </w:pPr>
    </w:p>
    <w:p w14:paraId="58DBD3AC" w14:textId="312CCA86" w:rsidR="00CB3070" w:rsidRPr="0047259C" w:rsidRDefault="00CB3070" w:rsidP="00E76697">
      <w:pPr>
        <w:numPr>
          <w:ilvl w:val="0"/>
          <w:numId w:val="21"/>
        </w:numPr>
        <w:tabs>
          <w:tab w:val="clear" w:pos="4320"/>
          <w:tab w:val="clear" w:pos="9072"/>
        </w:tabs>
        <w:snapToGrid/>
        <w:spacing w:line="360" w:lineRule="auto"/>
        <w:ind w:left="0" w:firstLine="0"/>
        <w:jc w:val="both"/>
        <w:rPr>
          <w:szCs w:val="28"/>
        </w:rPr>
      </w:pPr>
      <w:r>
        <w:rPr>
          <w:szCs w:val="28"/>
        </w:rPr>
        <w:lastRenderedPageBreak/>
        <w:t xml:space="preserve">As such, </w:t>
      </w:r>
      <w:r w:rsidRPr="0047259C">
        <w:rPr>
          <w:szCs w:val="28"/>
        </w:rPr>
        <w:t xml:space="preserve">I consider that both parties have contributed to the need for this application for amendment. </w:t>
      </w:r>
      <w:r w:rsidR="00C9271C">
        <w:rPr>
          <w:szCs w:val="28"/>
        </w:rPr>
        <w:t xml:space="preserve"> Taking into account the background and the result,</w:t>
      </w:r>
      <w:r w:rsidRPr="0047259C">
        <w:rPr>
          <w:szCs w:val="28"/>
        </w:rPr>
        <w:t xml:space="preserve"> I make an order </w:t>
      </w:r>
      <w:r w:rsidRPr="0047259C">
        <w:rPr>
          <w:i/>
          <w:iCs/>
          <w:szCs w:val="28"/>
        </w:rPr>
        <w:t xml:space="preserve">nisi </w:t>
      </w:r>
      <w:r w:rsidRPr="0047259C">
        <w:rPr>
          <w:szCs w:val="28"/>
        </w:rPr>
        <w:t>that there be no order as to costs</w:t>
      </w:r>
      <w:r w:rsidR="00427626">
        <w:rPr>
          <w:szCs w:val="28"/>
        </w:rPr>
        <w:t xml:space="preserve"> to this application</w:t>
      </w:r>
      <w:r w:rsidRPr="0047259C">
        <w:rPr>
          <w:szCs w:val="28"/>
        </w:rPr>
        <w:t>.  The plaintiff’s own costs be taxed in accordance with the Legal Aid Regulations.</w:t>
      </w:r>
    </w:p>
    <w:p w14:paraId="045453EA" w14:textId="77777777" w:rsidR="00CB3070" w:rsidRPr="009817FF" w:rsidRDefault="00CB3070" w:rsidP="00E76697">
      <w:pPr>
        <w:tabs>
          <w:tab w:val="clear" w:pos="4320"/>
          <w:tab w:val="clear" w:pos="9072"/>
        </w:tabs>
        <w:snapToGrid/>
        <w:spacing w:line="360" w:lineRule="auto"/>
        <w:jc w:val="both"/>
        <w:rPr>
          <w:szCs w:val="28"/>
        </w:rPr>
      </w:pPr>
    </w:p>
    <w:p w14:paraId="07FE4260" w14:textId="5399B2C5" w:rsidR="00D74BDC" w:rsidRDefault="00D74BDC" w:rsidP="00C712C7">
      <w:pPr>
        <w:tabs>
          <w:tab w:val="clear" w:pos="4320"/>
          <w:tab w:val="clear" w:pos="9072"/>
        </w:tabs>
        <w:snapToGrid/>
        <w:spacing w:line="360" w:lineRule="auto"/>
        <w:jc w:val="both"/>
        <w:rPr>
          <w:rFonts w:eastAsia="PMingLiU"/>
          <w:szCs w:val="28"/>
          <w:lang w:eastAsia="zh-TW"/>
        </w:rPr>
      </w:pPr>
    </w:p>
    <w:p w14:paraId="370F0907" w14:textId="51C34191" w:rsidR="005447A0" w:rsidRDefault="005447A0" w:rsidP="00AD78FE">
      <w:pPr>
        <w:pStyle w:val="ListParagraph"/>
        <w:spacing w:line="360" w:lineRule="auto"/>
      </w:pPr>
    </w:p>
    <w:p w14:paraId="56DA234A" w14:textId="77777777" w:rsidR="00D67884" w:rsidRPr="00E450BA" w:rsidRDefault="00D67884" w:rsidP="00AD78FE">
      <w:pPr>
        <w:spacing w:line="360" w:lineRule="auto"/>
        <w:jc w:val="both"/>
        <w:rPr>
          <w:szCs w:val="28"/>
        </w:rPr>
      </w:pPr>
    </w:p>
    <w:p w14:paraId="0988AE3F" w14:textId="77777777" w:rsidR="00D67884" w:rsidRPr="005447A0" w:rsidRDefault="00D67884" w:rsidP="00AD78FE">
      <w:pPr>
        <w:tabs>
          <w:tab w:val="clear" w:pos="4320"/>
          <w:tab w:val="clear" w:pos="9072"/>
        </w:tabs>
        <w:ind w:left="4320"/>
        <w:jc w:val="center"/>
        <w:rPr>
          <w:rFonts w:eastAsia="PMingLiU"/>
          <w:szCs w:val="28"/>
        </w:rPr>
      </w:pPr>
      <w:r>
        <w:tab/>
      </w:r>
      <w:r w:rsidRPr="005447A0">
        <w:rPr>
          <w:rFonts w:eastAsia="PMingLiU"/>
          <w:szCs w:val="28"/>
        </w:rPr>
        <w:t>( Phoebe Man )</w:t>
      </w:r>
    </w:p>
    <w:p w14:paraId="5B914AA0" w14:textId="77777777" w:rsidR="00D67884" w:rsidRPr="005447A0" w:rsidRDefault="00D67884" w:rsidP="00AD78FE">
      <w:pPr>
        <w:tabs>
          <w:tab w:val="clear" w:pos="4320"/>
          <w:tab w:val="clear" w:pos="9072"/>
        </w:tabs>
        <w:ind w:left="4320"/>
        <w:jc w:val="center"/>
        <w:rPr>
          <w:rFonts w:eastAsia="PMingLiU"/>
          <w:szCs w:val="28"/>
        </w:rPr>
      </w:pPr>
      <w:r w:rsidRPr="005447A0">
        <w:rPr>
          <w:rFonts w:eastAsia="PMingLiU"/>
          <w:szCs w:val="28"/>
        </w:rPr>
        <w:tab/>
        <w:t>District Judge</w:t>
      </w:r>
    </w:p>
    <w:p w14:paraId="6FE8CE9D" w14:textId="16F60C6B" w:rsidR="00D67884" w:rsidRDefault="00D67884" w:rsidP="00AD78FE">
      <w:pPr>
        <w:jc w:val="both"/>
        <w:rPr>
          <w:rFonts w:eastAsia="PMingLiU"/>
          <w:szCs w:val="28"/>
          <w:lang w:val="en-US"/>
        </w:rPr>
      </w:pPr>
    </w:p>
    <w:p w14:paraId="78472D19" w14:textId="77777777" w:rsidR="00CB3070" w:rsidRDefault="00CB3070" w:rsidP="00AD78FE">
      <w:pPr>
        <w:jc w:val="both"/>
        <w:rPr>
          <w:rFonts w:eastAsia="PMingLiU"/>
          <w:szCs w:val="28"/>
          <w:lang w:val="en-US"/>
        </w:rPr>
      </w:pPr>
    </w:p>
    <w:p w14:paraId="46CFB0EA" w14:textId="15399DEE" w:rsidR="008A1094" w:rsidRPr="005447A0" w:rsidRDefault="008A1094" w:rsidP="008A1094">
      <w:pPr>
        <w:jc w:val="both"/>
        <w:rPr>
          <w:rFonts w:eastAsia="PMingLiU"/>
          <w:szCs w:val="28"/>
          <w:lang w:val="en-US"/>
        </w:rPr>
      </w:pPr>
      <w:r w:rsidRPr="00900BEB">
        <w:rPr>
          <w:bCs/>
          <w:szCs w:val="28"/>
        </w:rPr>
        <w:t>Lincoln Cheung</w:t>
      </w:r>
      <w:r w:rsidRPr="005447A0">
        <w:rPr>
          <w:rFonts w:eastAsia="PMingLiU"/>
          <w:szCs w:val="28"/>
          <w:lang w:val="en-US"/>
        </w:rPr>
        <w:t>,</w:t>
      </w:r>
      <w:r>
        <w:rPr>
          <w:rFonts w:eastAsia="PMingLiU"/>
          <w:szCs w:val="28"/>
          <w:lang w:val="en-US"/>
        </w:rPr>
        <w:t xml:space="preserve"> instructed by </w:t>
      </w:r>
      <w:r w:rsidRPr="002D5C0E">
        <w:rPr>
          <w:rFonts w:eastAsia="PMingLiU"/>
          <w:szCs w:val="28"/>
          <w:lang w:val="en-US"/>
        </w:rPr>
        <w:t>B Mak &amp; Co</w:t>
      </w:r>
      <w:r>
        <w:rPr>
          <w:rFonts w:eastAsia="PMingLiU"/>
          <w:szCs w:val="28"/>
          <w:lang w:val="en-US"/>
        </w:rPr>
        <w:t>,</w:t>
      </w:r>
      <w:r w:rsidRPr="005447A0">
        <w:rPr>
          <w:rFonts w:eastAsia="PMingLiU"/>
          <w:szCs w:val="28"/>
          <w:lang w:val="en-US"/>
        </w:rPr>
        <w:t xml:space="preserve"> </w:t>
      </w:r>
      <w:r w:rsidRPr="00791EA5">
        <w:rPr>
          <w:rFonts w:eastAsia="DFKai-SB"/>
          <w:szCs w:val="28"/>
        </w:rPr>
        <w:t>assigned by the Director of Legal Aid</w:t>
      </w:r>
      <w:r w:rsidRPr="00791EA5">
        <w:rPr>
          <w:bCs/>
          <w:szCs w:val="28"/>
        </w:rPr>
        <w:t>,</w:t>
      </w:r>
      <w:r>
        <w:rPr>
          <w:bCs/>
          <w:szCs w:val="28"/>
        </w:rPr>
        <w:t xml:space="preserve"> </w:t>
      </w:r>
      <w:r w:rsidRPr="005447A0">
        <w:rPr>
          <w:rFonts w:eastAsia="PMingLiU"/>
          <w:szCs w:val="28"/>
          <w:lang w:val="en-US"/>
        </w:rPr>
        <w:t xml:space="preserve">for the plaintiff </w:t>
      </w:r>
    </w:p>
    <w:p w14:paraId="4071222E" w14:textId="77777777" w:rsidR="00CB3070" w:rsidRPr="008A1094" w:rsidRDefault="00CB3070" w:rsidP="00CB3070">
      <w:pPr>
        <w:jc w:val="both"/>
        <w:rPr>
          <w:rFonts w:eastAsia="PMingLiU"/>
          <w:szCs w:val="28"/>
          <w:lang w:val="en-US"/>
        </w:rPr>
      </w:pPr>
    </w:p>
    <w:p w14:paraId="0A764C66" w14:textId="78E963BD" w:rsidR="008A1094" w:rsidRPr="005447A0" w:rsidRDefault="008A1094" w:rsidP="008A1094">
      <w:pPr>
        <w:jc w:val="both"/>
        <w:rPr>
          <w:rFonts w:eastAsia="PMingLiU"/>
          <w:szCs w:val="28"/>
          <w:lang w:val="en-US"/>
        </w:rPr>
      </w:pPr>
      <w:r>
        <w:rPr>
          <w:rFonts w:eastAsia="PMingLiU"/>
          <w:szCs w:val="28"/>
          <w:lang w:val="en-US"/>
        </w:rPr>
        <w:t>Leon Ho</w:t>
      </w:r>
      <w:r w:rsidRPr="005447A0">
        <w:rPr>
          <w:rFonts w:eastAsia="PMingLiU"/>
          <w:szCs w:val="28"/>
          <w:lang w:val="en-US"/>
        </w:rPr>
        <w:t>,</w:t>
      </w:r>
      <w:r>
        <w:rPr>
          <w:rFonts w:eastAsia="PMingLiU"/>
          <w:szCs w:val="28"/>
          <w:lang w:val="en-US"/>
        </w:rPr>
        <w:t xml:space="preserve"> </w:t>
      </w:r>
      <w:r w:rsidRPr="005447A0">
        <w:rPr>
          <w:rFonts w:eastAsia="PMingLiU"/>
          <w:szCs w:val="28"/>
          <w:lang w:val="en-US"/>
        </w:rPr>
        <w:t>instructed by</w:t>
      </w:r>
      <w:r>
        <w:rPr>
          <w:rFonts w:eastAsia="PMingLiU"/>
          <w:szCs w:val="28"/>
          <w:lang w:val="en-US"/>
        </w:rPr>
        <w:t xml:space="preserve"> </w:t>
      </w:r>
      <w:r w:rsidRPr="00F13C82">
        <w:rPr>
          <w:rFonts w:eastAsia="PMingLiU"/>
          <w:szCs w:val="28"/>
          <w:lang w:val="en-US"/>
        </w:rPr>
        <w:t>Au &amp; Associates</w:t>
      </w:r>
      <w:r w:rsidRPr="005447A0">
        <w:rPr>
          <w:rFonts w:eastAsia="PMingLiU"/>
          <w:szCs w:val="28"/>
          <w:lang w:val="en-US"/>
        </w:rPr>
        <w:t xml:space="preserve">, for the </w:t>
      </w:r>
      <w:r>
        <w:rPr>
          <w:rFonts w:eastAsia="PMingLiU"/>
          <w:szCs w:val="28"/>
          <w:lang w:val="en-US"/>
        </w:rPr>
        <w:t>1</w:t>
      </w:r>
      <w:r w:rsidRPr="00F13C82">
        <w:rPr>
          <w:rFonts w:eastAsia="PMingLiU"/>
          <w:szCs w:val="28"/>
          <w:vertAlign w:val="superscript"/>
          <w:lang w:val="en-US"/>
        </w:rPr>
        <w:t>st</w:t>
      </w:r>
      <w:r>
        <w:rPr>
          <w:rFonts w:eastAsia="PMingLiU"/>
          <w:szCs w:val="28"/>
          <w:lang w:val="en-US"/>
        </w:rPr>
        <w:t xml:space="preserve"> and 2</w:t>
      </w:r>
      <w:r w:rsidRPr="00F13C82">
        <w:rPr>
          <w:rFonts w:eastAsia="PMingLiU"/>
          <w:szCs w:val="28"/>
          <w:vertAlign w:val="superscript"/>
          <w:lang w:val="en-US"/>
        </w:rPr>
        <w:t>nd</w:t>
      </w:r>
      <w:r>
        <w:rPr>
          <w:rFonts w:eastAsia="PMingLiU"/>
          <w:szCs w:val="28"/>
          <w:lang w:val="en-US"/>
        </w:rPr>
        <w:t xml:space="preserve"> </w:t>
      </w:r>
      <w:r w:rsidRPr="005447A0">
        <w:rPr>
          <w:rFonts w:eastAsia="PMingLiU"/>
          <w:szCs w:val="28"/>
          <w:lang w:val="en-US"/>
        </w:rPr>
        <w:t xml:space="preserve">defendants </w:t>
      </w:r>
    </w:p>
    <w:p w14:paraId="30F212F7" w14:textId="77777777" w:rsidR="00AD78FE" w:rsidRPr="008A1094" w:rsidRDefault="00AD78FE" w:rsidP="00AD78FE">
      <w:pPr>
        <w:jc w:val="both"/>
        <w:rPr>
          <w:rFonts w:eastAsia="PMingLiU"/>
          <w:szCs w:val="28"/>
          <w:lang w:val="en-US"/>
        </w:rPr>
      </w:pPr>
    </w:p>
    <w:sectPr w:rsidR="00AD78FE" w:rsidRPr="008A1094" w:rsidSect="00D037F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513B1" w14:textId="77777777" w:rsidR="00F14C49" w:rsidRDefault="00F14C49">
      <w:r>
        <w:separator/>
      </w:r>
    </w:p>
  </w:endnote>
  <w:endnote w:type="continuationSeparator" w:id="0">
    <w:p w14:paraId="263EDC95" w14:textId="77777777" w:rsidR="00F14C49" w:rsidRDefault="00F1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TimesNewRomanPSMT">
    <w:altName w:val="宋体"/>
    <w:panose1 w:val="00000000000000000000"/>
    <w:charset w:val="00"/>
    <w:family w:val="roman"/>
    <w:notTrueType/>
    <w:pitch w:val="default"/>
    <w:sig w:usb0="00000003" w:usb1="00000000" w:usb2="00000000" w:usb3="00000000" w:csb0="00000001" w:csb1="00000000"/>
  </w:font>
  <w:font w:name="TimesNewRomanPS-BoldMT">
    <w:altName w:val="SimSun"/>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FKai-SB">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7772F" w14:textId="77777777" w:rsidR="00BA4256" w:rsidRDefault="00BA42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4259D" w14:textId="77777777" w:rsidR="00BA4256" w:rsidRDefault="00BA42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ECD4B" w14:textId="77777777" w:rsidR="00BA4256" w:rsidRDefault="00BA4256">
    <w:pPr>
      <w:pStyle w:val="Footer"/>
      <w:framePr w:wrap="around" w:vAnchor="text" w:hAnchor="margin" w:xAlign="right" w:y="1"/>
      <w:rPr>
        <w:rStyle w:val="PageNumber"/>
      </w:rPr>
    </w:pPr>
  </w:p>
  <w:p w14:paraId="5AA69195" w14:textId="77777777" w:rsidR="00BA4256" w:rsidRDefault="00BA42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F1258" w14:textId="77777777" w:rsidR="00F14C49" w:rsidRDefault="00F14C49">
      <w:r>
        <w:separator/>
      </w:r>
    </w:p>
  </w:footnote>
  <w:footnote w:type="continuationSeparator" w:id="0">
    <w:p w14:paraId="0D511578" w14:textId="77777777" w:rsidR="00F14C49" w:rsidRDefault="00F14C49">
      <w:r>
        <w:continuationSeparator/>
      </w:r>
    </w:p>
  </w:footnote>
  <w:footnote w:id="1">
    <w:p w14:paraId="3223F719" w14:textId="77777777" w:rsidR="00CB3070" w:rsidRDefault="00CB3070" w:rsidP="00CB3070">
      <w:pPr>
        <w:pStyle w:val="FootnoteText"/>
      </w:pPr>
      <w:r>
        <w:rPr>
          <w:rStyle w:val="FootnoteReference"/>
        </w:rPr>
        <w:footnoteRef/>
      </w:r>
      <w:r>
        <w:t xml:space="preserve"> Order 20 Rule 11 of the </w:t>
      </w:r>
      <w:r w:rsidRPr="00F14B55">
        <w:rPr>
          <w:i/>
          <w:iCs/>
        </w:rPr>
        <w:t>Rules of the District Court</w:t>
      </w:r>
    </w:p>
  </w:footnote>
  <w:footnote w:id="2">
    <w:p w14:paraId="28CB51AD" w14:textId="77777777" w:rsidR="00CB3070" w:rsidRPr="00F14B55" w:rsidRDefault="00CB3070" w:rsidP="00CB3070">
      <w:pPr>
        <w:pStyle w:val="FootnoteText"/>
        <w:rPr>
          <w:i/>
          <w:iCs/>
        </w:rPr>
      </w:pPr>
      <w:r>
        <w:rPr>
          <w:rStyle w:val="FootnoteReference"/>
        </w:rPr>
        <w:footnoteRef/>
      </w:r>
      <w:r>
        <w:t xml:space="preserve"> §20/11/1, </w:t>
      </w:r>
      <w:r>
        <w:rPr>
          <w:i/>
          <w:iCs/>
        </w:rPr>
        <w:t>Hong Kong Civil Procedure 2020</w:t>
      </w:r>
    </w:p>
  </w:footnote>
  <w:footnote w:id="3">
    <w:p w14:paraId="1B091A4A" w14:textId="77777777" w:rsidR="00CB3070" w:rsidRDefault="00CB3070" w:rsidP="00CB3070">
      <w:pPr>
        <w:pStyle w:val="FootnoteText"/>
      </w:pPr>
      <w:r>
        <w:rPr>
          <w:rStyle w:val="FootnoteReference"/>
        </w:rPr>
        <w:footnoteRef/>
      </w:r>
      <w:r>
        <w:t xml:space="preserve"> </w:t>
      </w:r>
      <w:r w:rsidRPr="00A50F14">
        <w:rPr>
          <w:rFonts w:eastAsia="Times New Roman"/>
          <w:color w:val="000000"/>
          <w:lang w:val="en-HK" w:eastAsia="zh-TW"/>
        </w:rPr>
        <w:t>[1955] Ch 260</w:t>
      </w:r>
    </w:p>
  </w:footnote>
  <w:footnote w:id="4">
    <w:p w14:paraId="47424473" w14:textId="77777777" w:rsidR="00CB3070" w:rsidRDefault="00CB3070" w:rsidP="00CB3070">
      <w:pPr>
        <w:pStyle w:val="FootnoteText"/>
      </w:pPr>
      <w:r>
        <w:rPr>
          <w:rStyle w:val="FootnoteReference"/>
        </w:rPr>
        <w:footnoteRef/>
      </w:r>
      <w:r>
        <w:t xml:space="preserve"> </w:t>
      </w:r>
      <w:r w:rsidRPr="00A50F14">
        <w:rPr>
          <w:rFonts w:eastAsia="Times New Roman"/>
          <w:color w:val="000000"/>
          <w:lang w:val="en-HK" w:eastAsia="zh-TW"/>
        </w:rPr>
        <w:t>[2000] 1 WLR 2268</w:t>
      </w:r>
    </w:p>
  </w:footnote>
  <w:footnote w:id="5">
    <w:p w14:paraId="5448D920" w14:textId="77777777" w:rsidR="00CB3070" w:rsidRDefault="00CB3070" w:rsidP="00CB3070">
      <w:pPr>
        <w:pStyle w:val="FootnoteText"/>
      </w:pPr>
      <w:r>
        <w:rPr>
          <w:rStyle w:val="FootnoteReference"/>
        </w:rPr>
        <w:footnoteRef/>
      </w:r>
      <w:r>
        <w:t xml:space="preserve"> </w:t>
      </w:r>
      <w:r w:rsidRPr="00A50F14">
        <w:rPr>
          <w:rFonts w:eastAsia="Times New Roman"/>
          <w:color w:val="000000"/>
          <w:lang w:val="en-HK" w:eastAsia="zh-TW"/>
        </w:rPr>
        <w:t>[2001] 3 All ER 513</w:t>
      </w:r>
    </w:p>
  </w:footnote>
  <w:footnote w:id="6">
    <w:p w14:paraId="09BE894E" w14:textId="77777777" w:rsidR="00CB3070" w:rsidRDefault="00CB3070" w:rsidP="00CB3070">
      <w:pPr>
        <w:pStyle w:val="FootnoteText"/>
      </w:pPr>
      <w:r>
        <w:rPr>
          <w:rStyle w:val="FootnoteReference"/>
        </w:rPr>
        <w:footnoteRef/>
      </w:r>
      <w:r>
        <w:t xml:space="preserve"> </w:t>
      </w:r>
      <w:r w:rsidRPr="00A50F14">
        <w:rPr>
          <w:rFonts w:eastAsia="Times New Roman"/>
          <w:color w:val="000000"/>
          <w:lang w:val="en-HK" w:eastAsia="zh-TW"/>
        </w:rPr>
        <w:t>[2004] 1 HKC 533</w:t>
      </w:r>
    </w:p>
  </w:footnote>
  <w:footnote w:id="7">
    <w:p w14:paraId="6DA61F4B" w14:textId="77777777" w:rsidR="00CB3070" w:rsidRDefault="00CB3070" w:rsidP="00CB3070">
      <w:pPr>
        <w:pStyle w:val="FootnoteText"/>
      </w:pPr>
      <w:r>
        <w:rPr>
          <w:rStyle w:val="FootnoteReference"/>
        </w:rPr>
        <w:footnoteRef/>
      </w:r>
      <w:r>
        <w:t xml:space="preserve"> DCEC 97/2004 (</w:t>
      </w:r>
      <w:r w:rsidRPr="0096420F">
        <w:rPr>
          <w:i/>
          <w:iCs/>
        </w:rPr>
        <w:t>unrep</w:t>
      </w:r>
      <w:r>
        <w:t>. 24 November 2006)</w:t>
      </w:r>
    </w:p>
  </w:footnote>
  <w:footnote w:id="8">
    <w:p w14:paraId="190B75A9" w14:textId="77777777" w:rsidR="00CB3070" w:rsidRDefault="00CB3070" w:rsidP="00CB3070">
      <w:pPr>
        <w:pStyle w:val="FootnoteText"/>
      </w:pPr>
      <w:r>
        <w:rPr>
          <w:rStyle w:val="FootnoteReference"/>
        </w:rPr>
        <w:footnoteRef/>
      </w:r>
      <w:r>
        <w:t xml:space="preserve"> </w:t>
      </w:r>
      <w:r>
        <w:rPr>
          <w:szCs w:val="28"/>
        </w:rPr>
        <w:t>[2013] 2 FLR 859</w:t>
      </w:r>
    </w:p>
  </w:footnote>
  <w:footnote w:id="9">
    <w:p w14:paraId="67ADA025" w14:textId="77777777" w:rsidR="00CB3070" w:rsidRDefault="00CB3070" w:rsidP="00CB3070">
      <w:pPr>
        <w:pStyle w:val="FootnoteText"/>
      </w:pPr>
      <w:r>
        <w:rPr>
          <w:rStyle w:val="FootnoteReference"/>
        </w:rPr>
        <w:footnoteRef/>
      </w:r>
      <w:r>
        <w:t xml:space="preserve"> At §16</w:t>
      </w:r>
    </w:p>
  </w:footnote>
  <w:footnote w:id="10">
    <w:p w14:paraId="0AE59DC9" w14:textId="77777777" w:rsidR="00CB3070" w:rsidRDefault="00CB3070" w:rsidP="00CB3070">
      <w:pPr>
        <w:pStyle w:val="FootnoteText"/>
      </w:pPr>
      <w:r>
        <w:rPr>
          <w:rStyle w:val="FootnoteReference"/>
        </w:rPr>
        <w:footnoteRef/>
      </w:r>
      <w:r>
        <w:t xml:space="preserve"> [1973] 1 WLR 19 at 23-24</w:t>
      </w:r>
    </w:p>
  </w:footnote>
  <w:footnote w:id="11">
    <w:p w14:paraId="25E2E28A" w14:textId="77777777" w:rsidR="00CB3070" w:rsidRDefault="00CB3070" w:rsidP="00CB3070">
      <w:pPr>
        <w:pStyle w:val="FootnoteText"/>
      </w:pPr>
      <w:r>
        <w:rPr>
          <w:rStyle w:val="FootnoteReference"/>
        </w:rPr>
        <w:footnoteRef/>
      </w:r>
      <w:r>
        <w:t xml:space="preserve"> [2000] 1 WLR 2268</w:t>
      </w:r>
    </w:p>
  </w:footnote>
  <w:footnote w:id="12">
    <w:p w14:paraId="0C199CA8" w14:textId="77777777" w:rsidR="00CB3070" w:rsidRDefault="00CB3070" w:rsidP="00CB3070">
      <w:pPr>
        <w:pStyle w:val="FootnoteText"/>
      </w:pPr>
      <w:r>
        <w:rPr>
          <w:rStyle w:val="FootnoteReference"/>
        </w:rPr>
        <w:footnoteRef/>
      </w:r>
      <w:r>
        <w:t xml:space="preserve"> At §24</w:t>
      </w:r>
    </w:p>
  </w:footnote>
  <w:footnote w:id="13">
    <w:p w14:paraId="4D9B884F" w14:textId="7F5F253C" w:rsidR="00CB3070" w:rsidRDefault="00CB3070" w:rsidP="00CB3070">
      <w:pPr>
        <w:pStyle w:val="FootnoteText"/>
      </w:pPr>
      <w:r>
        <w:rPr>
          <w:rStyle w:val="FootnoteReference"/>
        </w:rPr>
        <w:footnoteRef/>
      </w:r>
      <w:r>
        <w:t xml:space="preserve"> </w:t>
      </w:r>
      <w:r w:rsidR="00744998">
        <w:rPr>
          <w:rFonts w:ascii="Arial" w:hAnsi="Arial" w:cs="Arial"/>
          <w:color w:val="000000"/>
          <w:shd w:val="clear" w:color="auto" w:fill="FFFFFF"/>
        </w:rPr>
        <w:t>[2001] 3 All ER 513</w:t>
      </w:r>
    </w:p>
  </w:footnote>
  <w:footnote w:id="14">
    <w:p w14:paraId="62C93024" w14:textId="77777777" w:rsidR="00CB3070" w:rsidRDefault="00CB3070" w:rsidP="00CB3070">
      <w:pPr>
        <w:pStyle w:val="FootnoteText"/>
      </w:pPr>
      <w:r>
        <w:rPr>
          <w:rStyle w:val="FootnoteReference"/>
        </w:rPr>
        <w:footnoteRef/>
      </w:r>
      <w:r>
        <w:t xml:space="preserve"> At §43</w:t>
      </w:r>
    </w:p>
  </w:footnote>
  <w:footnote w:id="15">
    <w:p w14:paraId="5B48AF11" w14:textId="77777777" w:rsidR="00CB3070" w:rsidRDefault="00CB3070" w:rsidP="00CB3070">
      <w:pPr>
        <w:pStyle w:val="FootnoteText"/>
      </w:pPr>
      <w:r>
        <w:rPr>
          <w:rStyle w:val="FootnoteReference"/>
        </w:rPr>
        <w:footnoteRef/>
      </w:r>
      <w:r>
        <w:t xml:space="preserve"> At §27</w:t>
      </w:r>
    </w:p>
  </w:footnote>
  <w:footnote w:id="16">
    <w:p w14:paraId="0E70FECA" w14:textId="77777777" w:rsidR="00CB3070" w:rsidRPr="000A6157" w:rsidRDefault="00CB3070" w:rsidP="00CB3070">
      <w:pPr>
        <w:pStyle w:val="FootnoteText"/>
        <w:rPr>
          <w:i/>
          <w:iCs/>
        </w:rPr>
      </w:pPr>
      <w:r>
        <w:rPr>
          <w:rStyle w:val="FootnoteReference"/>
        </w:rPr>
        <w:footnoteRef/>
      </w:r>
      <w:r>
        <w:t xml:space="preserve"> §[1005] to [1050], </w:t>
      </w:r>
      <w:r>
        <w:rPr>
          <w:i/>
          <w:iCs/>
        </w:rPr>
        <w:t>Butterworths Hong Kong Personal Injury Service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8AB91" w14:textId="77777777" w:rsidR="00BA4256" w:rsidRDefault="00BA4256">
    <w:pPr>
      <w:pStyle w:val="Header"/>
    </w:pPr>
    <w:r w:rsidRPr="00FA43CA">
      <w:rPr>
        <w:noProof/>
        <w:sz w:val="20"/>
        <w:lang w:val="en-US"/>
      </w:rPr>
      <mc:AlternateContent>
        <mc:Choice Requires="wps">
          <w:drawing>
            <wp:anchor distT="0" distB="0" distL="114300" distR="114300" simplePos="0" relativeHeight="251656192" behindDoc="0" locked="0" layoutInCell="0" allowOverlap="1" wp14:anchorId="4850BB80" wp14:editId="5C35FD7B">
              <wp:simplePos x="0" y="0"/>
              <wp:positionH relativeFrom="column">
                <wp:posOffset>5853694</wp:posOffset>
              </wp:positionH>
              <wp:positionV relativeFrom="paragraph">
                <wp:posOffset>155575</wp:posOffset>
              </wp:positionV>
              <wp:extent cx="414020" cy="10058400"/>
              <wp:effectExtent l="0" t="0" r="508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8863FC" w14:textId="77777777" w:rsidR="00BA4256" w:rsidRDefault="00BA4256">
                          <w:pPr>
                            <w:rPr>
                              <w:b/>
                              <w:sz w:val="20"/>
                            </w:rPr>
                          </w:pPr>
                          <w:r>
                            <w:rPr>
                              <w:rFonts w:hint="eastAsia"/>
                              <w:b/>
                              <w:sz w:val="20"/>
                            </w:rPr>
                            <w:t>A</w:t>
                          </w:r>
                        </w:p>
                        <w:p w14:paraId="127097C3" w14:textId="77777777" w:rsidR="00BA4256" w:rsidRDefault="00BA4256">
                          <w:pPr>
                            <w:rPr>
                              <w:b/>
                              <w:sz w:val="10"/>
                            </w:rPr>
                          </w:pPr>
                        </w:p>
                        <w:p w14:paraId="047AC5D2" w14:textId="77777777" w:rsidR="00BA4256" w:rsidRDefault="00BA4256">
                          <w:pPr>
                            <w:rPr>
                              <w:b/>
                              <w:sz w:val="16"/>
                            </w:rPr>
                          </w:pPr>
                        </w:p>
                        <w:p w14:paraId="7503C2AE" w14:textId="77777777" w:rsidR="00BA4256" w:rsidRDefault="00BA4256">
                          <w:pPr>
                            <w:rPr>
                              <w:b/>
                              <w:sz w:val="16"/>
                            </w:rPr>
                          </w:pPr>
                        </w:p>
                        <w:p w14:paraId="2C5092A9" w14:textId="77777777" w:rsidR="00BA4256" w:rsidRDefault="00BA4256">
                          <w:pPr>
                            <w:rPr>
                              <w:b/>
                              <w:sz w:val="20"/>
                            </w:rPr>
                          </w:pPr>
                          <w:r>
                            <w:rPr>
                              <w:rFonts w:hint="eastAsia"/>
                              <w:b/>
                              <w:sz w:val="20"/>
                            </w:rPr>
                            <w:t>B</w:t>
                          </w:r>
                        </w:p>
                        <w:p w14:paraId="2A172434" w14:textId="77777777" w:rsidR="00BA4256" w:rsidRDefault="00BA4256">
                          <w:pPr>
                            <w:rPr>
                              <w:b/>
                              <w:sz w:val="10"/>
                            </w:rPr>
                          </w:pPr>
                        </w:p>
                        <w:p w14:paraId="54D4AB51" w14:textId="77777777" w:rsidR="00BA4256" w:rsidRDefault="00BA4256">
                          <w:pPr>
                            <w:rPr>
                              <w:b/>
                              <w:sz w:val="16"/>
                            </w:rPr>
                          </w:pPr>
                        </w:p>
                        <w:p w14:paraId="7DBD26C0" w14:textId="77777777" w:rsidR="00BA4256" w:rsidRDefault="00BA4256">
                          <w:pPr>
                            <w:rPr>
                              <w:b/>
                              <w:sz w:val="16"/>
                            </w:rPr>
                          </w:pPr>
                        </w:p>
                        <w:p w14:paraId="5C849C45" w14:textId="77777777" w:rsidR="00BA4256" w:rsidRDefault="00BA4256">
                          <w:pPr>
                            <w:rPr>
                              <w:b/>
                              <w:sz w:val="16"/>
                            </w:rPr>
                          </w:pPr>
                          <w:r>
                            <w:rPr>
                              <w:rFonts w:hint="eastAsia"/>
                              <w:b/>
                              <w:sz w:val="20"/>
                            </w:rPr>
                            <w:t>C</w:t>
                          </w:r>
                        </w:p>
                        <w:p w14:paraId="666BDB1B" w14:textId="77777777" w:rsidR="00BA4256" w:rsidRDefault="00BA4256">
                          <w:pPr>
                            <w:rPr>
                              <w:b/>
                              <w:sz w:val="10"/>
                            </w:rPr>
                          </w:pPr>
                        </w:p>
                        <w:p w14:paraId="52C1850E" w14:textId="77777777" w:rsidR="00BA4256" w:rsidRDefault="00BA4256">
                          <w:pPr>
                            <w:rPr>
                              <w:b/>
                              <w:sz w:val="16"/>
                            </w:rPr>
                          </w:pPr>
                        </w:p>
                        <w:p w14:paraId="651A59A7" w14:textId="77777777" w:rsidR="00BA4256" w:rsidRDefault="00BA4256">
                          <w:pPr>
                            <w:rPr>
                              <w:b/>
                              <w:sz w:val="16"/>
                            </w:rPr>
                          </w:pPr>
                        </w:p>
                        <w:p w14:paraId="3EEE4744" w14:textId="77777777" w:rsidR="00BA4256" w:rsidRDefault="00BA4256">
                          <w:pPr>
                            <w:pStyle w:val="Heading2"/>
                            <w:rPr>
                              <w:sz w:val="16"/>
                            </w:rPr>
                          </w:pPr>
                          <w:r>
                            <w:rPr>
                              <w:rFonts w:hint="eastAsia"/>
                            </w:rPr>
                            <w:t>D</w:t>
                          </w:r>
                        </w:p>
                        <w:p w14:paraId="5630CF3F" w14:textId="77777777" w:rsidR="00BA4256" w:rsidRDefault="00BA4256">
                          <w:pPr>
                            <w:rPr>
                              <w:b/>
                              <w:sz w:val="10"/>
                            </w:rPr>
                          </w:pPr>
                        </w:p>
                        <w:p w14:paraId="298B9208" w14:textId="77777777" w:rsidR="00BA4256" w:rsidRDefault="00BA4256">
                          <w:pPr>
                            <w:rPr>
                              <w:b/>
                              <w:sz w:val="16"/>
                            </w:rPr>
                          </w:pPr>
                        </w:p>
                        <w:p w14:paraId="6A6E1731" w14:textId="77777777" w:rsidR="00BA4256" w:rsidRDefault="00BA4256">
                          <w:pPr>
                            <w:rPr>
                              <w:b/>
                              <w:sz w:val="16"/>
                            </w:rPr>
                          </w:pPr>
                        </w:p>
                        <w:p w14:paraId="1C7CAE49" w14:textId="77777777" w:rsidR="00BA4256" w:rsidRDefault="00BA4256">
                          <w:pPr>
                            <w:rPr>
                              <w:b/>
                              <w:sz w:val="16"/>
                            </w:rPr>
                          </w:pPr>
                          <w:r>
                            <w:rPr>
                              <w:rFonts w:hint="eastAsia"/>
                              <w:b/>
                              <w:sz w:val="20"/>
                            </w:rPr>
                            <w:t>E</w:t>
                          </w:r>
                        </w:p>
                        <w:p w14:paraId="7636E72E" w14:textId="77777777" w:rsidR="00BA4256" w:rsidRDefault="00BA4256">
                          <w:pPr>
                            <w:rPr>
                              <w:b/>
                              <w:sz w:val="10"/>
                            </w:rPr>
                          </w:pPr>
                        </w:p>
                        <w:p w14:paraId="334FC68C" w14:textId="77777777" w:rsidR="00BA4256" w:rsidRDefault="00BA4256">
                          <w:pPr>
                            <w:rPr>
                              <w:b/>
                              <w:sz w:val="16"/>
                            </w:rPr>
                          </w:pPr>
                        </w:p>
                        <w:p w14:paraId="1680C600" w14:textId="77777777" w:rsidR="00BA4256" w:rsidRDefault="00BA4256">
                          <w:pPr>
                            <w:rPr>
                              <w:b/>
                              <w:sz w:val="16"/>
                            </w:rPr>
                          </w:pPr>
                        </w:p>
                        <w:p w14:paraId="65389902" w14:textId="77777777" w:rsidR="00BA4256" w:rsidRDefault="00BA4256">
                          <w:pPr>
                            <w:rPr>
                              <w:b/>
                              <w:sz w:val="20"/>
                            </w:rPr>
                          </w:pPr>
                          <w:r>
                            <w:rPr>
                              <w:rFonts w:hint="eastAsia"/>
                              <w:b/>
                              <w:sz w:val="20"/>
                            </w:rPr>
                            <w:t>F</w:t>
                          </w:r>
                        </w:p>
                        <w:p w14:paraId="4752C59B" w14:textId="77777777" w:rsidR="00BA4256" w:rsidRDefault="00BA4256">
                          <w:pPr>
                            <w:rPr>
                              <w:b/>
                              <w:sz w:val="10"/>
                            </w:rPr>
                          </w:pPr>
                        </w:p>
                        <w:p w14:paraId="4D73AA04" w14:textId="77777777" w:rsidR="00BA4256" w:rsidRDefault="00BA4256">
                          <w:pPr>
                            <w:rPr>
                              <w:b/>
                              <w:sz w:val="16"/>
                            </w:rPr>
                          </w:pPr>
                        </w:p>
                        <w:p w14:paraId="694E4C11" w14:textId="77777777" w:rsidR="00BA4256" w:rsidRDefault="00BA4256">
                          <w:pPr>
                            <w:rPr>
                              <w:b/>
                              <w:sz w:val="16"/>
                            </w:rPr>
                          </w:pPr>
                        </w:p>
                        <w:p w14:paraId="7BC92899" w14:textId="77777777" w:rsidR="00BA4256" w:rsidRDefault="00BA4256">
                          <w:pPr>
                            <w:rPr>
                              <w:b/>
                              <w:sz w:val="16"/>
                            </w:rPr>
                          </w:pPr>
                          <w:r>
                            <w:rPr>
                              <w:rFonts w:hint="eastAsia"/>
                              <w:b/>
                              <w:sz w:val="20"/>
                            </w:rPr>
                            <w:t>G</w:t>
                          </w:r>
                        </w:p>
                        <w:p w14:paraId="6F278285" w14:textId="77777777" w:rsidR="00BA4256" w:rsidRDefault="00BA4256">
                          <w:pPr>
                            <w:rPr>
                              <w:b/>
                              <w:sz w:val="10"/>
                            </w:rPr>
                          </w:pPr>
                        </w:p>
                        <w:p w14:paraId="59C71BC8" w14:textId="77777777" w:rsidR="00BA4256" w:rsidRDefault="00BA4256">
                          <w:pPr>
                            <w:rPr>
                              <w:b/>
                              <w:sz w:val="16"/>
                            </w:rPr>
                          </w:pPr>
                        </w:p>
                        <w:p w14:paraId="46819E0C" w14:textId="77777777" w:rsidR="00BA4256" w:rsidRDefault="00BA4256">
                          <w:pPr>
                            <w:rPr>
                              <w:b/>
                              <w:sz w:val="16"/>
                            </w:rPr>
                          </w:pPr>
                        </w:p>
                        <w:p w14:paraId="75991CC1" w14:textId="77777777" w:rsidR="00BA4256" w:rsidRDefault="00BA4256">
                          <w:pPr>
                            <w:rPr>
                              <w:b/>
                              <w:sz w:val="16"/>
                            </w:rPr>
                          </w:pPr>
                          <w:r>
                            <w:rPr>
                              <w:rFonts w:hint="eastAsia"/>
                              <w:b/>
                              <w:sz w:val="20"/>
                            </w:rPr>
                            <w:t>H</w:t>
                          </w:r>
                        </w:p>
                        <w:p w14:paraId="0DF1159F" w14:textId="77777777" w:rsidR="00BA4256" w:rsidRDefault="00BA4256">
                          <w:pPr>
                            <w:rPr>
                              <w:b/>
                              <w:sz w:val="10"/>
                            </w:rPr>
                          </w:pPr>
                        </w:p>
                        <w:p w14:paraId="74D731D3" w14:textId="77777777" w:rsidR="00BA4256" w:rsidRDefault="00BA4256">
                          <w:pPr>
                            <w:rPr>
                              <w:b/>
                              <w:sz w:val="16"/>
                            </w:rPr>
                          </w:pPr>
                        </w:p>
                        <w:p w14:paraId="7E9F6D46" w14:textId="77777777" w:rsidR="00BA4256" w:rsidRDefault="00BA4256">
                          <w:pPr>
                            <w:rPr>
                              <w:b/>
                              <w:sz w:val="16"/>
                            </w:rPr>
                          </w:pPr>
                        </w:p>
                        <w:p w14:paraId="45301FEC" w14:textId="77777777" w:rsidR="00BA4256" w:rsidRDefault="00BA4256">
                          <w:pPr>
                            <w:rPr>
                              <w:b/>
                              <w:sz w:val="16"/>
                            </w:rPr>
                          </w:pPr>
                          <w:r>
                            <w:rPr>
                              <w:rFonts w:hint="eastAsia"/>
                              <w:b/>
                              <w:sz w:val="20"/>
                            </w:rPr>
                            <w:t>I</w:t>
                          </w:r>
                        </w:p>
                        <w:p w14:paraId="6245868F" w14:textId="77777777" w:rsidR="00BA4256" w:rsidRDefault="00BA4256">
                          <w:pPr>
                            <w:rPr>
                              <w:b/>
                              <w:sz w:val="10"/>
                            </w:rPr>
                          </w:pPr>
                        </w:p>
                        <w:p w14:paraId="20481662" w14:textId="77777777" w:rsidR="00BA4256" w:rsidRDefault="00BA4256">
                          <w:pPr>
                            <w:rPr>
                              <w:b/>
                              <w:sz w:val="16"/>
                            </w:rPr>
                          </w:pPr>
                        </w:p>
                        <w:p w14:paraId="088F7FCD" w14:textId="77777777" w:rsidR="00BA4256" w:rsidRDefault="00BA4256">
                          <w:pPr>
                            <w:rPr>
                              <w:b/>
                              <w:sz w:val="16"/>
                            </w:rPr>
                          </w:pPr>
                        </w:p>
                        <w:p w14:paraId="042698EB" w14:textId="77777777" w:rsidR="00BA4256" w:rsidRDefault="00BA4256">
                          <w:pPr>
                            <w:rPr>
                              <w:b/>
                              <w:sz w:val="16"/>
                            </w:rPr>
                          </w:pPr>
                          <w:r>
                            <w:rPr>
                              <w:rFonts w:hint="eastAsia"/>
                              <w:b/>
                              <w:sz w:val="20"/>
                            </w:rPr>
                            <w:t>J</w:t>
                          </w:r>
                        </w:p>
                        <w:p w14:paraId="57C520BF" w14:textId="77777777" w:rsidR="00BA4256" w:rsidRDefault="00BA4256">
                          <w:pPr>
                            <w:rPr>
                              <w:b/>
                              <w:sz w:val="10"/>
                            </w:rPr>
                          </w:pPr>
                        </w:p>
                        <w:p w14:paraId="40863420" w14:textId="77777777" w:rsidR="00BA4256" w:rsidRDefault="00BA4256">
                          <w:pPr>
                            <w:rPr>
                              <w:b/>
                              <w:sz w:val="16"/>
                            </w:rPr>
                          </w:pPr>
                        </w:p>
                        <w:p w14:paraId="778A8950" w14:textId="77777777" w:rsidR="00BA4256" w:rsidRDefault="00BA4256">
                          <w:pPr>
                            <w:rPr>
                              <w:b/>
                              <w:sz w:val="16"/>
                            </w:rPr>
                          </w:pPr>
                        </w:p>
                        <w:p w14:paraId="18C2AC2A" w14:textId="77777777" w:rsidR="00BA4256" w:rsidRDefault="00BA4256">
                          <w:pPr>
                            <w:rPr>
                              <w:b/>
                              <w:sz w:val="16"/>
                            </w:rPr>
                          </w:pPr>
                          <w:r>
                            <w:rPr>
                              <w:rFonts w:hint="eastAsia"/>
                              <w:b/>
                              <w:sz w:val="20"/>
                            </w:rPr>
                            <w:t>K</w:t>
                          </w:r>
                        </w:p>
                        <w:p w14:paraId="7F538286" w14:textId="77777777" w:rsidR="00BA4256" w:rsidRDefault="00BA4256">
                          <w:pPr>
                            <w:rPr>
                              <w:b/>
                              <w:sz w:val="10"/>
                            </w:rPr>
                          </w:pPr>
                        </w:p>
                        <w:p w14:paraId="41C34285" w14:textId="77777777" w:rsidR="00BA4256" w:rsidRDefault="00BA4256">
                          <w:pPr>
                            <w:rPr>
                              <w:b/>
                              <w:sz w:val="16"/>
                            </w:rPr>
                          </w:pPr>
                        </w:p>
                        <w:p w14:paraId="7ADBBB42" w14:textId="77777777" w:rsidR="00BA4256" w:rsidRDefault="00BA4256">
                          <w:pPr>
                            <w:rPr>
                              <w:b/>
                              <w:sz w:val="16"/>
                            </w:rPr>
                          </w:pPr>
                        </w:p>
                        <w:p w14:paraId="5AABD61A" w14:textId="77777777" w:rsidR="00BA4256" w:rsidRDefault="00BA4256">
                          <w:pPr>
                            <w:rPr>
                              <w:b/>
                              <w:sz w:val="16"/>
                            </w:rPr>
                          </w:pPr>
                          <w:r>
                            <w:rPr>
                              <w:rFonts w:hint="eastAsia"/>
                              <w:b/>
                              <w:sz w:val="20"/>
                            </w:rPr>
                            <w:t>L</w:t>
                          </w:r>
                        </w:p>
                        <w:p w14:paraId="0D41787E" w14:textId="77777777" w:rsidR="00BA4256" w:rsidRDefault="00BA4256">
                          <w:pPr>
                            <w:rPr>
                              <w:b/>
                              <w:sz w:val="10"/>
                            </w:rPr>
                          </w:pPr>
                        </w:p>
                        <w:p w14:paraId="23B83378" w14:textId="77777777" w:rsidR="00BA4256" w:rsidRDefault="00BA4256">
                          <w:pPr>
                            <w:rPr>
                              <w:b/>
                              <w:sz w:val="16"/>
                            </w:rPr>
                          </w:pPr>
                        </w:p>
                        <w:p w14:paraId="6C9B572F" w14:textId="77777777" w:rsidR="00BA4256" w:rsidRDefault="00BA4256">
                          <w:pPr>
                            <w:rPr>
                              <w:b/>
                              <w:sz w:val="16"/>
                            </w:rPr>
                          </w:pPr>
                        </w:p>
                        <w:p w14:paraId="1E6CA90D" w14:textId="77777777" w:rsidR="00BA4256" w:rsidRDefault="00BA4256">
                          <w:pPr>
                            <w:rPr>
                              <w:b/>
                              <w:sz w:val="16"/>
                            </w:rPr>
                          </w:pPr>
                          <w:r>
                            <w:rPr>
                              <w:rFonts w:hint="eastAsia"/>
                              <w:b/>
                              <w:sz w:val="20"/>
                            </w:rPr>
                            <w:t>M</w:t>
                          </w:r>
                        </w:p>
                        <w:p w14:paraId="499E1EAE" w14:textId="77777777" w:rsidR="00BA4256" w:rsidRDefault="00BA4256">
                          <w:pPr>
                            <w:rPr>
                              <w:b/>
                              <w:sz w:val="10"/>
                            </w:rPr>
                          </w:pPr>
                        </w:p>
                        <w:p w14:paraId="520BD393" w14:textId="77777777" w:rsidR="00BA4256" w:rsidRDefault="00BA4256">
                          <w:pPr>
                            <w:rPr>
                              <w:b/>
                              <w:sz w:val="16"/>
                            </w:rPr>
                          </w:pPr>
                        </w:p>
                        <w:p w14:paraId="2AC08A7E" w14:textId="77777777" w:rsidR="00BA4256" w:rsidRDefault="00BA4256">
                          <w:pPr>
                            <w:rPr>
                              <w:b/>
                              <w:sz w:val="16"/>
                            </w:rPr>
                          </w:pPr>
                        </w:p>
                        <w:p w14:paraId="378DC051" w14:textId="77777777" w:rsidR="00BA4256" w:rsidRDefault="00BA4256">
                          <w:pPr>
                            <w:rPr>
                              <w:b/>
                              <w:sz w:val="16"/>
                            </w:rPr>
                          </w:pPr>
                          <w:r>
                            <w:rPr>
                              <w:rFonts w:hint="eastAsia"/>
                              <w:b/>
                              <w:sz w:val="20"/>
                            </w:rPr>
                            <w:t>N</w:t>
                          </w:r>
                        </w:p>
                        <w:p w14:paraId="5417B446" w14:textId="77777777" w:rsidR="00BA4256" w:rsidRDefault="00BA4256">
                          <w:pPr>
                            <w:rPr>
                              <w:b/>
                              <w:sz w:val="10"/>
                            </w:rPr>
                          </w:pPr>
                        </w:p>
                        <w:p w14:paraId="2C6BBAE5" w14:textId="77777777" w:rsidR="00BA4256" w:rsidRDefault="00BA4256">
                          <w:pPr>
                            <w:rPr>
                              <w:b/>
                              <w:sz w:val="16"/>
                            </w:rPr>
                          </w:pPr>
                        </w:p>
                        <w:p w14:paraId="3BEDB863" w14:textId="77777777" w:rsidR="00BA4256" w:rsidRDefault="00BA4256">
                          <w:pPr>
                            <w:rPr>
                              <w:b/>
                              <w:sz w:val="16"/>
                            </w:rPr>
                          </w:pPr>
                        </w:p>
                        <w:p w14:paraId="29C77599" w14:textId="77777777" w:rsidR="00BA4256" w:rsidRDefault="00BA4256">
                          <w:pPr>
                            <w:rPr>
                              <w:b/>
                              <w:sz w:val="16"/>
                            </w:rPr>
                          </w:pPr>
                          <w:r>
                            <w:rPr>
                              <w:rFonts w:hint="eastAsia"/>
                              <w:b/>
                              <w:sz w:val="20"/>
                            </w:rPr>
                            <w:t>O</w:t>
                          </w:r>
                        </w:p>
                        <w:p w14:paraId="63F73AEF" w14:textId="77777777" w:rsidR="00BA4256" w:rsidRDefault="00BA4256">
                          <w:pPr>
                            <w:rPr>
                              <w:b/>
                              <w:sz w:val="10"/>
                            </w:rPr>
                          </w:pPr>
                        </w:p>
                        <w:p w14:paraId="1E9CC030" w14:textId="77777777" w:rsidR="00BA4256" w:rsidRDefault="00BA4256">
                          <w:pPr>
                            <w:rPr>
                              <w:b/>
                              <w:sz w:val="16"/>
                            </w:rPr>
                          </w:pPr>
                        </w:p>
                        <w:p w14:paraId="7E85B159" w14:textId="77777777" w:rsidR="00BA4256" w:rsidRDefault="00BA4256">
                          <w:pPr>
                            <w:rPr>
                              <w:b/>
                              <w:sz w:val="16"/>
                            </w:rPr>
                          </w:pPr>
                        </w:p>
                        <w:p w14:paraId="69F1A136" w14:textId="77777777" w:rsidR="00BA4256" w:rsidRDefault="00BA4256">
                          <w:pPr>
                            <w:rPr>
                              <w:b/>
                              <w:sz w:val="16"/>
                            </w:rPr>
                          </w:pPr>
                          <w:r>
                            <w:rPr>
                              <w:rFonts w:hint="eastAsia"/>
                              <w:b/>
                              <w:sz w:val="20"/>
                            </w:rPr>
                            <w:t>P</w:t>
                          </w:r>
                        </w:p>
                        <w:p w14:paraId="75C27473" w14:textId="77777777" w:rsidR="00BA4256" w:rsidRDefault="00BA4256">
                          <w:pPr>
                            <w:rPr>
                              <w:b/>
                              <w:sz w:val="10"/>
                            </w:rPr>
                          </w:pPr>
                        </w:p>
                        <w:p w14:paraId="3FFA45D4" w14:textId="77777777" w:rsidR="00BA4256" w:rsidRDefault="00BA4256">
                          <w:pPr>
                            <w:rPr>
                              <w:b/>
                              <w:sz w:val="16"/>
                            </w:rPr>
                          </w:pPr>
                        </w:p>
                        <w:p w14:paraId="7F55BF23" w14:textId="77777777" w:rsidR="00BA4256" w:rsidRDefault="00BA4256">
                          <w:pPr>
                            <w:rPr>
                              <w:b/>
                              <w:sz w:val="16"/>
                            </w:rPr>
                          </w:pPr>
                        </w:p>
                        <w:p w14:paraId="17929BDA" w14:textId="77777777" w:rsidR="00BA4256" w:rsidRDefault="00BA4256">
                          <w:pPr>
                            <w:rPr>
                              <w:b/>
                              <w:sz w:val="16"/>
                            </w:rPr>
                          </w:pPr>
                          <w:r>
                            <w:rPr>
                              <w:rFonts w:hint="eastAsia"/>
                              <w:b/>
                              <w:sz w:val="20"/>
                            </w:rPr>
                            <w:t>Q</w:t>
                          </w:r>
                        </w:p>
                        <w:p w14:paraId="6E71B0AA" w14:textId="77777777" w:rsidR="00BA4256" w:rsidRDefault="00BA4256">
                          <w:pPr>
                            <w:rPr>
                              <w:b/>
                              <w:sz w:val="10"/>
                            </w:rPr>
                          </w:pPr>
                        </w:p>
                        <w:p w14:paraId="1A936BFC" w14:textId="77777777" w:rsidR="00BA4256" w:rsidRDefault="00BA4256">
                          <w:pPr>
                            <w:rPr>
                              <w:b/>
                              <w:sz w:val="16"/>
                            </w:rPr>
                          </w:pPr>
                        </w:p>
                        <w:p w14:paraId="24A270B3" w14:textId="77777777" w:rsidR="00BA4256" w:rsidRDefault="00BA4256">
                          <w:pPr>
                            <w:rPr>
                              <w:b/>
                              <w:sz w:val="16"/>
                            </w:rPr>
                          </w:pPr>
                        </w:p>
                        <w:p w14:paraId="06CA47D1" w14:textId="77777777" w:rsidR="00BA4256" w:rsidRDefault="00BA4256">
                          <w:pPr>
                            <w:rPr>
                              <w:b/>
                              <w:sz w:val="16"/>
                            </w:rPr>
                          </w:pPr>
                          <w:r>
                            <w:rPr>
                              <w:rFonts w:hint="eastAsia"/>
                              <w:b/>
                              <w:sz w:val="20"/>
                            </w:rPr>
                            <w:t>R</w:t>
                          </w:r>
                        </w:p>
                        <w:p w14:paraId="1931C6AA" w14:textId="77777777" w:rsidR="00BA4256" w:rsidRDefault="00BA4256">
                          <w:pPr>
                            <w:rPr>
                              <w:b/>
                              <w:sz w:val="10"/>
                            </w:rPr>
                          </w:pPr>
                        </w:p>
                        <w:p w14:paraId="259F21E7" w14:textId="77777777" w:rsidR="00BA4256" w:rsidRDefault="00BA4256">
                          <w:pPr>
                            <w:rPr>
                              <w:b/>
                              <w:sz w:val="16"/>
                            </w:rPr>
                          </w:pPr>
                        </w:p>
                        <w:p w14:paraId="64E472F5" w14:textId="77777777" w:rsidR="00BA4256" w:rsidRDefault="00BA4256">
                          <w:pPr>
                            <w:rPr>
                              <w:b/>
                              <w:sz w:val="16"/>
                            </w:rPr>
                          </w:pPr>
                        </w:p>
                        <w:p w14:paraId="2B1B0B41" w14:textId="77777777" w:rsidR="00BA4256" w:rsidRDefault="00BA4256">
                          <w:pPr>
                            <w:rPr>
                              <w:b/>
                              <w:sz w:val="16"/>
                            </w:rPr>
                          </w:pPr>
                          <w:r>
                            <w:rPr>
                              <w:rFonts w:hint="eastAsia"/>
                              <w:b/>
                              <w:sz w:val="20"/>
                            </w:rPr>
                            <w:t>S</w:t>
                          </w:r>
                        </w:p>
                        <w:p w14:paraId="478B85D1" w14:textId="77777777" w:rsidR="00BA4256" w:rsidRDefault="00BA4256">
                          <w:pPr>
                            <w:rPr>
                              <w:b/>
                              <w:sz w:val="10"/>
                            </w:rPr>
                          </w:pPr>
                        </w:p>
                        <w:p w14:paraId="4E998E86" w14:textId="77777777" w:rsidR="00BA4256" w:rsidRDefault="00BA4256">
                          <w:pPr>
                            <w:rPr>
                              <w:b/>
                              <w:sz w:val="16"/>
                            </w:rPr>
                          </w:pPr>
                        </w:p>
                        <w:p w14:paraId="73FD7E39" w14:textId="77777777" w:rsidR="00BA4256" w:rsidRDefault="00BA4256">
                          <w:pPr>
                            <w:rPr>
                              <w:b/>
                              <w:sz w:val="16"/>
                            </w:rPr>
                          </w:pPr>
                        </w:p>
                        <w:p w14:paraId="5EE03EDA" w14:textId="77777777" w:rsidR="00BA4256" w:rsidRDefault="00BA4256">
                          <w:pPr>
                            <w:rPr>
                              <w:b/>
                              <w:sz w:val="16"/>
                            </w:rPr>
                          </w:pPr>
                          <w:r>
                            <w:rPr>
                              <w:rFonts w:hint="eastAsia"/>
                              <w:b/>
                              <w:sz w:val="20"/>
                            </w:rPr>
                            <w:t>T</w:t>
                          </w:r>
                        </w:p>
                        <w:p w14:paraId="5BD80BA2" w14:textId="77777777" w:rsidR="00BA4256" w:rsidRDefault="00BA4256">
                          <w:pPr>
                            <w:rPr>
                              <w:b/>
                              <w:sz w:val="10"/>
                            </w:rPr>
                          </w:pPr>
                        </w:p>
                        <w:p w14:paraId="0A4328E9" w14:textId="77777777" w:rsidR="00BA4256" w:rsidRDefault="00BA4256">
                          <w:pPr>
                            <w:rPr>
                              <w:b/>
                              <w:sz w:val="16"/>
                            </w:rPr>
                          </w:pPr>
                        </w:p>
                        <w:p w14:paraId="4D852B11" w14:textId="77777777" w:rsidR="00BA4256" w:rsidRDefault="00BA4256">
                          <w:pPr>
                            <w:rPr>
                              <w:b/>
                              <w:sz w:val="16"/>
                            </w:rPr>
                          </w:pPr>
                        </w:p>
                        <w:p w14:paraId="08D1FC67" w14:textId="77777777" w:rsidR="00BA4256" w:rsidRDefault="00BA4256">
                          <w:pPr>
                            <w:rPr>
                              <w:b/>
                              <w:sz w:val="16"/>
                            </w:rPr>
                          </w:pPr>
                          <w:r>
                            <w:rPr>
                              <w:rFonts w:hint="eastAsia"/>
                              <w:b/>
                              <w:sz w:val="20"/>
                            </w:rPr>
                            <w:t>U</w:t>
                          </w:r>
                        </w:p>
                        <w:p w14:paraId="7ACCAAFF" w14:textId="77777777" w:rsidR="00BA4256" w:rsidRDefault="00BA4256">
                          <w:pPr>
                            <w:rPr>
                              <w:b/>
                              <w:sz w:val="10"/>
                            </w:rPr>
                          </w:pPr>
                        </w:p>
                        <w:p w14:paraId="18C8DF97" w14:textId="77777777" w:rsidR="00BA4256" w:rsidRDefault="00BA4256">
                          <w:pPr>
                            <w:rPr>
                              <w:b/>
                              <w:sz w:val="16"/>
                            </w:rPr>
                          </w:pPr>
                        </w:p>
                        <w:p w14:paraId="6D366D82" w14:textId="77777777" w:rsidR="00BA4256" w:rsidRDefault="00BA4256">
                          <w:pPr>
                            <w:rPr>
                              <w:b/>
                              <w:sz w:val="16"/>
                            </w:rPr>
                          </w:pPr>
                        </w:p>
                        <w:p w14:paraId="5C140345" w14:textId="77777777" w:rsidR="00BA4256" w:rsidRDefault="00BA425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0BB80" id="_x0000_t202" coordsize="21600,21600" o:spt="202" path="m,l,21600r21600,l21600,xe">
              <v:stroke joinstyle="miter"/>
              <v:path gradientshapeok="t" o:connecttype="rect"/>
            </v:shapetype>
            <v:shape id="Text Box 2" o:spid="_x0000_s1026" type="#_x0000_t202" style="position:absolute;left:0;text-align:left;margin-left:460.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" o:allowincell="f" stroked="f">
              <v:textbox>
                <w:txbxContent>
                  <w:p w14:paraId="338863FC" w14:textId="77777777" w:rsidR="00BA4256" w:rsidRDefault="00BA4256">
                    <w:pPr>
                      <w:rPr>
                        <w:b/>
                        <w:sz w:val="20"/>
                      </w:rPr>
                    </w:pPr>
                    <w:r>
                      <w:rPr>
                        <w:rFonts w:hint="eastAsia"/>
                        <w:b/>
                        <w:sz w:val="20"/>
                      </w:rPr>
                      <w:t>A</w:t>
                    </w:r>
                  </w:p>
                  <w:p w14:paraId="127097C3" w14:textId="77777777" w:rsidR="00BA4256" w:rsidRDefault="00BA4256">
                    <w:pPr>
                      <w:rPr>
                        <w:b/>
                        <w:sz w:val="10"/>
                      </w:rPr>
                    </w:pPr>
                  </w:p>
                  <w:p w14:paraId="047AC5D2" w14:textId="77777777" w:rsidR="00BA4256" w:rsidRDefault="00BA4256">
                    <w:pPr>
                      <w:rPr>
                        <w:b/>
                        <w:sz w:val="16"/>
                      </w:rPr>
                    </w:pPr>
                  </w:p>
                  <w:p w14:paraId="7503C2AE" w14:textId="77777777" w:rsidR="00BA4256" w:rsidRDefault="00BA4256">
                    <w:pPr>
                      <w:rPr>
                        <w:b/>
                        <w:sz w:val="16"/>
                      </w:rPr>
                    </w:pPr>
                  </w:p>
                  <w:p w14:paraId="2C5092A9" w14:textId="77777777" w:rsidR="00BA4256" w:rsidRDefault="00BA4256">
                    <w:pPr>
                      <w:rPr>
                        <w:b/>
                        <w:sz w:val="20"/>
                      </w:rPr>
                    </w:pPr>
                    <w:r>
                      <w:rPr>
                        <w:rFonts w:hint="eastAsia"/>
                        <w:b/>
                        <w:sz w:val="20"/>
                      </w:rPr>
                      <w:t>B</w:t>
                    </w:r>
                  </w:p>
                  <w:p w14:paraId="2A172434" w14:textId="77777777" w:rsidR="00BA4256" w:rsidRDefault="00BA4256">
                    <w:pPr>
                      <w:rPr>
                        <w:b/>
                        <w:sz w:val="10"/>
                      </w:rPr>
                    </w:pPr>
                  </w:p>
                  <w:p w14:paraId="54D4AB51" w14:textId="77777777" w:rsidR="00BA4256" w:rsidRDefault="00BA4256">
                    <w:pPr>
                      <w:rPr>
                        <w:b/>
                        <w:sz w:val="16"/>
                      </w:rPr>
                    </w:pPr>
                  </w:p>
                  <w:p w14:paraId="7DBD26C0" w14:textId="77777777" w:rsidR="00BA4256" w:rsidRDefault="00BA4256">
                    <w:pPr>
                      <w:rPr>
                        <w:b/>
                        <w:sz w:val="16"/>
                      </w:rPr>
                    </w:pPr>
                  </w:p>
                  <w:p w14:paraId="5C849C45" w14:textId="77777777" w:rsidR="00BA4256" w:rsidRDefault="00BA4256">
                    <w:pPr>
                      <w:rPr>
                        <w:b/>
                        <w:sz w:val="16"/>
                      </w:rPr>
                    </w:pPr>
                    <w:r>
                      <w:rPr>
                        <w:rFonts w:hint="eastAsia"/>
                        <w:b/>
                        <w:sz w:val="20"/>
                      </w:rPr>
                      <w:t>C</w:t>
                    </w:r>
                  </w:p>
                  <w:p w14:paraId="666BDB1B" w14:textId="77777777" w:rsidR="00BA4256" w:rsidRDefault="00BA4256">
                    <w:pPr>
                      <w:rPr>
                        <w:b/>
                        <w:sz w:val="10"/>
                      </w:rPr>
                    </w:pPr>
                  </w:p>
                  <w:p w14:paraId="52C1850E" w14:textId="77777777" w:rsidR="00BA4256" w:rsidRDefault="00BA4256">
                    <w:pPr>
                      <w:rPr>
                        <w:b/>
                        <w:sz w:val="16"/>
                      </w:rPr>
                    </w:pPr>
                  </w:p>
                  <w:p w14:paraId="651A59A7" w14:textId="77777777" w:rsidR="00BA4256" w:rsidRDefault="00BA4256">
                    <w:pPr>
                      <w:rPr>
                        <w:b/>
                        <w:sz w:val="16"/>
                      </w:rPr>
                    </w:pPr>
                  </w:p>
                  <w:p w14:paraId="3EEE4744" w14:textId="77777777" w:rsidR="00BA4256" w:rsidRDefault="00BA4256">
                    <w:pPr>
                      <w:pStyle w:val="Heading2"/>
                      <w:rPr>
                        <w:sz w:val="16"/>
                      </w:rPr>
                    </w:pPr>
                    <w:r>
                      <w:rPr>
                        <w:rFonts w:hint="eastAsia"/>
                      </w:rPr>
                      <w:t>D</w:t>
                    </w:r>
                  </w:p>
                  <w:p w14:paraId="5630CF3F" w14:textId="77777777" w:rsidR="00BA4256" w:rsidRDefault="00BA4256">
                    <w:pPr>
                      <w:rPr>
                        <w:b/>
                        <w:sz w:val="10"/>
                      </w:rPr>
                    </w:pPr>
                  </w:p>
                  <w:p w14:paraId="298B9208" w14:textId="77777777" w:rsidR="00BA4256" w:rsidRDefault="00BA4256">
                    <w:pPr>
                      <w:rPr>
                        <w:b/>
                        <w:sz w:val="16"/>
                      </w:rPr>
                    </w:pPr>
                  </w:p>
                  <w:p w14:paraId="6A6E1731" w14:textId="77777777" w:rsidR="00BA4256" w:rsidRDefault="00BA4256">
                    <w:pPr>
                      <w:rPr>
                        <w:b/>
                        <w:sz w:val="16"/>
                      </w:rPr>
                    </w:pPr>
                  </w:p>
                  <w:p w14:paraId="1C7CAE49" w14:textId="77777777" w:rsidR="00BA4256" w:rsidRDefault="00BA4256">
                    <w:pPr>
                      <w:rPr>
                        <w:b/>
                        <w:sz w:val="16"/>
                      </w:rPr>
                    </w:pPr>
                    <w:r>
                      <w:rPr>
                        <w:rFonts w:hint="eastAsia"/>
                        <w:b/>
                        <w:sz w:val="20"/>
                      </w:rPr>
                      <w:t>E</w:t>
                    </w:r>
                  </w:p>
                  <w:p w14:paraId="7636E72E" w14:textId="77777777" w:rsidR="00BA4256" w:rsidRDefault="00BA4256">
                    <w:pPr>
                      <w:rPr>
                        <w:b/>
                        <w:sz w:val="10"/>
                      </w:rPr>
                    </w:pPr>
                  </w:p>
                  <w:p w14:paraId="334FC68C" w14:textId="77777777" w:rsidR="00BA4256" w:rsidRDefault="00BA4256">
                    <w:pPr>
                      <w:rPr>
                        <w:b/>
                        <w:sz w:val="16"/>
                      </w:rPr>
                    </w:pPr>
                  </w:p>
                  <w:p w14:paraId="1680C600" w14:textId="77777777" w:rsidR="00BA4256" w:rsidRDefault="00BA4256">
                    <w:pPr>
                      <w:rPr>
                        <w:b/>
                        <w:sz w:val="16"/>
                      </w:rPr>
                    </w:pPr>
                  </w:p>
                  <w:p w14:paraId="65389902" w14:textId="77777777" w:rsidR="00BA4256" w:rsidRDefault="00BA4256">
                    <w:pPr>
                      <w:rPr>
                        <w:b/>
                        <w:sz w:val="20"/>
                      </w:rPr>
                    </w:pPr>
                    <w:r>
                      <w:rPr>
                        <w:rFonts w:hint="eastAsia"/>
                        <w:b/>
                        <w:sz w:val="20"/>
                      </w:rPr>
                      <w:t>F</w:t>
                    </w:r>
                  </w:p>
                  <w:p w14:paraId="4752C59B" w14:textId="77777777" w:rsidR="00BA4256" w:rsidRDefault="00BA4256">
                    <w:pPr>
                      <w:rPr>
                        <w:b/>
                        <w:sz w:val="10"/>
                      </w:rPr>
                    </w:pPr>
                  </w:p>
                  <w:p w14:paraId="4D73AA04" w14:textId="77777777" w:rsidR="00BA4256" w:rsidRDefault="00BA4256">
                    <w:pPr>
                      <w:rPr>
                        <w:b/>
                        <w:sz w:val="16"/>
                      </w:rPr>
                    </w:pPr>
                  </w:p>
                  <w:p w14:paraId="694E4C11" w14:textId="77777777" w:rsidR="00BA4256" w:rsidRDefault="00BA4256">
                    <w:pPr>
                      <w:rPr>
                        <w:b/>
                        <w:sz w:val="16"/>
                      </w:rPr>
                    </w:pPr>
                  </w:p>
                  <w:p w14:paraId="7BC92899" w14:textId="77777777" w:rsidR="00BA4256" w:rsidRDefault="00BA4256">
                    <w:pPr>
                      <w:rPr>
                        <w:b/>
                        <w:sz w:val="16"/>
                      </w:rPr>
                    </w:pPr>
                    <w:r>
                      <w:rPr>
                        <w:rFonts w:hint="eastAsia"/>
                        <w:b/>
                        <w:sz w:val="20"/>
                      </w:rPr>
                      <w:t>G</w:t>
                    </w:r>
                  </w:p>
                  <w:p w14:paraId="6F278285" w14:textId="77777777" w:rsidR="00BA4256" w:rsidRDefault="00BA4256">
                    <w:pPr>
                      <w:rPr>
                        <w:b/>
                        <w:sz w:val="10"/>
                      </w:rPr>
                    </w:pPr>
                  </w:p>
                  <w:p w14:paraId="59C71BC8" w14:textId="77777777" w:rsidR="00BA4256" w:rsidRDefault="00BA4256">
                    <w:pPr>
                      <w:rPr>
                        <w:b/>
                        <w:sz w:val="16"/>
                      </w:rPr>
                    </w:pPr>
                  </w:p>
                  <w:p w14:paraId="46819E0C" w14:textId="77777777" w:rsidR="00BA4256" w:rsidRDefault="00BA4256">
                    <w:pPr>
                      <w:rPr>
                        <w:b/>
                        <w:sz w:val="16"/>
                      </w:rPr>
                    </w:pPr>
                  </w:p>
                  <w:p w14:paraId="75991CC1" w14:textId="77777777" w:rsidR="00BA4256" w:rsidRDefault="00BA4256">
                    <w:pPr>
                      <w:rPr>
                        <w:b/>
                        <w:sz w:val="16"/>
                      </w:rPr>
                    </w:pPr>
                    <w:r>
                      <w:rPr>
                        <w:rFonts w:hint="eastAsia"/>
                        <w:b/>
                        <w:sz w:val="20"/>
                      </w:rPr>
                      <w:t>H</w:t>
                    </w:r>
                  </w:p>
                  <w:p w14:paraId="0DF1159F" w14:textId="77777777" w:rsidR="00BA4256" w:rsidRDefault="00BA4256">
                    <w:pPr>
                      <w:rPr>
                        <w:b/>
                        <w:sz w:val="10"/>
                      </w:rPr>
                    </w:pPr>
                  </w:p>
                  <w:p w14:paraId="74D731D3" w14:textId="77777777" w:rsidR="00BA4256" w:rsidRDefault="00BA4256">
                    <w:pPr>
                      <w:rPr>
                        <w:b/>
                        <w:sz w:val="16"/>
                      </w:rPr>
                    </w:pPr>
                  </w:p>
                  <w:p w14:paraId="7E9F6D46" w14:textId="77777777" w:rsidR="00BA4256" w:rsidRDefault="00BA4256">
                    <w:pPr>
                      <w:rPr>
                        <w:b/>
                        <w:sz w:val="16"/>
                      </w:rPr>
                    </w:pPr>
                  </w:p>
                  <w:p w14:paraId="45301FEC" w14:textId="77777777" w:rsidR="00BA4256" w:rsidRDefault="00BA4256">
                    <w:pPr>
                      <w:rPr>
                        <w:b/>
                        <w:sz w:val="16"/>
                      </w:rPr>
                    </w:pPr>
                    <w:r>
                      <w:rPr>
                        <w:rFonts w:hint="eastAsia"/>
                        <w:b/>
                        <w:sz w:val="20"/>
                      </w:rPr>
                      <w:t>I</w:t>
                    </w:r>
                  </w:p>
                  <w:p w14:paraId="6245868F" w14:textId="77777777" w:rsidR="00BA4256" w:rsidRDefault="00BA4256">
                    <w:pPr>
                      <w:rPr>
                        <w:b/>
                        <w:sz w:val="10"/>
                      </w:rPr>
                    </w:pPr>
                  </w:p>
                  <w:p w14:paraId="20481662" w14:textId="77777777" w:rsidR="00BA4256" w:rsidRDefault="00BA4256">
                    <w:pPr>
                      <w:rPr>
                        <w:b/>
                        <w:sz w:val="16"/>
                      </w:rPr>
                    </w:pPr>
                  </w:p>
                  <w:p w14:paraId="088F7FCD" w14:textId="77777777" w:rsidR="00BA4256" w:rsidRDefault="00BA4256">
                    <w:pPr>
                      <w:rPr>
                        <w:b/>
                        <w:sz w:val="16"/>
                      </w:rPr>
                    </w:pPr>
                  </w:p>
                  <w:p w14:paraId="042698EB" w14:textId="77777777" w:rsidR="00BA4256" w:rsidRDefault="00BA4256">
                    <w:pPr>
                      <w:rPr>
                        <w:b/>
                        <w:sz w:val="16"/>
                      </w:rPr>
                    </w:pPr>
                    <w:r>
                      <w:rPr>
                        <w:rFonts w:hint="eastAsia"/>
                        <w:b/>
                        <w:sz w:val="20"/>
                      </w:rPr>
                      <w:t>J</w:t>
                    </w:r>
                  </w:p>
                  <w:p w14:paraId="57C520BF" w14:textId="77777777" w:rsidR="00BA4256" w:rsidRDefault="00BA4256">
                    <w:pPr>
                      <w:rPr>
                        <w:b/>
                        <w:sz w:val="10"/>
                      </w:rPr>
                    </w:pPr>
                  </w:p>
                  <w:p w14:paraId="40863420" w14:textId="77777777" w:rsidR="00BA4256" w:rsidRDefault="00BA4256">
                    <w:pPr>
                      <w:rPr>
                        <w:b/>
                        <w:sz w:val="16"/>
                      </w:rPr>
                    </w:pPr>
                  </w:p>
                  <w:p w14:paraId="778A8950" w14:textId="77777777" w:rsidR="00BA4256" w:rsidRDefault="00BA4256">
                    <w:pPr>
                      <w:rPr>
                        <w:b/>
                        <w:sz w:val="16"/>
                      </w:rPr>
                    </w:pPr>
                  </w:p>
                  <w:p w14:paraId="18C2AC2A" w14:textId="77777777" w:rsidR="00BA4256" w:rsidRDefault="00BA4256">
                    <w:pPr>
                      <w:rPr>
                        <w:b/>
                        <w:sz w:val="16"/>
                      </w:rPr>
                    </w:pPr>
                    <w:r>
                      <w:rPr>
                        <w:rFonts w:hint="eastAsia"/>
                        <w:b/>
                        <w:sz w:val="20"/>
                      </w:rPr>
                      <w:t>K</w:t>
                    </w:r>
                  </w:p>
                  <w:p w14:paraId="7F538286" w14:textId="77777777" w:rsidR="00BA4256" w:rsidRDefault="00BA4256">
                    <w:pPr>
                      <w:rPr>
                        <w:b/>
                        <w:sz w:val="10"/>
                      </w:rPr>
                    </w:pPr>
                  </w:p>
                  <w:p w14:paraId="41C34285" w14:textId="77777777" w:rsidR="00BA4256" w:rsidRDefault="00BA4256">
                    <w:pPr>
                      <w:rPr>
                        <w:b/>
                        <w:sz w:val="16"/>
                      </w:rPr>
                    </w:pPr>
                  </w:p>
                  <w:p w14:paraId="7ADBBB42" w14:textId="77777777" w:rsidR="00BA4256" w:rsidRDefault="00BA4256">
                    <w:pPr>
                      <w:rPr>
                        <w:b/>
                        <w:sz w:val="16"/>
                      </w:rPr>
                    </w:pPr>
                  </w:p>
                  <w:p w14:paraId="5AABD61A" w14:textId="77777777" w:rsidR="00BA4256" w:rsidRDefault="00BA4256">
                    <w:pPr>
                      <w:rPr>
                        <w:b/>
                        <w:sz w:val="16"/>
                      </w:rPr>
                    </w:pPr>
                    <w:r>
                      <w:rPr>
                        <w:rFonts w:hint="eastAsia"/>
                        <w:b/>
                        <w:sz w:val="20"/>
                      </w:rPr>
                      <w:t>L</w:t>
                    </w:r>
                  </w:p>
                  <w:p w14:paraId="0D41787E" w14:textId="77777777" w:rsidR="00BA4256" w:rsidRDefault="00BA4256">
                    <w:pPr>
                      <w:rPr>
                        <w:b/>
                        <w:sz w:val="10"/>
                      </w:rPr>
                    </w:pPr>
                  </w:p>
                  <w:p w14:paraId="23B83378" w14:textId="77777777" w:rsidR="00BA4256" w:rsidRDefault="00BA4256">
                    <w:pPr>
                      <w:rPr>
                        <w:b/>
                        <w:sz w:val="16"/>
                      </w:rPr>
                    </w:pPr>
                  </w:p>
                  <w:p w14:paraId="6C9B572F" w14:textId="77777777" w:rsidR="00BA4256" w:rsidRDefault="00BA4256">
                    <w:pPr>
                      <w:rPr>
                        <w:b/>
                        <w:sz w:val="16"/>
                      </w:rPr>
                    </w:pPr>
                  </w:p>
                  <w:p w14:paraId="1E6CA90D" w14:textId="77777777" w:rsidR="00BA4256" w:rsidRDefault="00BA4256">
                    <w:pPr>
                      <w:rPr>
                        <w:b/>
                        <w:sz w:val="16"/>
                      </w:rPr>
                    </w:pPr>
                    <w:r>
                      <w:rPr>
                        <w:rFonts w:hint="eastAsia"/>
                        <w:b/>
                        <w:sz w:val="20"/>
                      </w:rPr>
                      <w:t>M</w:t>
                    </w:r>
                  </w:p>
                  <w:p w14:paraId="499E1EAE" w14:textId="77777777" w:rsidR="00BA4256" w:rsidRDefault="00BA4256">
                    <w:pPr>
                      <w:rPr>
                        <w:b/>
                        <w:sz w:val="10"/>
                      </w:rPr>
                    </w:pPr>
                  </w:p>
                  <w:p w14:paraId="520BD393" w14:textId="77777777" w:rsidR="00BA4256" w:rsidRDefault="00BA4256">
                    <w:pPr>
                      <w:rPr>
                        <w:b/>
                        <w:sz w:val="16"/>
                      </w:rPr>
                    </w:pPr>
                  </w:p>
                  <w:p w14:paraId="2AC08A7E" w14:textId="77777777" w:rsidR="00BA4256" w:rsidRDefault="00BA4256">
                    <w:pPr>
                      <w:rPr>
                        <w:b/>
                        <w:sz w:val="16"/>
                      </w:rPr>
                    </w:pPr>
                  </w:p>
                  <w:p w14:paraId="378DC051" w14:textId="77777777" w:rsidR="00BA4256" w:rsidRDefault="00BA4256">
                    <w:pPr>
                      <w:rPr>
                        <w:b/>
                        <w:sz w:val="16"/>
                      </w:rPr>
                    </w:pPr>
                    <w:r>
                      <w:rPr>
                        <w:rFonts w:hint="eastAsia"/>
                        <w:b/>
                        <w:sz w:val="20"/>
                      </w:rPr>
                      <w:t>N</w:t>
                    </w:r>
                  </w:p>
                  <w:p w14:paraId="5417B446" w14:textId="77777777" w:rsidR="00BA4256" w:rsidRDefault="00BA4256">
                    <w:pPr>
                      <w:rPr>
                        <w:b/>
                        <w:sz w:val="10"/>
                      </w:rPr>
                    </w:pPr>
                  </w:p>
                  <w:p w14:paraId="2C6BBAE5" w14:textId="77777777" w:rsidR="00BA4256" w:rsidRDefault="00BA4256">
                    <w:pPr>
                      <w:rPr>
                        <w:b/>
                        <w:sz w:val="16"/>
                      </w:rPr>
                    </w:pPr>
                  </w:p>
                  <w:p w14:paraId="3BEDB863" w14:textId="77777777" w:rsidR="00BA4256" w:rsidRDefault="00BA4256">
                    <w:pPr>
                      <w:rPr>
                        <w:b/>
                        <w:sz w:val="16"/>
                      </w:rPr>
                    </w:pPr>
                  </w:p>
                  <w:p w14:paraId="29C77599" w14:textId="77777777" w:rsidR="00BA4256" w:rsidRDefault="00BA4256">
                    <w:pPr>
                      <w:rPr>
                        <w:b/>
                        <w:sz w:val="16"/>
                      </w:rPr>
                    </w:pPr>
                    <w:r>
                      <w:rPr>
                        <w:rFonts w:hint="eastAsia"/>
                        <w:b/>
                        <w:sz w:val="20"/>
                      </w:rPr>
                      <w:t>O</w:t>
                    </w:r>
                  </w:p>
                  <w:p w14:paraId="63F73AEF" w14:textId="77777777" w:rsidR="00BA4256" w:rsidRDefault="00BA4256">
                    <w:pPr>
                      <w:rPr>
                        <w:b/>
                        <w:sz w:val="10"/>
                      </w:rPr>
                    </w:pPr>
                  </w:p>
                  <w:p w14:paraId="1E9CC030" w14:textId="77777777" w:rsidR="00BA4256" w:rsidRDefault="00BA4256">
                    <w:pPr>
                      <w:rPr>
                        <w:b/>
                        <w:sz w:val="16"/>
                      </w:rPr>
                    </w:pPr>
                  </w:p>
                  <w:p w14:paraId="7E85B159" w14:textId="77777777" w:rsidR="00BA4256" w:rsidRDefault="00BA4256">
                    <w:pPr>
                      <w:rPr>
                        <w:b/>
                        <w:sz w:val="16"/>
                      </w:rPr>
                    </w:pPr>
                  </w:p>
                  <w:p w14:paraId="69F1A136" w14:textId="77777777" w:rsidR="00BA4256" w:rsidRDefault="00BA4256">
                    <w:pPr>
                      <w:rPr>
                        <w:b/>
                        <w:sz w:val="16"/>
                      </w:rPr>
                    </w:pPr>
                    <w:r>
                      <w:rPr>
                        <w:rFonts w:hint="eastAsia"/>
                        <w:b/>
                        <w:sz w:val="20"/>
                      </w:rPr>
                      <w:t>P</w:t>
                    </w:r>
                  </w:p>
                  <w:p w14:paraId="75C27473" w14:textId="77777777" w:rsidR="00BA4256" w:rsidRDefault="00BA4256">
                    <w:pPr>
                      <w:rPr>
                        <w:b/>
                        <w:sz w:val="10"/>
                      </w:rPr>
                    </w:pPr>
                  </w:p>
                  <w:p w14:paraId="3FFA45D4" w14:textId="77777777" w:rsidR="00BA4256" w:rsidRDefault="00BA4256">
                    <w:pPr>
                      <w:rPr>
                        <w:b/>
                        <w:sz w:val="16"/>
                      </w:rPr>
                    </w:pPr>
                  </w:p>
                  <w:p w14:paraId="7F55BF23" w14:textId="77777777" w:rsidR="00BA4256" w:rsidRDefault="00BA4256">
                    <w:pPr>
                      <w:rPr>
                        <w:b/>
                        <w:sz w:val="16"/>
                      </w:rPr>
                    </w:pPr>
                  </w:p>
                  <w:p w14:paraId="17929BDA" w14:textId="77777777" w:rsidR="00BA4256" w:rsidRDefault="00BA4256">
                    <w:pPr>
                      <w:rPr>
                        <w:b/>
                        <w:sz w:val="16"/>
                      </w:rPr>
                    </w:pPr>
                    <w:r>
                      <w:rPr>
                        <w:rFonts w:hint="eastAsia"/>
                        <w:b/>
                        <w:sz w:val="20"/>
                      </w:rPr>
                      <w:t>Q</w:t>
                    </w:r>
                  </w:p>
                  <w:p w14:paraId="6E71B0AA" w14:textId="77777777" w:rsidR="00BA4256" w:rsidRDefault="00BA4256">
                    <w:pPr>
                      <w:rPr>
                        <w:b/>
                        <w:sz w:val="10"/>
                      </w:rPr>
                    </w:pPr>
                  </w:p>
                  <w:p w14:paraId="1A936BFC" w14:textId="77777777" w:rsidR="00BA4256" w:rsidRDefault="00BA4256">
                    <w:pPr>
                      <w:rPr>
                        <w:b/>
                        <w:sz w:val="16"/>
                      </w:rPr>
                    </w:pPr>
                  </w:p>
                  <w:p w14:paraId="24A270B3" w14:textId="77777777" w:rsidR="00BA4256" w:rsidRDefault="00BA4256">
                    <w:pPr>
                      <w:rPr>
                        <w:b/>
                        <w:sz w:val="16"/>
                      </w:rPr>
                    </w:pPr>
                  </w:p>
                  <w:p w14:paraId="06CA47D1" w14:textId="77777777" w:rsidR="00BA4256" w:rsidRDefault="00BA4256">
                    <w:pPr>
                      <w:rPr>
                        <w:b/>
                        <w:sz w:val="16"/>
                      </w:rPr>
                    </w:pPr>
                    <w:r>
                      <w:rPr>
                        <w:rFonts w:hint="eastAsia"/>
                        <w:b/>
                        <w:sz w:val="20"/>
                      </w:rPr>
                      <w:t>R</w:t>
                    </w:r>
                  </w:p>
                  <w:p w14:paraId="1931C6AA" w14:textId="77777777" w:rsidR="00BA4256" w:rsidRDefault="00BA4256">
                    <w:pPr>
                      <w:rPr>
                        <w:b/>
                        <w:sz w:val="10"/>
                      </w:rPr>
                    </w:pPr>
                  </w:p>
                  <w:p w14:paraId="259F21E7" w14:textId="77777777" w:rsidR="00BA4256" w:rsidRDefault="00BA4256">
                    <w:pPr>
                      <w:rPr>
                        <w:b/>
                        <w:sz w:val="16"/>
                      </w:rPr>
                    </w:pPr>
                  </w:p>
                  <w:p w14:paraId="64E472F5" w14:textId="77777777" w:rsidR="00BA4256" w:rsidRDefault="00BA4256">
                    <w:pPr>
                      <w:rPr>
                        <w:b/>
                        <w:sz w:val="16"/>
                      </w:rPr>
                    </w:pPr>
                  </w:p>
                  <w:p w14:paraId="2B1B0B41" w14:textId="77777777" w:rsidR="00BA4256" w:rsidRDefault="00BA4256">
                    <w:pPr>
                      <w:rPr>
                        <w:b/>
                        <w:sz w:val="16"/>
                      </w:rPr>
                    </w:pPr>
                    <w:r>
                      <w:rPr>
                        <w:rFonts w:hint="eastAsia"/>
                        <w:b/>
                        <w:sz w:val="20"/>
                      </w:rPr>
                      <w:t>S</w:t>
                    </w:r>
                  </w:p>
                  <w:p w14:paraId="478B85D1" w14:textId="77777777" w:rsidR="00BA4256" w:rsidRDefault="00BA4256">
                    <w:pPr>
                      <w:rPr>
                        <w:b/>
                        <w:sz w:val="10"/>
                      </w:rPr>
                    </w:pPr>
                  </w:p>
                  <w:p w14:paraId="4E998E86" w14:textId="77777777" w:rsidR="00BA4256" w:rsidRDefault="00BA4256">
                    <w:pPr>
                      <w:rPr>
                        <w:b/>
                        <w:sz w:val="16"/>
                      </w:rPr>
                    </w:pPr>
                  </w:p>
                  <w:p w14:paraId="73FD7E39" w14:textId="77777777" w:rsidR="00BA4256" w:rsidRDefault="00BA4256">
                    <w:pPr>
                      <w:rPr>
                        <w:b/>
                        <w:sz w:val="16"/>
                      </w:rPr>
                    </w:pPr>
                  </w:p>
                  <w:p w14:paraId="5EE03EDA" w14:textId="77777777" w:rsidR="00BA4256" w:rsidRDefault="00BA4256">
                    <w:pPr>
                      <w:rPr>
                        <w:b/>
                        <w:sz w:val="16"/>
                      </w:rPr>
                    </w:pPr>
                    <w:r>
                      <w:rPr>
                        <w:rFonts w:hint="eastAsia"/>
                        <w:b/>
                        <w:sz w:val="20"/>
                      </w:rPr>
                      <w:t>T</w:t>
                    </w:r>
                  </w:p>
                  <w:p w14:paraId="5BD80BA2" w14:textId="77777777" w:rsidR="00BA4256" w:rsidRDefault="00BA4256">
                    <w:pPr>
                      <w:rPr>
                        <w:b/>
                        <w:sz w:val="10"/>
                      </w:rPr>
                    </w:pPr>
                  </w:p>
                  <w:p w14:paraId="0A4328E9" w14:textId="77777777" w:rsidR="00BA4256" w:rsidRDefault="00BA4256">
                    <w:pPr>
                      <w:rPr>
                        <w:b/>
                        <w:sz w:val="16"/>
                      </w:rPr>
                    </w:pPr>
                  </w:p>
                  <w:p w14:paraId="4D852B11" w14:textId="77777777" w:rsidR="00BA4256" w:rsidRDefault="00BA4256">
                    <w:pPr>
                      <w:rPr>
                        <w:b/>
                        <w:sz w:val="16"/>
                      </w:rPr>
                    </w:pPr>
                  </w:p>
                  <w:p w14:paraId="08D1FC67" w14:textId="77777777" w:rsidR="00BA4256" w:rsidRDefault="00BA4256">
                    <w:pPr>
                      <w:rPr>
                        <w:b/>
                        <w:sz w:val="16"/>
                      </w:rPr>
                    </w:pPr>
                    <w:r>
                      <w:rPr>
                        <w:rFonts w:hint="eastAsia"/>
                        <w:b/>
                        <w:sz w:val="20"/>
                      </w:rPr>
                      <w:t>U</w:t>
                    </w:r>
                  </w:p>
                  <w:p w14:paraId="7ACCAAFF" w14:textId="77777777" w:rsidR="00BA4256" w:rsidRDefault="00BA4256">
                    <w:pPr>
                      <w:rPr>
                        <w:b/>
                        <w:sz w:val="10"/>
                      </w:rPr>
                    </w:pPr>
                  </w:p>
                  <w:p w14:paraId="18C8DF97" w14:textId="77777777" w:rsidR="00BA4256" w:rsidRDefault="00BA4256">
                    <w:pPr>
                      <w:rPr>
                        <w:b/>
                        <w:sz w:val="16"/>
                      </w:rPr>
                    </w:pPr>
                  </w:p>
                  <w:p w14:paraId="6D366D82" w14:textId="77777777" w:rsidR="00BA4256" w:rsidRDefault="00BA4256">
                    <w:pPr>
                      <w:rPr>
                        <w:b/>
                        <w:sz w:val="16"/>
                      </w:rPr>
                    </w:pPr>
                  </w:p>
                  <w:p w14:paraId="5C140345" w14:textId="77777777" w:rsidR="00BA4256" w:rsidRDefault="00BA4256">
                    <w:pPr>
                      <w:pStyle w:val="Heading3"/>
                      <w:jc w:val="left"/>
                    </w:pPr>
                    <w:r>
                      <w:rPr>
                        <w:rFonts w:hint="eastAsia"/>
                      </w:rPr>
                      <w:t>V</w:t>
                    </w:r>
                  </w:p>
                </w:txbxContent>
              </v:textbox>
            </v:shape>
          </w:pict>
        </mc:Fallback>
      </mc:AlternateContent>
    </w:r>
    <w:r w:rsidRPr="00FA43CA">
      <w:rPr>
        <w:noProof/>
        <w:sz w:val="20"/>
        <w:lang w:val="en-US"/>
      </w:rPr>
      <mc:AlternateContent>
        <mc:Choice Requires="wps">
          <w:drawing>
            <wp:anchor distT="0" distB="0" distL="114300" distR="114300" simplePos="0" relativeHeight="251655168" behindDoc="0" locked="0" layoutInCell="0" allowOverlap="1" wp14:anchorId="1E4A4BAD" wp14:editId="2345E638">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C8D406" w14:textId="77777777" w:rsidR="00BA4256" w:rsidRDefault="00BA4256">
                          <w:pPr>
                            <w:rPr>
                              <w:b/>
                              <w:sz w:val="20"/>
                            </w:rPr>
                          </w:pPr>
                          <w:r>
                            <w:rPr>
                              <w:rFonts w:hint="eastAsia"/>
                              <w:b/>
                              <w:sz w:val="20"/>
                            </w:rPr>
                            <w:t>A</w:t>
                          </w:r>
                        </w:p>
                        <w:p w14:paraId="3A7AA719" w14:textId="77777777" w:rsidR="00BA4256" w:rsidRDefault="00BA4256">
                          <w:pPr>
                            <w:rPr>
                              <w:b/>
                              <w:sz w:val="10"/>
                            </w:rPr>
                          </w:pPr>
                        </w:p>
                        <w:p w14:paraId="0E693769" w14:textId="77777777" w:rsidR="00BA4256" w:rsidRDefault="00BA4256">
                          <w:pPr>
                            <w:rPr>
                              <w:b/>
                              <w:sz w:val="16"/>
                            </w:rPr>
                          </w:pPr>
                        </w:p>
                        <w:p w14:paraId="757F7C00" w14:textId="77777777" w:rsidR="00BA4256" w:rsidRDefault="00BA4256">
                          <w:pPr>
                            <w:rPr>
                              <w:b/>
                              <w:sz w:val="16"/>
                            </w:rPr>
                          </w:pPr>
                        </w:p>
                        <w:p w14:paraId="36C5096E" w14:textId="77777777" w:rsidR="00BA4256" w:rsidRDefault="00BA4256">
                          <w:pPr>
                            <w:rPr>
                              <w:b/>
                              <w:sz w:val="20"/>
                            </w:rPr>
                          </w:pPr>
                          <w:r>
                            <w:rPr>
                              <w:rFonts w:hint="eastAsia"/>
                              <w:b/>
                              <w:sz w:val="20"/>
                            </w:rPr>
                            <w:t>B</w:t>
                          </w:r>
                        </w:p>
                        <w:p w14:paraId="40079D7F" w14:textId="77777777" w:rsidR="00BA4256" w:rsidRDefault="00BA4256">
                          <w:pPr>
                            <w:rPr>
                              <w:b/>
                              <w:sz w:val="10"/>
                            </w:rPr>
                          </w:pPr>
                        </w:p>
                        <w:p w14:paraId="7F31F77C" w14:textId="77777777" w:rsidR="00BA4256" w:rsidRDefault="00BA4256">
                          <w:pPr>
                            <w:rPr>
                              <w:b/>
                              <w:sz w:val="16"/>
                            </w:rPr>
                          </w:pPr>
                        </w:p>
                        <w:p w14:paraId="3AF054E5" w14:textId="77777777" w:rsidR="00BA4256" w:rsidRDefault="00BA4256">
                          <w:pPr>
                            <w:rPr>
                              <w:b/>
                              <w:sz w:val="16"/>
                            </w:rPr>
                          </w:pPr>
                        </w:p>
                        <w:p w14:paraId="30F5B0FB" w14:textId="77777777" w:rsidR="00BA4256" w:rsidRDefault="00BA4256">
                          <w:pPr>
                            <w:rPr>
                              <w:b/>
                              <w:sz w:val="16"/>
                            </w:rPr>
                          </w:pPr>
                          <w:r>
                            <w:rPr>
                              <w:rFonts w:hint="eastAsia"/>
                              <w:b/>
                              <w:sz w:val="20"/>
                            </w:rPr>
                            <w:t>C</w:t>
                          </w:r>
                        </w:p>
                        <w:p w14:paraId="5C935437" w14:textId="77777777" w:rsidR="00BA4256" w:rsidRDefault="00BA4256">
                          <w:pPr>
                            <w:rPr>
                              <w:b/>
                              <w:sz w:val="10"/>
                            </w:rPr>
                          </w:pPr>
                        </w:p>
                        <w:p w14:paraId="1B12A351" w14:textId="77777777" w:rsidR="00BA4256" w:rsidRDefault="00BA4256">
                          <w:pPr>
                            <w:rPr>
                              <w:b/>
                              <w:sz w:val="16"/>
                            </w:rPr>
                          </w:pPr>
                        </w:p>
                        <w:p w14:paraId="35100C08" w14:textId="77777777" w:rsidR="00BA4256" w:rsidRDefault="00BA4256">
                          <w:pPr>
                            <w:rPr>
                              <w:b/>
                              <w:sz w:val="16"/>
                            </w:rPr>
                          </w:pPr>
                        </w:p>
                        <w:p w14:paraId="43AA4BD3" w14:textId="77777777" w:rsidR="00BA4256" w:rsidRDefault="00BA4256">
                          <w:pPr>
                            <w:pStyle w:val="Heading2"/>
                            <w:rPr>
                              <w:sz w:val="16"/>
                            </w:rPr>
                          </w:pPr>
                          <w:r>
                            <w:rPr>
                              <w:rFonts w:hint="eastAsia"/>
                            </w:rPr>
                            <w:t>D</w:t>
                          </w:r>
                        </w:p>
                        <w:p w14:paraId="772BAAFA" w14:textId="77777777" w:rsidR="00BA4256" w:rsidRDefault="00BA4256">
                          <w:pPr>
                            <w:rPr>
                              <w:b/>
                              <w:sz w:val="10"/>
                            </w:rPr>
                          </w:pPr>
                        </w:p>
                        <w:p w14:paraId="614B240A" w14:textId="77777777" w:rsidR="00BA4256" w:rsidRDefault="00BA4256">
                          <w:pPr>
                            <w:rPr>
                              <w:b/>
                              <w:sz w:val="16"/>
                            </w:rPr>
                          </w:pPr>
                        </w:p>
                        <w:p w14:paraId="1AB29124" w14:textId="77777777" w:rsidR="00BA4256" w:rsidRDefault="00BA4256">
                          <w:pPr>
                            <w:rPr>
                              <w:b/>
                              <w:sz w:val="16"/>
                            </w:rPr>
                          </w:pPr>
                        </w:p>
                        <w:p w14:paraId="4F76CF12" w14:textId="77777777" w:rsidR="00BA4256" w:rsidRDefault="00BA4256">
                          <w:pPr>
                            <w:rPr>
                              <w:b/>
                              <w:sz w:val="16"/>
                            </w:rPr>
                          </w:pPr>
                          <w:r>
                            <w:rPr>
                              <w:rFonts w:hint="eastAsia"/>
                              <w:b/>
                              <w:sz w:val="20"/>
                            </w:rPr>
                            <w:t>E</w:t>
                          </w:r>
                        </w:p>
                        <w:p w14:paraId="1BF2B9D6" w14:textId="77777777" w:rsidR="00BA4256" w:rsidRDefault="00BA4256">
                          <w:pPr>
                            <w:rPr>
                              <w:b/>
                              <w:sz w:val="10"/>
                            </w:rPr>
                          </w:pPr>
                        </w:p>
                        <w:p w14:paraId="49D0077B" w14:textId="77777777" w:rsidR="00BA4256" w:rsidRDefault="00BA4256">
                          <w:pPr>
                            <w:rPr>
                              <w:b/>
                              <w:sz w:val="16"/>
                            </w:rPr>
                          </w:pPr>
                        </w:p>
                        <w:p w14:paraId="4CBBD120" w14:textId="77777777" w:rsidR="00BA4256" w:rsidRDefault="00BA4256">
                          <w:pPr>
                            <w:rPr>
                              <w:b/>
                              <w:sz w:val="16"/>
                            </w:rPr>
                          </w:pPr>
                        </w:p>
                        <w:p w14:paraId="5C52917D" w14:textId="77777777" w:rsidR="00BA4256" w:rsidRDefault="00BA4256">
                          <w:pPr>
                            <w:rPr>
                              <w:b/>
                              <w:sz w:val="20"/>
                            </w:rPr>
                          </w:pPr>
                          <w:r>
                            <w:rPr>
                              <w:rFonts w:hint="eastAsia"/>
                              <w:b/>
                              <w:sz w:val="20"/>
                            </w:rPr>
                            <w:t>F</w:t>
                          </w:r>
                        </w:p>
                        <w:p w14:paraId="66A45295" w14:textId="77777777" w:rsidR="00BA4256" w:rsidRDefault="00BA4256">
                          <w:pPr>
                            <w:rPr>
                              <w:b/>
                              <w:sz w:val="10"/>
                            </w:rPr>
                          </w:pPr>
                        </w:p>
                        <w:p w14:paraId="490106BB" w14:textId="77777777" w:rsidR="00BA4256" w:rsidRDefault="00BA4256">
                          <w:pPr>
                            <w:rPr>
                              <w:b/>
                              <w:sz w:val="16"/>
                            </w:rPr>
                          </w:pPr>
                        </w:p>
                        <w:p w14:paraId="476BFD4A" w14:textId="77777777" w:rsidR="00BA4256" w:rsidRDefault="00BA4256">
                          <w:pPr>
                            <w:rPr>
                              <w:b/>
                              <w:sz w:val="16"/>
                            </w:rPr>
                          </w:pPr>
                        </w:p>
                        <w:p w14:paraId="14E0D30E" w14:textId="77777777" w:rsidR="00BA4256" w:rsidRDefault="00BA4256">
                          <w:pPr>
                            <w:rPr>
                              <w:b/>
                              <w:sz w:val="16"/>
                            </w:rPr>
                          </w:pPr>
                          <w:r>
                            <w:rPr>
                              <w:rFonts w:hint="eastAsia"/>
                              <w:b/>
                              <w:sz w:val="20"/>
                            </w:rPr>
                            <w:t>G</w:t>
                          </w:r>
                        </w:p>
                        <w:p w14:paraId="100D8B64" w14:textId="77777777" w:rsidR="00BA4256" w:rsidRDefault="00BA4256">
                          <w:pPr>
                            <w:rPr>
                              <w:b/>
                              <w:sz w:val="10"/>
                            </w:rPr>
                          </w:pPr>
                        </w:p>
                        <w:p w14:paraId="72A943DB" w14:textId="77777777" w:rsidR="00BA4256" w:rsidRDefault="00BA4256">
                          <w:pPr>
                            <w:rPr>
                              <w:b/>
                              <w:sz w:val="16"/>
                            </w:rPr>
                          </w:pPr>
                        </w:p>
                        <w:p w14:paraId="629D222A" w14:textId="77777777" w:rsidR="00BA4256" w:rsidRDefault="00BA4256">
                          <w:pPr>
                            <w:rPr>
                              <w:b/>
                              <w:sz w:val="16"/>
                            </w:rPr>
                          </w:pPr>
                        </w:p>
                        <w:p w14:paraId="41349DF8" w14:textId="77777777" w:rsidR="00BA4256" w:rsidRDefault="00BA4256">
                          <w:pPr>
                            <w:rPr>
                              <w:b/>
                              <w:sz w:val="16"/>
                            </w:rPr>
                          </w:pPr>
                          <w:r>
                            <w:rPr>
                              <w:rFonts w:hint="eastAsia"/>
                              <w:b/>
                              <w:sz w:val="20"/>
                            </w:rPr>
                            <w:t>H</w:t>
                          </w:r>
                        </w:p>
                        <w:p w14:paraId="1A9CFE79" w14:textId="77777777" w:rsidR="00BA4256" w:rsidRDefault="00BA4256">
                          <w:pPr>
                            <w:rPr>
                              <w:b/>
                              <w:sz w:val="10"/>
                            </w:rPr>
                          </w:pPr>
                        </w:p>
                        <w:p w14:paraId="13DB3775" w14:textId="77777777" w:rsidR="00BA4256" w:rsidRDefault="00BA4256">
                          <w:pPr>
                            <w:rPr>
                              <w:b/>
                              <w:sz w:val="16"/>
                            </w:rPr>
                          </w:pPr>
                        </w:p>
                        <w:p w14:paraId="5BEB52A0" w14:textId="77777777" w:rsidR="00BA4256" w:rsidRDefault="00BA4256">
                          <w:pPr>
                            <w:rPr>
                              <w:b/>
                              <w:sz w:val="16"/>
                            </w:rPr>
                          </w:pPr>
                        </w:p>
                        <w:p w14:paraId="6DCDBD22" w14:textId="77777777" w:rsidR="00BA4256" w:rsidRDefault="00BA4256">
                          <w:pPr>
                            <w:rPr>
                              <w:b/>
                              <w:sz w:val="16"/>
                            </w:rPr>
                          </w:pPr>
                          <w:r>
                            <w:rPr>
                              <w:rFonts w:hint="eastAsia"/>
                              <w:b/>
                              <w:sz w:val="20"/>
                            </w:rPr>
                            <w:t>I</w:t>
                          </w:r>
                        </w:p>
                        <w:p w14:paraId="08DDA89B" w14:textId="77777777" w:rsidR="00BA4256" w:rsidRDefault="00BA4256">
                          <w:pPr>
                            <w:rPr>
                              <w:b/>
                              <w:sz w:val="10"/>
                            </w:rPr>
                          </w:pPr>
                        </w:p>
                        <w:p w14:paraId="3A9A0179" w14:textId="77777777" w:rsidR="00BA4256" w:rsidRDefault="00BA4256">
                          <w:pPr>
                            <w:rPr>
                              <w:b/>
                              <w:sz w:val="16"/>
                            </w:rPr>
                          </w:pPr>
                        </w:p>
                        <w:p w14:paraId="41375D84" w14:textId="77777777" w:rsidR="00BA4256" w:rsidRDefault="00BA4256">
                          <w:pPr>
                            <w:rPr>
                              <w:b/>
                              <w:sz w:val="16"/>
                            </w:rPr>
                          </w:pPr>
                        </w:p>
                        <w:p w14:paraId="040B73A3" w14:textId="77777777" w:rsidR="00BA4256" w:rsidRDefault="00BA4256">
                          <w:pPr>
                            <w:rPr>
                              <w:b/>
                              <w:sz w:val="16"/>
                            </w:rPr>
                          </w:pPr>
                          <w:r>
                            <w:rPr>
                              <w:rFonts w:hint="eastAsia"/>
                              <w:b/>
                              <w:sz w:val="20"/>
                            </w:rPr>
                            <w:t>J</w:t>
                          </w:r>
                        </w:p>
                        <w:p w14:paraId="465FF028" w14:textId="77777777" w:rsidR="00BA4256" w:rsidRDefault="00BA4256">
                          <w:pPr>
                            <w:rPr>
                              <w:b/>
                              <w:sz w:val="10"/>
                            </w:rPr>
                          </w:pPr>
                        </w:p>
                        <w:p w14:paraId="698D145B" w14:textId="77777777" w:rsidR="00BA4256" w:rsidRDefault="00BA4256">
                          <w:pPr>
                            <w:rPr>
                              <w:b/>
                              <w:sz w:val="16"/>
                            </w:rPr>
                          </w:pPr>
                        </w:p>
                        <w:p w14:paraId="6452E17D" w14:textId="77777777" w:rsidR="00BA4256" w:rsidRDefault="00BA4256">
                          <w:pPr>
                            <w:rPr>
                              <w:b/>
                              <w:sz w:val="16"/>
                            </w:rPr>
                          </w:pPr>
                        </w:p>
                        <w:p w14:paraId="5AA170F8" w14:textId="77777777" w:rsidR="00BA4256" w:rsidRDefault="00BA4256">
                          <w:pPr>
                            <w:rPr>
                              <w:b/>
                              <w:sz w:val="16"/>
                            </w:rPr>
                          </w:pPr>
                          <w:r>
                            <w:rPr>
                              <w:rFonts w:hint="eastAsia"/>
                              <w:b/>
                              <w:sz w:val="20"/>
                            </w:rPr>
                            <w:t>K</w:t>
                          </w:r>
                        </w:p>
                        <w:p w14:paraId="7E77BDE5" w14:textId="77777777" w:rsidR="00BA4256" w:rsidRDefault="00BA4256">
                          <w:pPr>
                            <w:rPr>
                              <w:b/>
                              <w:sz w:val="10"/>
                            </w:rPr>
                          </w:pPr>
                        </w:p>
                        <w:p w14:paraId="52BCF84B" w14:textId="77777777" w:rsidR="00BA4256" w:rsidRDefault="00BA4256">
                          <w:pPr>
                            <w:rPr>
                              <w:b/>
                              <w:sz w:val="16"/>
                            </w:rPr>
                          </w:pPr>
                        </w:p>
                        <w:p w14:paraId="368E4A0F" w14:textId="77777777" w:rsidR="00BA4256" w:rsidRDefault="00BA4256">
                          <w:pPr>
                            <w:rPr>
                              <w:b/>
                              <w:sz w:val="16"/>
                            </w:rPr>
                          </w:pPr>
                        </w:p>
                        <w:p w14:paraId="0BBC021C" w14:textId="77777777" w:rsidR="00BA4256" w:rsidRDefault="00BA4256">
                          <w:pPr>
                            <w:rPr>
                              <w:b/>
                              <w:sz w:val="16"/>
                            </w:rPr>
                          </w:pPr>
                          <w:r>
                            <w:rPr>
                              <w:rFonts w:hint="eastAsia"/>
                              <w:b/>
                              <w:sz w:val="20"/>
                            </w:rPr>
                            <w:t>L</w:t>
                          </w:r>
                        </w:p>
                        <w:p w14:paraId="46A9ABC9" w14:textId="77777777" w:rsidR="00BA4256" w:rsidRDefault="00BA4256">
                          <w:pPr>
                            <w:rPr>
                              <w:b/>
                              <w:sz w:val="10"/>
                            </w:rPr>
                          </w:pPr>
                        </w:p>
                        <w:p w14:paraId="76302006" w14:textId="77777777" w:rsidR="00BA4256" w:rsidRDefault="00BA4256">
                          <w:pPr>
                            <w:rPr>
                              <w:b/>
                              <w:sz w:val="16"/>
                            </w:rPr>
                          </w:pPr>
                        </w:p>
                        <w:p w14:paraId="2F497680" w14:textId="77777777" w:rsidR="00BA4256" w:rsidRDefault="00BA4256">
                          <w:pPr>
                            <w:rPr>
                              <w:b/>
                              <w:sz w:val="16"/>
                            </w:rPr>
                          </w:pPr>
                        </w:p>
                        <w:p w14:paraId="3053CAC4" w14:textId="77777777" w:rsidR="00BA4256" w:rsidRDefault="00BA4256">
                          <w:pPr>
                            <w:rPr>
                              <w:b/>
                              <w:sz w:val="16"/>
                            </w:rPr>
                          </w:pPr>
                          <w:r>
                            <w:rPr>
                              <w:rFonts w:hint="eastAsia"/>
                              <w:b/>
                              <w:sz w:val="20"/>
                            </w:rPr>
                            <w:t>M</w:t>
                          </w:r>
                        </w:p>
                        <w:p w14:paraId="199698DF" w14:textId="77777777" w:rsidR="00BA4256" w:rsidRDefault="00BA4256">
                          <w:pPr>
                            <w:rPr>
                              <w:b/>
                              <w:sz w:val="10"/>
                            </w:rPr>
                          </w:pPr>
                        </w:p>
                        <w:p w14:paraId="41736A6B" w14:textId="77777777" w:rsidR="00BA4256" w:rsidRDefault="00BA4256">
                          <w:pPr>
                            <w:rPr>
                              <w:b/>
                              <w:sz w:val="16"/>
                            </w:rPr>
                          </w:pPr>
                        </w:p>
                        <w:p w14:paraId="03C668AF" w14:textId="77777777" w:rsidR="00BA4256" w:rsidRDefault="00BA4256">
                          <w:pPr>
                            <w:rPr>
                              <w:b/>
                              <w:sz w:val="16"/>
                            </w:rPr>
                          </w:pPr>
                        </w:p>
                        <w:p w14:paraId="6DAAC4EF" w14:textId="77777777" w:rsidR="00BA4256" w:rsidRDefault="00BA4256">
                          <w:pPr>
                            <w:rPr>
                              <w:b/>
                              <w:sz w:val="16"/>
                            </w:rPr>
                          </w:pPr>
                          <w:r>
                            <w:rPr>
                              <w:rFonts w:hint="eastAsia"/>
                              <w:b/>
                              <w:sz w:val="20"/>
                            </w:rPr>
                            <w:t>N</w:t>
                          </w:r>
                        </w:p>
                        <w:p w14:paraId="4B51E9FA" w14:textId="77777777" w:rsidR="00BA4256" w:rsidRDefault="00BA4256">
                          <w:pPr>
                            <w:rPr>
                              <w:b/>
                              <w:sz w:val="10"/>
                            </w:rPr>
                          </w:pPr>
                        </w:p>
                        <w:p w14:paraId="2089FE0E" w14:textId="77777777" w:rsidR="00BA4256" w:rsidRDefault="00BA4256">
                          <w:pPr>
                            <w:rPr>
                              <w:b/>
                              <w:sz w:val="16"/>
                            </w:rPr>
                          </w:pPr>
                        </w:p>
                        <w:p w14:paraId="68E41794" w14:textId="77777777" w:rsidR="00BA4256" w:rsidRDefault="00BA4256">
                          <w:pPr>
                            <w:rPr>
                              <w:b/>
                              <w:sz w:val="16"/>
                            </w:rPr>
                          </w:pPr>
                        </w:p>
                        <w:p w14:paraId="11698753" w14:textId="77777777" w:rsidR="00BA4256" w:rsidRDefault="00BA4256">
                          <w:pPr>
                            <w:rPr>
                              <w:b/>
                              <w:sz w:val="16"/>
                            </w:rPr>
                          </w:pPr>
                          <w:r>
                            <w:rPr>
                              <w:rFonts w:hint="eastAsia"/>
                              <w:b/>
                              <w:sz w:val="20"/>
                            </w:rPr>
                            <w:t>O</w:t>
                          </w:r>
                        </w:p>
                        <w:p w14:paraId="1879269D" w14:textId="77777777" w:rsidR="00BA4256" w:rsidRDefault="00BA4256">
                          <w:pPr>
                            <w:rPr>
                              <w:b/>
                              <w:sz w:val="10"/>
                            </w:rPr>
                          </w:pPr>
                        </w:p>
                        <w:p w14:paraId="7ACB15FF" w14:textId="77777777" w:rsidR="00BA4256" w:rsidRDefault="00BA4256">
                          <w:pPr>
                            <w:rPr>
                              <w:b/>
                              <w:sz w:val="16"/>
                            </w:rPr>
                          </w:pPr>
                        </w:p>
                        <w:p w14:paraId="5C17C3FB" w14:textId="77777777" w:rsidR="00BA4256" w:rsidRDefault="00BA4256">
                          <w:pPr>
                            <w:rPr>
                              <w:b/>
                              <w:sz w:val="16"/>
                            </w:rPr>
                          </w:pPr>
                        </w:p>
                        <w:p w14:paraId="16C66734" w14:textId="77777777" w:rsidR="00BA4256" w:rsidRDefault="00BA4256">
                          <w:pPr>
                            <w:rPr>
                              <w:b/>
                              <w:sz w:val="16"/>
                            </w:rPr>
                          </w:pPr>
                          <w:r>
                            <w:rPr>
                              <w:rFonts w:hint="eastAsia"/>
                              <w:b/>
                              <w:sz w:val="20"/>
                            </w:rPr>
                            <w:t>P</w:t>
                          </w:r>
                        </w:p>
                        <w:p w14:paraId="5471E266" w14:textId="77777777" w:rsidR="00BA4256" w:rsidRDefault="00BA4256">
                          <w:pPr>
                            <w:rPr>
                              <w:b/>
                              <w:sz w:val="10"/>
                            </w:rPr>
                          </w:pPr>
                        </w:p>
                        <w:p w14:paraId="300738D9" w14:textId="77777777" w:rsidR="00BA4256" w:rsidRDefault="00BA4256">
                          <w:pPr>
                            <w:rPr>
                              <w:b/>
                              <w:sz w:val="16"/>
                            </w:rPr>
                          </w:pPr>
                        </w:p>
                        <w:p w14:paraId="201CB5D9" w14:textId="77777777" w:rsidR="00BA4256" w:rsidRDefault="00BA4256">
                          <w:pPr>
                            <w:rPr>
                              <w:b/>
                              <w:sz w:val="16"/>
                            </w:rPr>
                          </w:pPr>
                        </w:p>
                        <w:p w14:paraId="08791795" w14:textId="77777777" w:rsidR="00BA4256" w:rsidRDefault="00BA4256">
                          <w:pPr>
                            <w:rPr>
                              <w:b/>
                              <w:sz w:val="16"/>
                            </w:rPr>
                          </w:pPr>
                          <w:r>
                            <w:rPr>
                              <w:rFonts w:hint="eastAsia"/>
                              <w:b/>
                              <w:sz w:val="20"/>
                            </w:rPr>
                            <w:t>Q</w:t>
                          </w:r>
                        </w:p>
                        <w:p w14:paraId="288A6920" w14:textId="77777777" w:rsidR="00BA4256" w:rsidRDefault="00BA4256">
                          <w:pPr>
                            <w:rPr>
                              <w:b/>
                              <w:sz w:val="10"/>
                            </w:rPr>
                          </w:pPr>
                        </w:p>
                        <w:p w14:paraId="60EFBABA" w14:textId="77777777" w:rsidR="00BA4256" w:rsidRDefault="00BA4256">
                          <w:pPr>
                            <w:rPr>
                              <w:b/>
                              <w:sz w:val="16"/>
                            </w:rPr>
                          </w:pPr>
                        </w:p>
                        <w:p w14:paraId="67DB640F" w14:textId="77777777" w:rsidR="00BA4256" w:rsidRDefault="00BA4256">
                          <w:pPr>
                            <w:rPr>
                              <w:b/>
                              <w:sz w:val="16"/>
                            </w:rPr>
                          </w:pPr>
                        </w:p>
                        <w:p w14:paraId="669A8244" w14:textId="77777777" w:rsidR="00BA4256" w:rsidRDefault="00BA4256">
                          <w:pPr>
                            <w:rPr>
                              <w:b/>
                              <w:sz w:val="16"/>
                            </w:rPr>
                          </w:pPr>
                          <w:r>
                            <w:rPr>
                              <w:rFonts w:hint="eastAsia"/>
                              <w:b/>
                              <w:sz w:val="20"/>
                            </w:rPr>
                            <w:t>R</w:t>
                          </w:r>
                        </w:p>
                        <w:p w14:paraId="50845D58" w14:textId="77777777" w:rsidR="00BA4256" w:rsidRDefault="00BA4256">
                          <w:pPr>
                            <w:rPr>
                              <w:b/>
                              <w:sz w:val="10"/>
                            </w:rPr>
                          </w:pPr>
                        </w:p>
                        <w:p w14:paraId="00FDCF5E" w14:textId="77777777" w:rsidR="00BA4256" w:rsidRDefault="00BA4256">
                          <w:pPr>
                            <w:rPr>
                              <w:b/>
                              <w:sz w:val="16"/>
                            </w:rPr>
                          </w:pPr>
                        </w:p>
                        <w:p w14:paraId="2408E6D2" w14:textId="77777777" w:rsidR="00BA4256" w:rsidRDefault="00BA4256">
                          <w:pPr>
                            <w:rPr>
                              <w:b/>
                              <w:sz w:val="16"/>
                            </w:rPr>
                          </w:pPr>
                        </w:p>
                        <w:p w14:paraId="048BDD70" w14:textId="77777777" w:rsidR="00BA4256" w:rsidRDefault="00BA4256">
                          <w:pPr>
                            <w:rPr>
                              <w:b/>
                              <w:sz w:val="16"/>
                            </w:rPr>
                          </w:pPr>
                          <w:r>
                            <w:rPr>
                              <w:rFonts w:hint="eastAsia"/>
                              <w:b/>
                              <w:sz w:val="20"/>
                            </w:rPr>
                            <w:t>S</w:t>
                          </w:r>
                        </w:p>
                        <w:p w14:paraId="04BAB3D2" w14:textId="77777777" w:rsidR="00BA4256" w:rsidRDefault="00BA4256">
                          <w:pPr>
                            <w:rPr>
                              <w:b/>
                              <w:sz w:val="10"/>
                            </w:rPr>
                          </w:pPr>
                        </w:p>
                        <w:p w14:paraId="09913BDF" w14:textId="77777777" w:rsidR="00BA4256" w:rsidRDefault="00BA4256">
                          <w:pPr>
                            <w:rPr>
                              <w:b/>
                              <w:sz w:val="16"/>
                            </w:rPr>
                          </w:pPr>
                        </w:p>
                        <w:p w14:paraId="23B29B2A" w14:textId="77777777" w:rsidR="00BA4256" w:rsidRDefault="00BA4256">
                          <w:pPr>
                            <w:rPr>
                              <w:b/>
                              <w:sz w:val="16"/>
                            </w:rPr>
                          </w:pPr>
                        </w:p>
                        <w:p w14:paraId="15F75E7C" w14:textId="77777777" w:rsidR="00BA4256" w:rsidRDefault="00BA4256">
                          <w:pPr>
                            <w:rPr>
                              <w:b/>
                              <w:sz w:val="16"/>
                            </w:rPr>
                          </w:pPr>
                          <w:r>
                            <w:rPr>
                              <w:rFonts w:hint="eastAsia"/>
                              <w:b/>
                              <w:sz w:val="20"/>
                            </w:rPr>
                            <w:t>T</w:t>
                          </w:r>
                        </w:p>
                        <w:p w14:paraId="4DF06A10" w14:textId="77777777" w:rsidR="00BA4256" w:rsidRDefault="00BA4256">
                          <w:pPr>
                            <w:rPr>
                              <w:b/>
                              <w:sz w:val="10"/>
                            </w:rPr>
                          </w:pPr>
                        </w:p>
                        <w:p w14:paraId="1B21D40D" w14:textId="77777777" w:rsidR="00BA4256" w:rsidRDefault="00BA4256">
                          <w:pPr>
                            <w:rPr>
                              <w:b/>
                              <w:sz w:val="16"/>
                            </w:rPr>
                          </w:pPr>
                        </w:p>
                        <w:p w14:paraId="7BD0A5A0" w14:textId="77777777" w:rsidR="00BA4256" w:rsidRDefault="00BA4256">
                          <w:pPr>
                            <w:rPr>
                              <w:b/>
                              <w:sz w:val="16"/>
                            </w:rPr>
                          </w:pPr>
                        </w:p>
                        <w:p w14:paraId="0E6EE017" w14:textId="77777777" w:rsidR="00BA4256" w:rsidRDefault="00BA4256">
                          <w:pPr>
                            <w:rPr>
                              <w:b/>
                              <w:sz w:val="16"/>
                            </w:rPr>
                          </w:pPr>
                          <w:r>
                            <w:rPr>
                              <w:rFonts w:hint="eastAsia"/>
                              <w:b/>
                              <w:sz w:val="20"/>
                            </w:rPr>
                            <w:t>U</w:t>
                          </w:r>
                        </w:p>
                        <w:p w14:paraId="4E979AA9" w14:textId="77777777" w:rsidR="00BA4256" w:rsidRDefault="00BA4256">
                          <w:pPr>
                            <w:rPr>
                              <w:b/>
                              <w:sz w:val="10"/>
                            </w:rPr>
                          </w:pPr>
                        </w:p>
                        <w:p w14:paraId="29152A1A" w14:textId="77777777" w:rsidR="00BA4256" w:rsidRDefault="00BA4256">
                          <w:pPr>
                            <w:rPr>
                              <w:b/>
                              <w:sz w:val="16"/>
                            </w:rPr>
                          </w:pPr>
                        </w:p>
                        <w:p w14:paraId="2BFCDFB8" w14:textId="77777777" w:rsidR="00BA4256" w:rsidRDefault="00BA4256">
                          <w:pPr>
                            <w:rPr>
                              <w:b/>
                              <w:sz w:val="16"/>
                            </w:rPr>
                          </w:pPr>
                        </w:p>
                        <w:p w14:paraId="1F1F5922" w14:textId="77777777" w:rsidR="00BA4256" w:rsidRDefault="00BA425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A4BAD"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33C8D406" w14:textId="77777777" w:rsidR="00BA4256" w:rsidRDefault="00BA4256">
                    <w:pPr>
                      <w:rPr>
                        <w:b/>
                        <w:sz w:val="20"/>
                      </w:rPr>
                    </w:pPr>
                    <w:r>
                      <w:rPr>
                        <w:rFonts w:hint="eastAsia"/>
                        <w:b/>
                        <w:sz w:val="20"/>
                      </w:rPr>
                      <w:t>A</w:t>
                    </w:r>
                  </w:p>
                  <w:p w14:paraId="3A7AA719" w14:textId="77777777" w:rsidR="00BA4256" w:rsidRDefault="00BA4256">
                    <w:pPr>
                      <w:rPr>
                        <w:b/>
                        <w:sz w:val="10"/>
                      </w:rPr>
                    </w:pPr>
                  </w:p>
                  <w:p w14:paraId="0E693769" w14:textId="77777777" w:rsidR="00BA4256" w:rsidRDefault="00BA4256">
                    <w:pPr>
                      <w:rPr>
                        <w:b/>
                        <w:sz w:val="16"/>
                      </w:rPr>
                    </w:pPr>
                  </w:p>
                  <w:p w14:paraId="757F7C00" w14:textId="77777777" w:rsidR="00BA4256" w:rsidRDefault="00BA4256">
                    <w:pPr>
                      <w:rPr>
                        <w:b/>
                        <w:sz w:val="16"/>
                      </w:rPr>
                    </w:pPr>
                  </w:p>
                  <w:p w14:paraId="36C5096E" w14:textId="77777777" w:rsidR="00BA4256" w:rsidRDefault="00BA4256">
                    <w:pPr>
                      <w:rPr>
                        <w:b/>
                        <w:sz w:val="20"/>
                      </w:rPr>
                    </w:pPr>
                    <w:r>
                      <w:rPr>
                        <w:rFonts w:hint="eastAsia"/>
                        <w:b/>
                        <w:sz w:val="20"/>
                      </w:rPr>
                      <w:t>B</w:t>
                    </w:r>
                  </w:p>
                  <w:p w14:paraId="40079D7F" w14:textId="77777777" w:rsidR="00BA4256" w:rsidRDefault="00BA4256">
                    <w:pPr>
                      <w:rPr>
                        <w:b/>
                        <w:sz w:val="10"/>
                      </w:rPr>
                    </w:pPr>
                  </w:p>
                  <w:p w14:paraId="7F31F77C" w14:textId="77777777" w:rsidR="00BA4256" w:rsidRDefault="00BA4256">
                    <w:pPr>
                      <w:rPr>
                        <w:b/>
                        <w:sz w:val="16"/>
                      </w:rPr>
                    </w:pPr>
                  </w:p>
                  <w:p w14:paraId="3AF054E5" w14:textId="77777777" w:rsidR="00BA4256" w:rsidRDefault="00BA4256">
                    <w:pPr>
                      <w:rPr>
                        <w:b/>
                        <w:sz w:val="16"/>
                      </w:rPr>
                    </w:pPr>
                  </w:p>
                  <w:p w14:paraId="30F5B0FB" w14:textId="77777777" w:rsidR="00BA4256" w:rsidRDefault="00BA4256">
                    <w:pPr>
                      <w:rPr>
                        <w:b/>
                        <w:sz w:val="16"/>
                      </w:rPr>
                    </w:pPr>
                    <w:r>
                      <w:rPr>
                        <w:rFonts w:hint="eastAsia"/>
                        <w:b/>
                        <w:sz w:val="20"/>
                      </w:rPr>
                      <w:t>C</w:t>
                    </w:r>
                  </w:p>
                  <w:p w14:paraId="5C935437" w14:textId="77777777" w:rsidR="00BA4256" w:rsidRDefault="00BA4256">
                    <w:pPr>
                      <w:rPr>
                        <w:b/>
                        <w:sz w:val="10"/>
                      </w:rPr>
                    </w:pPr>
                  </w:p>
                  <w:p w14:paraId="1B12A351" w14:textId="77777777" w:rsidR="00BA4256" w:rsidRDefault="00BA4256">
                    <w:pPr>
                      <w:rPr>
                        <w:b/>
                        <w:sz w:val="16"/>
                      </w:rPr>
                    </w:pPr>
                  </w:p>
                  <w:p w14:paraId="35100C08" w14:textId="77777777" w:rsidR="00BA4256" w:rsidRDefault="00BA4256">
                    <w:pPr>
                      <w:rPr>
                        <w:b/>
                        <w:sz w:val="16"/>
                      </w:rPr>
                    </w:pPr>
                  </w:p>
                  <w:p w14:paraId="43AA4BD3" w14:textId="77777777" w:rsidR="00BA4256" w:rsidRDefault="00BA4256">
                    <w:pPr>
                      <w:pStyle w:val="Heading2"/>
                      <w:rPr>
                        <w:sz w:val="16"/>
                      </w:rPr>
                    </w:pPr>
                    <w:r>
                      <w:rPr>
                        <w:rFonts w:hint="eastAsia"/>
                      </w:rPr>
                      <w:t>D</w:t>
                    </w:r>
                  </w:p>
                  <w:p w14:paraId="772BAAFA" w14:textId="77777777" w:rsidR="00BA4256" w:rsidRDefault="00BA4256">
                    <w:pPr>
                      <w:rPr>
                        <w:b/>
                        <w:sz w:val="10"/>
                      </w:rPr>
                    </w:pPr>
                  </w:p>
                  <w:p w14:paraId="614B240A" w14:textId="77777777" w:rsidR="00BA4256" w:rsidRDefault="00BA4256">
                    <w:pPr>
                      <w:rPr>
                        <w:b/>
                        <w:sz w:val="16"/>
                      </w:rPr>
                    </w:pPr>
                  </w:p>
                  <w:p w14:paraId="1AB29124" w14:textId="77777777" w:rsidR="00BA4256" w:rsidRDefault="00BA4256">
                    <w:pPr>
                      <w:rPr>
                        <w:b/>
                        <w:sz w:val="16"/>
                      </w:rPr>
                    </w:pPr>
                  </w:p>
                  <w:p w14:paraId="4F76CF12" w14:textId="77777777" w:rsidR="00BA4256" w:rsidRDefault="00BA4256">
                    <w:pPr>
                      <w:rPr>
                        <w:b/>
                        <w:sz w:val="16"/>
                      </w:rPr>
                    </w:pPr>
                    <w:r>
                      <w:rPr>
                        <w:rFonts w:hint="eastAsia"/>
                        <w:b/>
                        <w:sz w:val="20"/>
                      </w:rPr>
                      <w:t>E</w:t>
                    </w:r>
                  </w:p>
                  <w:p w14:paraId="1BF2B9D6" w14:textId="77777777" w:rsidR="00BA4256" w:rsidRDefault="00BA4256">
                    <w:pPr>
                      <w:rPr>
                        <w:b/>
                        <w:sz w:val="10"/>
                      </w:rPr>
                    </w:pPr>
                  </w:p>
                  <w:p w14:paraId="49D0077B" w14:textId="77777777" w:rsidR="00BA4256" w:rsidRDefault="00BA4256">
                    <w:pPr>
                      <w:rPr>
                        <w:b/>
                        <w:sz w:val="16"/>
                      </w:rPr>
                    </w:pPr>
                  </w:p>
                  <w:p w14:paraId="4CBBD120" w14:textId="77777777" w:rsidR="00BA4256" w:rsidRDefault="00BA4256">
                    <w:pPr>
                      <w:rPr>
                        <w:b/>
                        <w:sz w:val="16"/>
                      </w:rPr>
                    </w:pPr>
                  </w:p>
                  <w:p w14:paraId="5C52917D" w14:textId="77777777" w:rsidR="00BA4256" w:rsidRDefault="00BA4256">
                    <w:pPr>
                      <w:rPr>
                        <w:b/>
                        <w:sz w:val="20"/>
                      </w:rPr>
                    </w:pPr>
                    <w:r>
                      <w:rPr>
                        <w:rFonts w:hint="eastAsia"/>
                        <w:b/>
                        <w:sz w:val="20"/>
                      </w:rPr>
                      <w:t>F</w:t>
                    </w:r>
                  </w:p>
                  <w:p w14:paraId="66A45295" w14:textId="77777777" w:rsidR="00BA4256" w:rsidRDefault="00BA4256">
                    <w:pPr>
                      <w:rPr>
                        <w:b/>
                        <w:sz w:val="10"/>
                      </w:rPr>
                    </w:pPr>
                  </w:p>
                  <w:p w14:paraId="490106BB" w14:textId="77777777" w:rsidR="00BA4256" w:rsidRDefault="00BA4256">
                    <w:pPr>
                      <w:rPr>
                        <w:b/>
                        <w:sz w:val="16"/>
                      </w:rPr>
                    </w:pPr>
                  </w:p>
                  <w:p w14:paraId="476BFD4A" w14:textId="77777777" w:rsidR="00BA4256" w:rsidRDefault="00BA4256">
                    <w:pPr>
                      <w:rPr>
                        <w:b/>
                        <w:sz w:val="16"/>
                      </w:rPr>
                    </w:pPr>
                  </w:p>
                  <w:p w14:paraId="14E0D30E" w14:textId="77777777" w:rsidR="00BA4256" w:rsidRDefault="00BA4256">
                    <w:pPr>
                      <w:rPr>
                        <w:b/>
                        <w:sz w:val="16"/>
                      </w:rPr>
                    </w:pPr>
                    <w:r>
                      <w:rPr>
                        <w:rFonts w:hint="eastAsia"/>
                        <w:b/>
                        <w:sz w:val="20"/>
                      </w:rPr>
                      <w:t>G</w:t>
                    </w:r>
                  </w:p>
                  <w:p w14:paraId="100D8B64" w14:textId="77777777" w:rsidR="00BA4256" w:rsidRDefault="00BA4256">
                    <w:pPr>
                      <w:rPr>
                        <w:b/>
                        <w:sz w:val="10"/>
                      </w:rPr>
                    </w:pPr>
                  </w:p>
                  <w:p w14:paraId="72A943DB" w14:textId="77777777" w:rsidR="00BA4256" w:rsidRDefault="00BA4256">
                    <w:pPr>
                      <w:rPr>
                        <w:b/>
                        <w:sz w:val="16"/>
                      </w:rPr>
                    </w:pPr>
                  </w:p>
                  <w:p w14:paraId="629D222A" w14:textId="77777777" w:rsidR="00BA4256" w:rsidRDefault="00BA4256">
                    <w:pPr>
                      <w:rPr>
                        <w:b/>
                        <w:sz w:val="16"/>
                      </w:rPr>
                    </w:pPr>
                  </w:p>
                  <w:p w14:paraId="41349DF8" w14:textId="77777777" w:rsidR="00BA4256" w:rsidRDefault="00BA4256">
                    <w:pPr>
                      <w:rPr>
                        <w:b/>
                        <w:sz w:val="16"/>
                      </w:rPr>
                    </w:pPr>
                    <w:r>
                      <w:rPr>
                        <w:rFonts w:hint="eastAsia"/>
                        <w:b/>
                        <w:sz w:val="20"/>
                      </w:rPr>
                      <w:t>H</w:t>
                    </w:r>
                  </w:p>
                  <w:p w14:paraId="1A9CFE79" w14:textId="77777777" w:rsidR="00BA4256" w:rsidRDefault="00BA4256">
                    <w:pPr>
                      <w:rPr>
                        <w:b/>
                        <w:sz w:val="10"/>
                      </w:rPr>
                    </w:pPr>
                  </w:p>
                  <w:p w14:paraId="13DB3775" w14:textId="77777777" w:rsidR="00BA4256" w:rsidRDefault="00BA4256">
                    <w:pPr>
                      <w:rPr>
                        <w:b/>
                        <w:sz w:val="16"/>
                      </w:rPr>
                    </w:pPr>
                  </w:p>
                  <w:p w14:paraId="5BEB52A0" w14:textId="77777777" w:rsidR="00BA4256" w:rsidRDefault="00BA4256">
                    <w:pPr>
                      <w:rPr>
                        <w:b/>
                        <w:sz w:val="16"/>
                      </w:rPr>
                    </w:pPr>
                  </w:p>
                  <w:p w14:paraId="6DCDBD22" w14:textId="77777777" w:rsidR="00BA4256" w:rsidRDefault="00BA4256">
                    <w:pPr>
                      <w:rPr>
                        <w:b/>
                        <w:sz w:val="16"/>
                      </w:rPr>
                    </w:pPr>
                    <w:r>
                      <w:rPr>
                        <w:rFonts w:hint="eastAsia"/>
                        <w:b/>
                        <w:sz w:val="20"/>
                      </w:rPr>
                      <w:t>I</w:t>
                    </w:r>
                  </w:p>
                  <w:p w14:paraId="08DDA89B" w14:textId="77777777" w:rsidR="00BA4256" w:rsidRDefault="00BA4256">
                    <w:pPr>
                      <w:rPr>
                        <w:b/>
                        <w:sz w:val="10"/>
                      </w:rPr>
                    </w:pPr>
                  </w:p>
                  <w:p w14:paraId="3A9A0179" w14:textId="77777777" w:rsidR="00BA4256" w:rsidRDefault="00BA4256">
                    <w:pPr>
                      <w:rPr>
                        <w:b/>
                        <w:sz w:val="16"/>
                      </w:rPr>
                    </w:pPr>
                  </w:p>
                  <w:p w14:paraId="41375D84" w14:textId="77777777" w:rsidR="00BA4256" w:rsidRDefault="00BA4256">
                    <w:pPr>
                      <w:rPr>
                        <w:b/>
                        <w:sz w:val="16"/>
                      </w:rPr>
                    </w:pPr>
                  </w:p>
                  <w:p w14:paraId="040B73A3" w14:textId="77777777" w:rsidR="00BA4256" w:rsidRDefault="00BA4256">
                    <w:pPr>
                      <w:rPr>
                        <w:b/>
                        <w:sz w:val="16"/>
                      </w:rPr>
                    </w:pPr>
                    <w:r>
                      <w:rPr>
                        <w:rFonts w:hint="eastAsia"/>
                        <w:b/>
                        <w:sz w:val="20"/>
                      </w:rPr>
                      <w:t>J</w:t>
                    </w:r>
                  </w:p>
                  <w:p w14:paraId="465FF028" w14:textId="77777777" w:rsidR="00BA4256" w:rsidRDefault="00BA4256">
                    <w:pPr>
                      <w:rPr>
                        <w:b/>
                        <w:sz w:val="10"/>
                      </w:rPr>
                    </w:pPr>
                  </w:p>
                  <w:p w14:paraId="698D145B" w14:textId="77777777" w:rsidR="00BA4256" w:rsidRDefault="00BA4256">
                    <w:pPr>
                      <w:rPr>
                        <w:b/>
                        <w:sz w:val="16"/>
                      </w:rPr>
                    </w:pPr>
                  </w:p>
                  <w:p w14:paraId="6452E17D" w14:textId="77777777" w:rsidR="00BA4256" w:rsidRDefault="00BA4256">
                    <w:pPr>
                      <w:rPr>
                        <w:b/>
                        <w:sz w:val="16"/>
                      </w:rPr>
                    </w:pPr>
                  </w:p>
                  <w:p w14:paraId="5AA170F8" w14:textId="77777777" w:rsidR="00BA4256" w:rsidRDefault="00BA4256">
                    <w:pPr>
                      <w:rPr>
                        <w:b/>
                        <w:sz w:val="16"/>
                      </w:rPr>
                    </w:pPr>
                    <w:r>
                      <w:rPr>
                        <w:rFonts w:hint="eastAsia"/>
                        <w:b/>
                        <w:sz w:val="20"/>
                      </w:rPr>
                      <w:t>K</w:t>
                    </w:r>
                  </w:p>
                  <w:p w14:paraId="7E77BDE5" w14:textId="77777777" w:rsidR="00BA4256" w:rsidRDefault="00BA4256">
                    <w:pPr>
                      <w:rPr>
                        <w:b/>
                        <w:sz w:val="10"/>
                      </w:rPr>
                    </w:pPr>
                  </w:p>
                  <w:p w14:paraId="52BCF84B" w14:textId="77777777" w:rsidR="00BA4256" w:rsidRDefault="00BA4256">
                    <w:pPr>
                      <w:rPr>
                        <w:b/>
                        <w:sz w:val="16"/>
                      </w:rPr>
                    </w:pPr>
                  </w:p>
                  <w:p w14:paraId="368E4A0F" w14:textId="77777777" w:rsidR="00BA4256" w:rsidRDefault="00BA4256">
                    <w:pPr>
                      <w:rPr>
                        <w:b/>
                        <w:sz w:val="16"/>
                      </w:rPr>
                    </w:pPr>
                  </w:p>
                  <w:p w14:paraId="0BBC021C" w14:textId="77777777" w:rsidR="00BA4256" w:rsidRDefault="00BA4256">
                    <w:pPr>
                      <w:rPr>
                        <w:b/>
                        <w:sz w:val="16"/>
                      </w:rPr>
                    </w:pPr>
                    <w:r>
                      <w:rPr>
                        <w:rFonts w:hint="eastAsia"/>
                        <w:b/>
                        <w:sz w:val="20"/>
                      </w:rPr>
                      <w:t>L</w:t>
                    </w:r>
                  </w:p>
                  <w:p w14:paraId="46A9ABC9" w14:textId="77777777" w:rsidR="00BA4256" w:rsidRDefault="00BA4256">
                    <w:pPr>
                      <w:rPr>
                        <w:b/>
                        <w:sz w:val="10"/>
                      </w:rPr>
                    </w:pPr>
                  </w:p>
                  <w:p w14:paraId="76302006" w14:textId="77777777" w:rsidR="00BA4256" w:rsidRDefault="00BA4256">
                    <w:pPr>
                      <w:rPr>
                        <w:b/>
                        <w:sz w:val="16"/>
                      </w:rPr>
                    </w:pPr>
                  </w:p>
                  <w:p w14:paraId="2F497680" w14:textId="77777777" w:rsidR="00BA4256" w:rsidRDefault="00BA4256">
                    <w:pPr>
                      <w:rPr>
                        <w:b/>
                        <w:sz w:val="16"/>
                      </w:rPr>
                    </w:pPr>
                  </w:p>
                  <w:p w14:paraId="3053CAC4" w14:textId="77777777" w:rsidR="00BA4256" w:rsidRDefault="00BA4256">
                    <w:pPr>
                      <w:rPr>
                        <w:b/>
                        <w:sz w:val="16"/>
                      </w:rPr>
                    </w:pPr>
                    <w:r>
                      <w:rPr>
                        <w:rFonts w:hint="eastAsia"/>
                        <w:b/>
                        <w:sz w:val="20"/>
                      </w:rPr>
                      <w:t>M</w:t>
                    </w:r>
                  </w:p>
                  <w:p w14:paraId="199698DF" w14:textId="77777777" w:rsidR="00BA4256" w:rsidRDefault="00BA4256">
                    <w:pPr>
                      <w:rPr>
                        <w:b/>
                        <w:sz w:val="10"/>
                      </w:rPr>
                    </w:pPr>
                  </w:p>
                  <w:p w14:paraId="41736A6B" w14:textId="77777777" w:rsidR="00BA4256" w:rsidRDefault="00BA4256">
                    <w:pPr>
                      <w:rPr>
                        <w:b/>
                        <w:sz w:val="16"/>
                      </w:rPr>
                    </w:pPr>
                  </w:p>
                  <w:p w14:paraId="03C668AF" w14:textId="77777777" w:rsidR="00BA4256" w:rsidRDefault="00BA4256">
                    <w:pPr>
                      <w:rPr>
                        <w:b/>
                        <w:sz w:val="16"/>
                      </w:rPr>
                    </w:pPr>
                  </w:p>
                  <w:p w14:paraId="6DAAC4EF" w14:textId="77777777" w:rsidR="00BA4256" w:rsidRDefault="00BA4256">
                    <w:pPr>
                      <w:rPr>
                        <w:b/>
                        <w:sz w:val="16"/>
                      </w:rPr>
                    </w:pPr>
                    <w:r>
                      <w:rPr>
                        <w:rFonts w:hint="eastAsia"/>
                        <w:b/>
                        <w:sz w:val="20"/>
                      </w:rPr>
                      <w:t>N</w:t>
                    </w:r>
                  </w:p>
                  <w:p w14:paraId="4B51E9FA" w14:textId="77777777" w:rsidR="00BA4256" w:rsidRDefault="00BA4256">
                    <w:pPr>
                      <w:rPr>
                        <w:b/>
                        <w:sz w:val="10"/>
                      </w:rPr>
                    </w:pPr>
                  </w:p>
                  <w:p w14:paraId="2089FE0E" w14:textId="77777777" w:rsidR="00BA4256" w:rsidRDefault="00BA4256">
                    <w:pPr>
                      <w:rPr>
                        <w:b/>
                        <w:sz w:val="16"/>
                      </w:rPr>
                    </w:pPr>
                  </w:p>
                  <w:p w14:paraId="68E41794" w14:textId="77777777" w:rsidR="00BA4256" w:rsidRDefault="00BA4256">
                    <w:pPr>
                      <w:rPr>
                        <w:b/>
                        <w:sz w:val="16"/>
                      </w:rPr>
                    </w:pPr>
                  </w:p>
                  <w:p w14:paraId="11698753" w14:textId="77777777" w:rsidR="00BA4256" w:rsidRDefault="00BA4256">
                    <w:pPr>
                      <w:rPr>
                        <w:b/>
                        <w:sz w:val="16"/>
                      </w:rPr>
                    </w:pPr>
                    <w:r>
                      <w:rPr>
                        <w:rFonts w:hint="eastAsia"/>
                        <w:b/>
                        <w:sz w:val="20"/>
                      </w:rPr>
                      <w:t>O</w:t>
                    </w:r>
                  </w:p>
                  <w:p w14:paraId="1879269D" w14:textId="77777777" w:rsidR="00BA4256" w:rsidRDefault="00BA4256">
                    <w:pPr>
                      <w:rPr>
                        <w:b/>
                        <w:sz w:val="10"/>
                      </w:rPr>
                    </w:pPr>
                  </w:p>
                  <w:p w14:paraId="7ACB15FF" w14:textId="77777777" w:rsidR="00BA4256" w:rsidRDefault="00BA4256">
                    <w:pPr>
                      <w:rPr>
                        <w:b/>
                        <w:sz w:val="16"/>
                      </w:rPr>
                    </w:pPr>
                  </w:p>
                  <w:p w14:paraId="5C17C3FB" w14:textId="77777777" w:rsidR="00BA4256" w:rsidRDefault="00BA4256">
                    <w:pPr>
                      <w:rPr>
                        <w:b/>
                        <w:sz w:val="16"/>
                      </w:rPr>
                    </w:pPr>
                  </w:p>
                  <w:p w14:paraId="16C66734" w14:textId="77777777" w:rsidR="00BA4256" w:rsidRDefault="00BA4256">
                    <w:pPr>
                      <w:rPr>
                        <w:b/>
                        <w:sz w:val="16"/>
                      </w:rPr>
                    </w:pPr>
                    <w:r>
                      <w:rPr>
                        <w:rFonts w:hint="eastAsia"/>
                        <w:b/>
                        <w:sz w:val="20"/>
                      </w:rPr>
                      <w:t>P</w:t>
                    </w:r>
                  </w:p>
                  <w:p w14:paraId="5471E266" w14:textId="77777777" w:rsidR="00BA4256" w:rsidRDefault="00BA4256">
                    <w:pPr>
                      <w:rPr>
                        <w:b/>
                        <w:sz w:val="10"/>
                      </w:rPr>
                    </w:pPr>
                  </w:p>
                  <w:p w14:paraId="300738D9" w14:textId="77777777" w:rsidR="00BA4256" w:rsidRDefault="00BA4256">
                    <w:pPr>
                      <w:rPr>
                        <w:b/>
                        <w:sz w:val="16"/>
                      </w:rPr>
                    </w:pPr>
                  </w:p>
                  <w:p w14:paraId="201CB5D9" w14:textId="77777777" w:rsidR="00BA4256" w:rsidRDefault="00BA4256">
                    <w:pPr>
                      <w:rPr>
                        <w:b/>
                        <w:sz w:val="16"/>
                      </w:rPr>
                    </w:pPr>
                  </w:p>
                  <w:p w14:paraId="08791795" w14:textId="77777777" w:rsidR="00BA4256" w:rsidRDefault="00BA4256">
                    <w:pPr>
                      <w:rPr>
                        <w:b/>
                        <w:sz w:val="16"/>
                      </w:rPr>
                    </w:pPr>
                    <w:r>
                      <w:rPr>
                        <w:rFonts w:hint="eastAsia"/>
                        <w:b/>
                        <w:sz w:val="20"/>
                      </w:rPr>
                      <w:t>Q</w:t>
                    </w:r>
                  </w:p>
                  <w:p w14:paraId="288A6920" w14:textId="77777777" w:rsidR="00BA4256" w:rsidRDefault="00BA4256">
                    <w:pPr>
                      <w:rPr>
                        <w:b/>
                        <w:sz w:val="10"/>
                      </w:rPr>
                    </w:pPr>
                  </w:p>
                  <w:p w14:paraId="60EFBABA" w14:textId="77777777" w:rsidR="00BA4256" w:rsidRDefault="00BA4256">
                    <w:pPr>
                      <w:rPr>
                        <w:b/>
                        <w:sz w:val="16"/>
                      </w:rPr>
                    </w:pPr>
                  </w:p>
                  <w:p w14:paraId="67DB640F" w14:textId="77777777" w:rsidR="00BA4256" w:rsidRDefault="00BA4256">
                    <w:pPr>
                      <w:rPr>
                        <w:b/>
                        <w:sz w:val="16"/>
                      </w:rPr>
                    </w:pPr>
                  </w:p>
                  <w:p w14:paraId="669A8244" w14:textId="77777777" w:rsidR="00BA4256" w:rsidRDefault="00BA4256">
                    <w:pPr>
                      <w:rPr>
                        <w:b/>
                        <w:sz w:val="16"/>
                      </w:rPr>
                    </w:pPr>
                    <w:r>
                      <w:rPr>
                        <w:rFonts w:hint="eastAsia"/>
                        <w:b/>
                        <w:sz w:val="20"/>
                      </w:rPr>
                      <w:t>R</w:t>
                    </w:r>
                  </w:p>
                  <w:p w14:paraId="50845D58" w14:textId="77777777" w:rsidR="00BA4256" w:rsidRDefault="00BA4256">
                    <w:pPr>
                      <w:rPr>
                        <w:b/>
                        <w:sz w:val="10"/>
                      </w:rPr>
                    </w:pPr>
                  </w:p>
                  <w:p w14:paraId="00FDCF5E" w14:textId="77777777" w:rsidR="00BA4256" w:rsidRDefault="00BA4256">
                    <w:pPr>
                      <w:rPr>
                        <w:b/>
                        <w:sz w:val="16"/>
                      </w:rPr>
                    </w:pPr>
                  </w:p>
                  <w:p w14:paraId="2408E6D2" w14:textId="77777777" w:rsidR="00BA4256" w:rsidRDefault="00BA4256">
                    <w:pPr>
                      <w:rPr>
                        <w:b/>
                        <w:sz w:val="16"/>
                      </w:rPr>
                    </w:pPr>
                  </w:p>
                  <w:p w14:paraId="048BDD70" w14:textId="77777777" w:rsidR="00BA4256" w:rsidRDefault="00BA4256">
                    <w:pPr>
                      <w:rPr>
                        <w:b/>
                        <w:sz w:val="16"/>
                      </w:rPr>
                    </w:pPr>
                    <w:r>
                      <w:rPr>
                        <w:rFonts w:hint="eastAsia"/>
                        <w:b/>
                        <w:sz w:val="20"/>
                      </w:rPr>
                      <w:t>S</w:t>
                    </w:r>
                  </w:p>
                  <w:p w14:paraId="04BAB3D2" w14:textId="77777777" w:rsidR="00BA4256" w:rsidRDefault="00BA4256">
                    <w:pPr>
                      <w:rPr>
                        <w:b/>
                        <w:sz w:val="10"/>
                      </w:rPr>
                    </w:pPr>
                  </w:p>
                  <w:p w14:paraId="09913BDF" w14:textId="77777777" w:rsidR="00BA4256" w:rsidRDefault="00BA4256">
                    <w:pPr>
                      <w:rPr>
                        <w:b/>
                        <w:sz w:val="16"/>
                      </w:rPr>
                    </w:pPr>
                  </w:p>
                  <w:p w14:paraId="23B29B2A" w14:textId="77777777" w:rsidR="00BA4256" w:rsidRDefault="00BA4256">
                    <w:pPr>
                      <w:rPr>
                        <w:b/>
                        <w:sz w:val="16"/>
                      </w:rPr>
                    </w:pPr>
                  </w:p>
                  <w:p w14:paraId="15F75E7C" w14:textId="77777777" w:rsidR="00BA4256" w:rsidRDefault="00BA4256">
                    <w:pPr>
                      <w:rPr>
                        <w:b/>
                        <w:sz w:val="16"/>
                      </w:rPr>
                    </w:pPr>
                    <w:r>
                      <w:rPr>
                        <w:rFonts w:hint="eastAsia"/>
                        <w:b/>
                        <w:sz w:val="20"/>
                      </w:rPr>
                      <w:t>T</w:t>
                    </w:r>
                  </w:p>
                  <w:p w14:paraId="4DF06A10" w14:textId="77777777" w:rsidR="00BA4256" w:rsidRDefault="00BA4256">
                    <w:pPr>
                      <w:rPr>
                        <w:b/>
                        <w:sz w:val="10"/>
                      </w:rPr>
                    </w:pPr>
                  </w:p>
                  <w:p w14:paraId="1B21D40D" w14:textId="77777777" w:rsidR="00BA4256" w:rsidRDefault="00BA4256">
                    <w:pPr>
                      <w:rPr>
                        <w:b/>
                        <w:sz w:val="16"/>
                      </w:rPr>
                    </w:pPr>
                  </w:p>
                  <w:p w14:paraId="7BD0A5A0" w14:textId="77777777" w:rsidR="00BA4256" w:rsidRDefault="00BA4256">
                    <w:pPr>
                      <w:rPr>
                        <w:b/>
                        <w:sz w:val="16"/>
                      </w:rPr>
                    </w:pPr>
                  </w:p>
                  <w:p w14:paraId="0E6EE017" w14:textId="77777777" w:rsidR="00BA4256" w:rsidRDefault="00BA4256">
                    <w:pPr>
                      <w:rPr>
                        <w:b/>
                        <w:sz w:val="16"/>
                      </w:rPr>
                    </w:pPr>
                    <w:r>
                      <w:rPr>
                        <w:rFonts w:hint="eastAsia"/>
                        <w:b/>
                        <w:sz w:val="20"/>
                      </w:rPr>
                      <w:t>U</w:t>
                    </w:r>
                  </w:p>
                  <w:p w14:paraId="4E979AA9" w14:textId="77777777" w:rsidR="00BA4256" w:rsidRDefault="00BA4256">
                    <w:pPr>
                      <w:rPr>
                        <w:b/>
                        <w:sz w:val="10"/>
                      </w:rPr>
                    </w:pPr>
                  </w:p>
                  <w:p w14:paraId="29152A1A" w14:textId="77777777" w:rsidR="00BA4256" w:rsidRDefault="00BA4256">
                    <w:pPr>
                      <w:rPr>
                        <w:b/>
                        <w:sz w:val="16"/>
                      </w:rPr>
                    </w:pPr>
                  </w:p>
                  <w:p w14:paraId="2BFCDFB8" w14:textId="77777777" w:rsidR="00BA4256" w:rsidRDefault="00BA4256">
                    <w:pPr>
                      <w:rPr>
                        <w:b/>
                        <w:sz w:val="16"/>
                      </w:rPr>
                    </w:pPr>
                  </w:p>
                  <w:p w14:paraId="1F1F5922" w14:textId="77777777" w:rsidR="00BA4256" w:rsidRDefault="00BA4256">
                    <w:pPr>
                      <w:pStyle w:val="Heading3"/>
                      <w:jc w:val="left"/>
                    </w:pPr>
                    <w:r>
                      <w:rPr>
                        <w:rFonts w:hint="eastAsia"/>
                      </w:rPr>
                      <w:t>V</w:t>
                    </w:r>
                  </w:p>
                </w:txbxContent>
              </v:textbox>
            </v:shape>
          </w:pict>
        </mc:Fallback>
      </mc:AlternateContent>
    </w:r>
    <w:r w:rsidRPr="00FA43CA">
      <w:rPr>
        <w:noProof/>
        <w:sz w:val="20"/>
        <w:lang w:val="en-US"/>
      </w:rPr>
      <mc:AlternateContent>
        <mc:Choice Requires="wps">
          <w:drawing>
            <wp:anchor distT="0" distB="0" distL="114300" distR="114300" simplePos="0" relativeHeight="251657216" behindDoc="0" locked="0" layoutInCell="0" allowOverlap="1" wp14:anchorId="4B9DB8ED" wp14:editId="7CCC39FB">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DEF31" w14:textId="77777777" w:rsidR="00BA4256" w:rsidRPr="00481CCA" w:rsidRDefault="00BA4256">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DB8ED"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10BDEF31" w14:textId="77777777" w:rsidR="00BA4256" w:rsidRPr="00481CCA" w:rsidRDefault="00BA4256">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631F7" w14:textId="19CE725C" w:rsidR="00BA4256" w:rsidRDefault="00BA4256">
    <w:pPr>
      <w:pStyle w:val="Header"/>
      <w:rPr>
        <w:sz w:val="28"/>
      </w:rPr>
    </w:pPr>
    <w:r>
      <w:rPr>
        <w:noProof/>
        <w:sz w:val="28"/>
        <w:lang w:val="en-US"/>
      </w:rPr>
      <mc:AlternateContent>
        <mc:Choice Requires="wps">
          <w:drawing>
            <wp:anchor distT="0" distB="0" distL="114300" distR="114300" simplePos="0" relativeHeight="251659264" behindDoc="0" locked="0" layoutInCell="0" allowOverlap="1" wp14:anchorId="41D942E0" wp14:editId="46E76C68">
              <wp:simplePos x="0" y="0"/>
              <wp:positionH relativeFrom="column">
                <wp:posOffset>5853694</wp:posOffset>
              </wp:positionH>
              <wp:positionV relativeFrom="paragraph">
                <wp:posOffset>155575</wp:posOffset>
              </wp:positionV>
              <wp:extent cx="414020" cy="10058400"/>
              <wp:effectExtent l="0" t="0" r="508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30AB81" w14:textId="77777777" w:rsidR="00BA4256" w:rsidRDefault="00BA4256">
                          <w:pPr>
                            <w:rPr>
                              <w:b/>
                              <w:sz w:val="20"/>
                            </w:rPr>
                          </w:pPr>
                          <w:r>
                            <w:rPr>
                              <w:rFonts w:hint="eastAsia"/>
                              <w:b/>
                              <w:sz w:val="20"/>
                            </w:rPr>
                            <w:t>A</w:t>
                          </w:r>
                        </w:p>
                        <w:p w14:paraId="7B30332D" w14:textId="77777777" w:rsidR="00BA4256" w:rsidRDefault="00BA4256">
                          <w:pPr>
                            <w:rPr>
                              <w:b/>
                              <w:sz w:val="10"/>
                            </w:rPr>
                          </w:pPr>
                        </w:p>
                        <w:p w14:paraId="032831D9" w14:textId="77777777" w:rsidR="00BA4256" w:rsidRDefault="00BA4256">
                          <w:pPr>
                            <w:rPr>
                              <w:b/>
                              <w:sz w:val="16"/>
                            </w:rPr>
                          </w:pPr>
                        </w:p>
                        <w:p w14:paraId="380D05E8" w14:textId="77777777" w:rsidR="00BA4256" w:rsidRDefault="00BA4256">
                          <w:pPr>
                            <w:rPr>
                              <w:b/>
                              <w:sz w:val="16"/>
                            </w:rPr>
                          </w:pPr>
                        </w:p>
                        <w:p w14:paraId="66A87856" w14:textId="77777777" w:rsidR="00BA4256" w:rsidRDefault="00BA4256">
                          <w:pPr>
                            <w:rPr>
                              <w:b/>
                              <w:sz w:val="20"/>
                            </w:rPr>
                          </w:pPr>
                          <w:r>
                            <w:rPr>
                              <w:rFonts w:hint="eastAsia"/>
                              <w:b/>
                              <w:sz w:val="20"/>
                            </w:rPr>
                            <w:t>B</w:t>
                          </w:r>
                        </w:p>
                        <w:p w14:paraId="681D7107" w14:textId="77777777" w:rsidR="00BA4256" w:rsidRDefault="00BA4256">
                          <w:pPr>
                            <w:rPr>
                              <w:b/>
                              <w:sz w:val="10"/>
                            </w:rPr>
                          </w:pPr>
                        </w:p>
                        <w:p w14:paraId="4C860810" w14:textId="77777777" w:rsidR="00BA4256" w:rsidRDefault="00BA4256">
                          <w:pPr>
                            <w:rPr>
                              <w:b/>
                              <w:sz w:val="16"/>
                            </w:rPr>
                          </w:pPr>
                        </w:p>
                        <w:p w14:paraId="4CF02494" w14:textId="77777777" w:rsidR="00BA4256" w:rsidRDefault="00BA4256">
                          <w:pPr>
                            <w:rPr>
                              <w:b/>
                              <w:sz w:val="16"/>
                            </w:rPr>
                          </w:pPr>
                        </w:p>
                        <w:p w14:paraId="33B828A5" w14:textId="77777777" w:rsidR="00BA4256" w:rsidRDefault="00BA4256">
                          <w:pPr>
                            <w:rPr>
                              <w:b/>
                              <w:sz w:val="16"/>
                            </w:rPr>
                          </w:pPr>
                          <w:r>
                            <w:rPr>
                              <w:rFonts w:hint="eastAsia"/>
                              <w:b/>
                              <w:sz w:val="20"/>
                            </w:rPr>
                            <w:t>C</w:t>
                          </w:r>
                        </w:p>
                        <w:p w14:paraId="3AFC047A" w14:textId="77777777" w:rsidR="00BA4256" w:rsidRDefault="00BA4256">
                          <w:pPr>
                            <w:rPr>
                              <w:b/>
                              <w:sz w:val="10"/>
                            </w:rPr>
                          </w:pPr>
                        </w:p>
                        <w:p w14:paraId="7144A18C" w14:textId="77777777" w:rsidR="00BA4256" w:rsidRDefault="00BA4256">
                          <w:pPr>
                            <w:rPr>
                              <w:b/>
                              <w:sz w:val="16"/>
                            </w:rPr>
                          </w:pPr>
                        </w:p>
                        <w:p w14:paraId="70F660E8" w14:textId="77777777" w:rsidR="00BA4256" w:rsidRDefault="00BA4256">
                          <w:pPr>
                            <w:rPr>
                              <w:b/>
                              <w:sz w:val="16"/>
                            </w:rPr>
                          </w:pPr>
                        </w:p>
                        <w:p w14:paraId="36F09799" w14:textId="77777777" w:rsidR="00BA4256" w:rsidRDefault="00BA4256">
                          <w:pPr>
                            <w:pStyle w:val="Heading2"/>
                            <w:rPr>
                              <w:sz w:val="16"/>
                            </w:rPr>
                          </w:pPr>
                          <w:r>
                            <w:rPr>
                              <w:rFonts w:hint="eastAsia"/>
                            </w:rPr>
                            <w:t>D</w:t>
                          </w:r>
                        </w:p>
                        <w:p w14:paraId="46F4910A" w14:textId="77777777" w:rsidR="00BA4256" w:rsidRDefault="00BA4256">
                          <w:pPr>
                            <w:rPr>
                              <w:b/>
                              <w:sz w:val="10"/>
                            </w:rPr>
                          </w:pPr>
                        </w:p>
                        <w:p w14:paraId="2F6CF8E9" w14:textId="77777777" w:rsidR="00BA4256" w:rsidRDefault="00BA4256">
                          <w:pPr>
                            <w:rPr>
                              <w:b/>
                              <w:sz w:val="16"/>
                            </w:rPr>
                          </w:pPr>
                        </w:p>
                        <w:p w14:paraId="0295D90A" w14:textId="77777777" w:rsidR="00BA4256" w:rsidRDefault="00BA4256">
                          <w:pPr>
                            <w:rPr>
                              <w:b/>
                              <w:sz w:val="16"/>
                            </w:rPr>
                          </w:pPr>
                        </w:p>
                        <w:p w14:paraId="49B418AB" w14:textId="77777777" w:rsidR="00BA4256" w:rsidRDefault="00BA4256">
                          <w:pPr>
                            <w:rPr>
                              <w:b/>
                              <w:sz w:val="16"/>
                            </w:rPr>
                          </w:pPr>
                          <w:r>
                            <w:rPr>
                              <w:rFonts w:hint="eastAsia"/>
                              <w:b/>
                              <w:sz w:val="20"/>
                            </w:rPr>
                            <w:t>E</w:t>
                          </w:r>
                        </w:p>
                        <w:p w14:paraId="1D232F44" w14:textId="77777777" w:rsidR="00BA4256" w:rsidRDefault="00BA4256">
                          <w:pPr>
                            <w:rPr>
                              <w:b/>
                              <w:sz w:val="10"/>
                            </w:rPr>
                          </w:pPr>
                        </w:p>
                        <w:p w14:paraId="69D917B2" w14:textId="77777777" w:rsidR="00BA4256" w:rsidRDefault="00BA4256">
                          <w:pPr>
                            <w:rPr>
                              <w:b/>
                              <w:sz w:val="16"/>
                            </w:rPr>
                          </w:pPr>
                        </w:p>
                        <w:p w14:paraId="486EF941" w14:textId="77777777" w:rsidR="00BA4256" w:rsidRDefault="00BA4256">
                          <w:pPr>
                            <w:rPr>
                              <w:b/>
                              <w:sz w:val="16"/>
                            </w:rPr>
                          </w:pPr>
                        </w:p>
                        <w:p w14:paraId="645D1A89" w14:textId="77777777" w:rsidR="00BA4256" w:rsidRDefault="00BA4256">
                          <w:pPr>
                            <w:rPr>
                              <w:b/>
                              <w:sz w:val="20"/>
                            </w:rPr>
                          </w:pPr>
                          <w:r>
                            <w:rPr>
                              <w:rFonts w:hint="eastAsia"/>
                              <w:b/>
                              <w:sz w:val="20"/>
                            </w:rPr>
                            <w:t>F</w:t>
                          </w:r>
                        </w:p>
                        <w:p w14:paraId="62CFF77F" w14:textId="77777777" w:rsidR="00BA4256" w:rsidRDefault="00BA4256">
                          <w:pPr>
                            <w:rPr>
                              <w:b/>
                              <w:sz w:val="10"/>
                            </w:rPr>
                          </w:pPr>
                        </w:p>
                        <w:p w14:paraId="5F56BB65" w14:textId="77777777" w:rsidR="00BA4256" w:rsidRDefault="00BA4256">
                          <w:pPr>
                            <w:rPr>
                              <w:b/>
                              <w:sz w:val="16"/>
                            </w:rPr>
                          </w:pPr>
                        </w:p>
                        <w:p w14:paraId="1D5FFFFD" w14:textId="77777777" w:rsidR="00BA4256" w:rsidRDefault="00BA4256">
                          <w:pPr>
                            <w:rPr>
                              <w:b/>
                              <w:sz w:val="16"/>
                            </w:rPr>
                          </w:pPr>
                        </w:p>
                        <w:p w14:paraId="06EC4EC7" w14:textId="77777777" w:rsidR="00BA4256" w:rsidRDefault="00BA4256">
                          <w:pPr>
                            <w:rPr>
                              <w:b/>
                              <w:sz w:val="16"/>
                            </w:rPr>
                          </w:pPr>
                          <w:r>
                            <w:rPr>
                              <w:rFonts w:hint="eastAsia"/>
                              <w:b/>
                              <w:sz w:val="20"/>
                            </w:rPr>
                            <w:t>G</w:t>
                          </w:r>
                        </w:p>
                        <w:p w14:paraId="3296CECF" w14:textId="77777777" w:rsidR="00BA4256" w:rsidRDefault="00BA4256">
                          <w:pPr>
                            <w:rPr>
                              <w:b/>
                              <w:sz w:val="10"/>
                            </w:rPr>
                          </w:pPr>
                        </w:p>
                        <w:p w14:paraId="5E889C9C" w14:textId="77777777" w:rsidR="00BA4256" w:rsidRDefault="00BA4256">
                          <w:pPr>
                            <w:rPr>
                              <w:b/>
                              <w:sz w:val="16"/>
                            </w:rPr>
                          </w:pPr>
                        </w:p>
                        <w:p w14:paraId="39ECFC77" w14:textId="77777777" w:rsidR="00BA4256" w:rsidRDefault="00BA4256">
                          <w:pPr>
                            <w:rPr>
                              <w:b/>
                              <w:sz w:val="16"/>
                            </w:rPr>
                          </w:pPr>
                        </w:p>
                        <w:p w14:paraId="539E3B5E" w14:textId="77777777" w:rsidR="00BA4256" w:rsidRDefault="00BA4256">
                          <w:pPr>
                            <w:rPr>
                              <w:b/>
                              <w:sz w:val="16"/>
                            </w:rPr>
                          </w:pPr>
                          <w:r>
                            <w:rPr>
                              <w:rFonts w:hint="eastAsia"/>
                              <w:b/>
                              <w:sz w:val="20"/>
                            </w:rPr>
                            <w:t>H</w:t>
                          </w:r>
                        </w:p>
                        <w:p w14:paraId="785872B1" w14:textId="77777777" w:rsidR="00BA4256" w:rsidRDefault="00BA4256">
                          <w:pPr>
                            <w:rPr>
                              <w:b/>
                              <w:sz w:val="10"/>
                            </w:rPr>
                          </w:pPr>
                        </w:p>
                        <w:p w14:paraId="7434DF91" w14:textId="77777777" w:rsidR="00BA4256" w:rsidRDefault="00BA4256">
                          <w:pPr>
                            <w:rPr>
                              <w:b/>
                              <w:sz w:val="16"/>
                            </w:rPr>
                          </w:pPr>
                        </w:p>
                        <w:p w14:paraId="2B71B3D7" w14:textId="77777777" w:rsidR="00BA4256" w:rsidRDefault="00BA4256">
                          <w:pPr>
                            <w:rPr>
                              <w:b/>
                              <w:sz w:val="16"/>
                            </w:rPr>
                          </w:pPr>
                        </w:p>
                        <w:p w14:paraId="440D03D1" w14:textId="77777777" w:rsidR="00BA4256" w:rsidRDefault="00BA4256">
                          <w:pPr>
                            <w:rPr>
                              <w:b/>
                              <w:sz w:val="16"/>
                            </w:rPr>
                          </w:pPr>
                          <w:r>
                            <w:rPr>
                              <w:rFonts w:hint="eastAsia"/>
                              <w:b/>
                              <w:sz w:val="20"/>
                            </w:rPr>
                            <w:t>I</w:t>
                          </w:r>
                        </w:p>
                        <w:p w14:paraId="4258320E" w14:textId="77777777" w:rsidR="00BA4256" w:rsidRDefault="00BA4256">
                          <w:pPr>
                            <w:rPr>
                              <w:b/>
                              <w:sz w:val="10"/>
                            </w:rPr>
                          </w:pPr>
                        </w:p>
                        <w:p w14:paraId="4C8527B7" w14:textId="77777777" w:rsidR="00BA4256" w:rsidRDefault="00BA4256">
                          <w:pPr>
                            <w:rPr>
                              <w:b/>
                              <w:sz w:val="16"/>
                            </w:rPr>
                          </w:pPr>
                        </w:p>
                        <w:p w14:paraId="2B516F26" w14:textId="77777777" w:rsidR="00BA4256" w:rsidRDefault="00BA4256">
                          <w:pPr>
                            <w:rPr>
                              <w:b/>
                              <w:sz w:val="16"/>
                            </w:rPr>
                          </w:pPr>
                        </w:p>
                        <w:p w14:paraId="6E21CC35" w14:textId="77777777" w:rsidR="00BA4256" w:rsidRDefault="00BA4256">
                          <w:pPr>
                            <w:rPr>
                              <w:b/>
                              <w:sz w:val="16"/>
                            </w:rPr>
                          </w:pPr>
                          <w:r>
                            <w:rPr>
                              <w:rFonts w:hint="eastAsia"/>
                              <w:b/>
                              <w:sz w:val="20"/>
                            </w:rPr>
                            <w:t>J</w:t>
                          </w:r>
                        </w:p>
                        <w:p w14:paraId="21A4116E" w14:textId="77777777" w:rsidR="00BA4256" w:rsidRDefault="00BA4256">
                          <w:pPr>
                            <w:rPr>
                              <w:b/>
                              <w:sz w:val="10"/>
                            </w:rPr>
                          </w:pPr>
                        </w:p>
                        <w:p w14:paraId="2E3D6C53" w14:textId="77777777" w:rsidR="00BA4256" w:rsidRDefault="00BA4256">
                          <w:pPr>
                            <w:rPr>
                              <w:b/>
                              <w:sz w:val="16"/>
                            </w:rPr>
                          </w:pPr>
                        </w:p>
                        <w:p w14:paraId="05716AF2" w14:textId="77777777" w:rsidR="00BA4256" w:rsidRDefault="00BA4256">
                          <w:pPr>
                            <w:rPr>
                              <w:b/>
                              <w:sz w:val="16"/>
                            </w:rPr>
                          </w:pPr>
                        </w:p>
                        <w:p w14:paraId="6B2081A1" w14:textId="77777777" w:rsidR="00BA4256" w:rsidRDefault="00BA4256">
                          <w:pPr>
                            <w:rPr>
                              <w:b/>
                              <w:sz w:val="16"/>
                            </w:rPr>
                          </w:pPr>
                          <w:r>
                            <w:rPr>
                              <w:rFonts w:hint="eastAsia"/>
                              <w:b/>
                              <w:sz w:val="20"/>
                            </w:rPr>
                            <w:t>K</w:t>
                          </w:r>
                        </w:p>
                        <w:p w14:paraId="5919F4C6" w14:textId="77777777" w:rsidR="00BA4256" w:rsidRDefault="00BA4256">
                          <w:pPr>
                            <w:rPr>
                              <w:b/>
                              <w:sz w:val="10"/>
                            </w:rPr>
                          </w:pPr>
                        </w:p>
                        <w:p w14:paraId="53D0305D" w14:textId="77777777" w:rsidR="00BA4256" w:rsidRDefault="00BA4256">
                          <w:pPr>
                            <w:rPr>
                              <w:b/>
                              <w:sz w:val="16"/>
                            </w:rPr>
                          </w:pPr>
                        </w:p>
                        <w:p w14:paraId="74DC30DB" w14:textId="77777777" w:rsidR="00BA4256" w:rsidRDefault="00BA4256">
                          <w:pPr>
                            <w:rPr>
                              <w:b/>
                              <w:sz w:val="16"/>
                            </w:rPr>
                          </w:pPr>
                        </w:p>
                        <w:p w14:paraId="3E4B2FEE" w14:textId="77777777" w:rsidR="00BA4256" w:rsidRDefault="00BA4256">
                          <w:pPr>
                            <w:rPr>
                              <w:b/>
                              <w:sz w:val="16"/>
                            </w:rPr>
                          </w:pPr>
                          <w:r>
                            <w:rPr>
                              <w:rFonts w:hint="eastAsia"/>
                              <w:b/>
                              <w:sz w:val="20"/>
                            </w:rPr>
                            <w:t>L</w:t>
                          </w:r>
                        </w:p>
                        <w:p w14:paraId="657A865D" w14:textId="77777777" w:rsidR="00BA4256" w:rsidRDefault="00BA4256">
                          <w:pPr>
                            <w:rPr>
                              <w:b/>
                              <w:sz w:val="10"/>
                            </w:rPr>
                          </w:pPr>
                        </w:p>
                        <w:p w14:paraId="288193E0" w14:textId="77777777" w:rsidR="00BA4256" w:rsidRDefault="00BA4256">
                          <w:pPr>
                            <w:rPr>
                              <w:b/>
                              <w:sz w:val="16"/>
                            </w:rPr>
                          </w:pPr>
                        </w:p>
                        <w:p w14:paraId="0E12B60B" w14:textId="77777777" w:rsidR="00BA4256" w:rsidRDefault="00BA4256">
                          <w:pPr>
                            <w:rPr>
                              <w:b/>
                              <w:sz w:val="16"/>
                            </w:rPr>
                          </w:pPr>
                        </w:p>
                        <w:p w14:paraId="7EDE8A46" w14:textId="77777777" w:rsidR="00BA4256" w:rsidRDefault="00BA4256">
                          <w:pPr>
                            <w:rPr>
                              <w:b/>
                              <w:sz w:val="16"/>
                            </w:rPr>
                          </w:pPr>
                          <w:r>
                            <w:rPr>
                              <w:rFonts w:hint="eastAsia"/>
                              <w:b/>
                              <w:sz w:val="20"/>
                            </w:rPr>
                            <w:t>M</w:t>
                          </w:r>
                        </w:p>
                        <w:p w14:paraId="3A6BAE2B" w14:textId="77777777" w:rsidR="00BA4256" w:rsidRDefault="00BA4256">
                          <w:pPr>
                            <w:rPr>
                              <w:b/>
                              <w:sz w:val="10"/>
                            </w:rPr>
                          </w:pPr>
                        </w:p>
                        <w:p w14:paraId="50058282" w14:textId="77777777" w:rsidR="00BA4256" w:rsidRDefault="00BA4256">
                          <w:pPr>
                            <w:rPr>
                              <w:b/>
                              <w:sz w:val="16"/>
                            </w:rPr>
                          </w:pPr>
                        </w:p>
                        <w:p w14:paraId="7E6C9BBA" w14:textId="77777777" w:rsidR="00BA4256" w:rsidRDefault="00BA4256">
                          <w:pPr>
                            <w:rPr>
                              <w:b/>
                              <w:sz w:val="16"/>
                            </w:rPr>
                          </w:pPr>
                        </w:p>
                        <w:p w14:paraId="279F1AFE" w14:textId="77777777" w:rsidR="00BA4256" w:rsidRDefault="00BA4256">
                          <w:pPr>
                            <w:rPr>
                              <w:b/>
                              <w:sz w:val="16"/>
                            </w:rPr>
                          </w:pPr>
                          <w:r>
                            <w:rPr>
                              <w:rFonts w:hint="eastAsia"/>
                              <w:b/>
                              <w:sz w:val="20"/>
                            </w:rPr>
                            <w:t>N</w:t>
                          </w:r>
                        </w:p>
                        <w:p w14:paraId="1DDB55D2" w14:textId="77777777" w:rsidR="00BA4256" w:rsidRDefault="00BA4256">
                          <w:pPr>
                            <w:rPr>
                              <w:b/>
                              <w:sz w:val="10"/>
                            </w:rPr>
                          </w:pPr>
                        </w:p>
                        <w:p w14:paraId="02782113" w14:textId="77777777" w:rsidR="00BA4256" w:rsidRDefault="00BA4256">
                          <w:pPr>
                            <w:rPr>
                              <w:b/>
                              <w:sz w:val="16"/>
                            </w:rPr>
                          </w:pPr>
                        </w:p>
                        <w:p w14:paraId="559989D4" w14:textId="77777777" w:rsidR="00BA4256" w:rsidRDefault="00BA4256">
                          <w:pPr>
                            <w:rPr>
                              <w:b/>
                              <w:sz w:val="16"/>
                            </w:rPr>
                          </w:pPr>
                        </w:p>
                        <w:p w14:paraId="7E495F22" w14:textId="77777777" w:rsidR="00BA4256" w:rsidRDefault="00BA4256">
                          <w:pPr>
                            <w:rPr>
                              <w:b/>
                              <w:sz w:val="16"/>
                            </w:rPr>
                          </w:pPr>
                          <w:r>
                            <w:rPr>
                              <w:rFonts w:hint="eastAsia"/>
                              <w:b/>
                              <w:sz w:val="20"/>
                            </w:rPr>
                            <w:t>O</w:t>
                          </w:r>
                        </w:p>
                        <w:p w14:paraId="5FD39961" w14:textId="77777777" w:rsidR="00BA4256" w:rsidRDefault="00BA4256">
                          <w:pPr>
                            <w:rPr>
                              <w:b/>
                              <w:sz w:val="10"/>
                            </w:rPr>
                          </w:pPr>
                        </w:p>
                        <w:p w14:paraId="53B00C28" w14:textId="77777777" w:rsidR="00BA4256" w:rsidRDefault="00BA4256">
                          <w:pPr>
                            <w:rPr>
                              <w:b/>
                              <w:sz w:val="16"/>
                            </w:rPr>
                          </w:pPr>
                        </w:p>
                        <w:p w14:paraId="23CF4648" w14:textId="77777777" w:rsidR="00BA4256" w:rsidRDefault="00BA4256">
                          <w:pPr>
                            <w:rPr>
                              <w:b/>
                              <w:sz w:val="16"/>
                            </w:rPr>
                          </w:pPr>
                        </w:p>
                        <w:p w14:paraId="61C7F346" w14:textId="77777777" w:rsidR="00BA4256" w:rsidRDefault="00BA4256">
                          <w:pPr>
                            <w:rPr>
                              <w:b/>
                              <w:sz w:val="16"/>
                            </w:rPr>
                          </w:pPr>
                          <w:r>
                            <w:rPr>
                              <w:rFonts w:hint="eastAsia"/>
                              <w:b/>
                              <w:sz w:val="20"/>
                            </w:rPr>
                            <w:t>P</w:t>
                          </w:r>
                        </w:p>
                        <w:p w14:paraId="4ECCAA55" w14:textId="77777777" w:rsidR="00BA4256" w:rsidRDefault="00BA4256">
                          <w:pPr>
                            <w:rPr>
                              <w:b/>
                              <w:sz w:val="10"/>
                            </w:rPr>
                          </w:pPr>
                        </w:p>
                        <w:p w14:paraId="1CAF59EB" w14:textId="77777777" w:rsidR="00BA4256" w:rsidRDefault="00BA4256">
                          <w:pPr>
                            <w:rPr>
                              <w:b/>
                              <w:sz w:val="16"/>
                            </w:rPr>
                          </w:pPr>
                        </w:p>
                        <w:p w14:paraId="0E195A73" w14:textId="77777777" w:rsidR="00BA4256" w:rsidRDefault="00BA4256">
                          <w:pPr>
                            <w:rPr>
                              <w:b/>
                              <w:sz w:val="16"/>
                            </w:rPr>
                          </w:pPr>
                        </w:p>
                        <w:p w14:paraId="7DAFAB97" w14:textId="77777777" w:rsidR="00BA4256" w:rsidRDefault="00BA4256">
                          <w:pPr>
                            <w:rPr>
                              <w:b/>
                              <w:sz w:val="16"/>
                            </w:rPr>
                          </w:pPr>
                          <w:r>
                            <w:rPr>
                              <w:rFonts w:hint="eastAsia"/>
                              <w:b/>
                              <w:sz w:val="20"/>
                            </w:rPr>
                            <w:t>Q</w:t>
                          </w:r>
                        </w:p>
                        <w:p w14:paraId="5756BA70" w14:textId="77777777" w:rsidR="00BA4256" w:rsidRDefault="00BA4256">
                          <w:pPr>
                            <w:rPr>
                              <w:b/>
                              <w:sz w:val="10"/>
                            </w:rPr>
                          </w:pPr>
                        </w:p>
                        <w:p w14:paraId="353B3AD2" w14:textId="77777777" w:rsidR="00BA4256" w:rsidRDefault="00BA4256">
                          <w:pPr>
                            <w:rPr>
                              <w:b/>
                              <w:sz w:val="16"/>
                            </w:rPr>
                          </w:pPr>
                        </w:p>
                        <w:p w14:paraId="3C4C65DA" w14:textId="77777777" w:rsidR="00BA4256" w:rsidRDefault="00BA4256">
                          <w:pPr>
                            <w:rPr>
                              <w:b/>
                              <w:sz w:val="16"/>
                            </w:rPr>
                          </w:pPr>
                        </w:p>
                        <w:p w14:paraId="59EC34AF" w14:textId="77777777" w:rsidR="00BA4256" w:rsidRDefault="00BA4256">
                          <w:pPr>
                            <w:rPr>
                              <w:b/>
                              <w:sz w:val="16"/>
                            </w:rPr>
                          </w:pPr>
                          <w:r>
                            <w:rPr>
                              <w:rFonts w:hint="eastAsia"/>
                              <w:b/>
                              <w:sz w:val="20"/>
                            </w:rPr>
                            <w:t>R</w:t>
                          </w:r>
                        </w:p>
                        <w:p w14:paraId="55AE0B45" w14:textId="77777777" w:rsidR="00BA4256" w:rsidRDefault="00BA4256">
                          <w:pPr>
                            <w:rPr>
                              <w:b/>
                              <w:sz w:val="10"/>
                            </w:rPr>
                          </w:pPr>
                        </w:p>
                        <w:p w14:paraId="10F32CE9" w14:textId="77777777" w:rsidR="00BA4256" w:rsidRDefault="00BA4256">
                          <w:pPr>
                            <w:rPr>
                              <w:b/>
                              <w:sz w:val="16"/>
                            </w:rPr>
                          </w:pPr>
                        </w:p>
                        <w:p w14:paraId="5C0EAE20" w14:textId="77777777" w:rsidR="00BA4256" w:rsidRDefault="00BA4256">
                          <w:pPr>
                            <w:rPr>
                              <w:b/>
                              <w:sz w:val="16"/>
                            </w:rPr>
                          </w:pPr>
                        </w:p>
                        <w:p w14:paraId="3A3AE667" w14:textId="77777777" w:rsidR="00BA4256" w:rsidRDefault="00BA4256">
                          <w:pPr>
                            <w:rPr>
                              <w:b/>
                              <w:sz w:val="16"/>
                            </w:rPr>
                          </w:pPr>
                          <w:r>
                            <w:rPr>
                              <w:rFonts w:hint="eastAsia"/>
                              <w:b/>
                              <w:sz w:val="20"/>
                            </w:rPr>
                            <w:t>S</w:t>
                          </w:r>
                        </w:p>
                        <w:p w14:paraId="00A5E306" w14:textId="77777777" w:rsidR="00BA4256" w:rsidRDefault="00BA4256">
                          <w:pPr>
                            <w:rPr>
                              <w:b/>
                              <w:sz w:val="10"/>
                            </w:rPr>
                          </w:pPr>
                        </w:p>
                        <w:p w14:paraId="77031C57" w14:textId="77777777" w:rsidR="00BA4256" w:rsidRDefault="00BA4256">
                          <w:pPr>
                            <w:rPr>
                              <w:b/>
                              <w:sz w:val="16"/>
                            </w:rPr>
                          </w:pPr>
                        </w:p>
                        <w:p w14:paraId="4D633A87" w14:textId="77777777" w:rsidR="00BA4256" w:rsidRDefault="00BA4256">
                          <w:pPr>
                            <w:rPr>
                              <w:b/>
                              <w:sz w:val="16"/>
                            </w:rPr>
                          </w:pPr>
                        </w:p>
                        <w:p w14:paraId="72C93B42" w14:textId="77777777" w:rsidR="00BA4256" w:rsidRDefault="00BA4256">
                          <w:pPr>
                            <w:rPr>
                              <w:b/>
                              <w:sz w:val="16"/>
                            </w:rPr>
                          </w:pPr>
                          <w:r>
                            <w:rPr>
                              <w:rFonts w:hint="eastAsia"/>
                              <w:b/>
                              <w:sz w:val="20"/>
                            </w:rPr>
                            <w:t>T</w:t>
                          </w:r>
                        </w:p>
                        <w:p w14:paraId="2CF35A99" w14:textId="77777777" w:rsidR="00BA4256" w:rsidRDefault="00BA4256">
                          <w:pPr>
                            <w:rPr>
                              <w:b/>
                              <w:sz w:val="10"/>
                            </w:rPr>
                          </w:pPr>
                        </w:p>
                        <w:p w14:paraId="0EE770BC" w14:textId="77777777" w:rsidR="00BA4256" w:rsidRDefault="00BA4256">
                          <w:pPr>
                            <w:rPr>
                              <w:b/>
                              <w:sz w:val="16"/>
                            </w:rPr>
                          </w:pPr>
                        </w:p>
                        <w:p w14:paraId="5FDC84E8" w14:textId="77777777" w:rsidR="00BA4256" w:rsidRDefault="00BA4256">
                          <w:pPr>
                            <w:rPr>
                              <w:b/>
                              <w:sz w:val="16"/>
                            </w:rPr>
                          </w:pPr>
                        </w:p>
                        <w:p w14:paraId="29E3A35B" w14:textId="77777777" w:rsidR="00BA4256" w:rsidRDefault="00BA4256">
                          <w:pPr>
                            <w:rPr>
                              <w:b/>
                              <w:sz w:val="16"/>
                            </w:rPr>
                          </w:pPr>
                          <w:r>
                            <w:rPr>
                              <w:rFonts w:hint="eastAsia"/>
                              <w:b/>
                              <w:sz w:val="20"/>
                            </w:rPr>
                            <w:t>U</w:t>
                          </w:r>
                        </w:p>
                        <w:p w14:paraId="1CFEA331" w14:textId="77777777" w:rsidR="00BA4256" w:rsidRDefault="00BA4256">
                          <w:pPr>
                            <w:rPr>
                              <w:b/>
                              <w:sz w:val="10"/>
                            </w:rPr>
                          </w:pPr>
                        </w:p>
                        <w:p w14:paraId="6FC74D10" w14:textId="77777777" w:rsidR="00BA4256" w:rsidRDefault="00BA4256">
                          <w:pPr>
                            <w:rPr>
                              <w:b/>
                              <w:sz w:val="16"/>
                            </w:rPr>
                          </w:pPr>
                        </w:p>
                        <w:p w14:paraId="4BE45CD7" w14:textId="77777777" w:rsidR="00BA4256" w:rsidRDefault="00BA4256">
                          <w:pPr>
                            <w:rPr>
                              <w:b/>
                              <w:sz w:val="16"/>
                            </w:rPr>
                          </w:pPr>
                        </w:p>
                        <w:p w14:paraId="12CA9207" w14:textId="77777777" w:rsidR="00BA4256" w:rsidRDefault="00BA425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D942E0" id="_x0000_t202" coordsize="21600,21600" o:spt="202" path="m,l,21600r21600,l21600,xe">
              <v:stroke joinstyle="miter"/>
              <v:path gradientshapeok="t" o:connecttype="rect"/>
            </v:shapetype>
            <v:shape id="Text Box 5" o:spid="_x0000_s1029" type="#_x0000_t202" style="position:absolute;left:0;text-align:left;margin-left:460.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" o:allowincell="f" stroked="f">
              <v:textbox>
                <w:txbxContent>
                  <w:p w14:paraId="1930AB81" w14:textId="77777777" w:rsidR="00BA4256" w:rsidRDefault="00BA4256">
                    <w:pPr>
                      <w:rPr>
                        <w:b/>
                        <w:sz w:val="20"/>
                      </w:rPr>
                    </w:pPr>
                    <w:r>
                      <w:rPr>
                        <w:rFonts w:hint="eastAsia"/>
                        <w:b/>
                        <w:sz w:val="20"/>
                      </w:rPr>
                      <w:t>A</w:t>
                    </w:r>
                  </w:p>
                  <w:p w14:paraId="7B30332D" w14:textId="77777777" w:rsidR="00BA4256" w:rsidRDefault="00BA4256">
                    <w:pPr>
                      <w:rPr>
                        <w:b/>
                        <w:sz w:val="10"/>
                      </w:rPr>
                    </w:pPr>
                  </w:p>
                  <w:p w14:paraId="032831D9" w14:textId="77777777" w:rsidR="00BA4256" w:rsidRDefault="00BA4256">
                    <w:pPr>
                      <w:rPr>
                        <w:b/>
                        <w:sz w:val="16"/>
                      </w:rPr>
                    </w:pPr>
                  </w:p>
                  <w:p w14:paraId="380D05E8" w14:textId="77777777" w:rsidR="00BA4256" w:rsidRDefault="00BA4256">
                    <w:pPr>
                      <w:rPr>
                        <w:b/>
                        <w:sz w:val="16"/>
                      </w:rPr>
                    </w:pPr>
                  </w:p>
                  <w:p w14:paraId="66A87856" w14:textId="77777777" w:rsidR="00BA4256" w:rsidRDefault="00BA4256">
                    <w:pPr>
                      <w:rPr>
                        <w:b/>
                        <w:sz w:val="20"/>
                      </w:rPr>
                    </w:pPr>
                    <w:r>
                      <w:rPr>
                        <w:rFonts w:hint="eastAsia"/>
                        <w:b/>
                        <w:sz w:val="20"/>
                      </w:rPr>
                      <w:t>B</w:t>
                    </w:r>
                  </w:p>
                  <w:p w14:paraId="681D7107" w14:textId="77777777" w:rsidR="00BA4256" w:rsidRDefault="00BA4256">
                    <w:pPr>
                      <w:rPr>
                        <w:b/>
                        <w:sz w:val="10"/>
                      </w:rPr>
                    </w:pPr>
                  </w:p>
                  <w:p w14:paraId="4C860810" w14:textId="77777777" w:rsidR="00BA4256" w:rsidRDefault="00BA4256">
                    <w:pPr>
                      <w:rPr>
                        <w:b/>
                        <w:sz w:val="16"/>
                      </w:rPr>
                    </w:pPr>
                  </w:p>
                  <w:p w14:paraId="4CF02494" w14:textId="77777777" w:rsidR="00BA4256" w:rsidRDefault="00BA4256">
                    <w:pPr>
                      <w:rPr>
                        <w:b/>
                        <w:sz w:val="16"/>
                      </w:rPr>
                    </w:pPr>
                  </w:p>
                  <w:p w14:paraId="33B828A5" w14:textId="77777777" w:rsidR="00BA4256" w:rsidRDefault="00BA4256">
                    <w:pPr>
                      <w:rPr>
                        <w:b/>
                        <w:sz w:val="16"/>
                      </w:rPr>
                    </w:pPr>
                    <w:r>
                      <w:rPr>
                        <w:rFonts w:hint="eastAsia"/>
                        <w:b/>
                        <w:sz w:val="20"/>
                      </w:rPr>
                      <w:t>C</w:t>
                    </w:r>
                  </w:p>
                  <w:p w14:paraId="3AFC047A" w14:textId="77777777" w:rsidR="00BA4256" w:rsidRDefault="00BA4256">
                    <w:pPr>
                      <w:rPr>
                        <w:b/>
                        <w:sz w:val="10"/>
                      </w:rPr>
                    </w:pPr>
                  </w:p>
                  <w:p w14:paraId="7144A18C" w14:textId="77777777" w:rsidR="00BA4256" w:rsidRDefault="00BA4256">
                    <w:pPr>
                      <w:rPr>
                        <w:b/>
                        <w:sz w:val="16"/>
                      </w:rPr>
                    </w:pPr>
                  </w:p>
                  <w:p w14:paraId="70F660E8" w14:textId="77777777" w:rsidR="00BA4256" w:rsidRDefault="00BA4256">
                    <w:pPr>
                      <w:rPr>
                        <w:b/>
                        <w:sz w:val="16"/>
                      </w:rPr>
                    </w:pPr>
                  </w:p>
                  <w:p w14:paraId="36F09799" w14:textId="77777777" w:rsidR="00BA4256" w:rsidRDefault="00BA4256">
                    <w:pPr>
                      <w:pStyle w:val="Heading2"/>
                      <w:rPr>
                        <w:sz w:val="16"/>
                      </w:rPr>
                    </w:pPr>
                    <w:r>
                      <w:rPr>
                        <w:rFonts w:hint="eastAsia"/>
                      </w:rPr>
                      <w:t>D</w:t>
                    </w:r>
                  </w:p>
                  <w:p w14:paraId="46F4910A" w14:textId="77777777" w:rsidR="00BA4256" w:rsidRDefault="00BA4256">
                    <w:pPr>
                      <w:rPr>
                        <w:b/>
                        <w:sz w:val="10"/>
                      </w:rPr>
                    </w:pPr>
                  </w:p>
                  <w:p w14:paraId="2F6CF8E9" w14:textId="77777777" w:rsidR="00BA4256" w:rsidRDefault="00BA4256">
                    <w:pPr>
                      <w:rPr>
                        <w:b/>
                        <w:sz w:val="16"/>
                      </w:rPr>
                    </w:pPr>
                  </w:p>
                  <w:p w14:paraId="0295D90A" w14:textId="77777777" w:rsidR="00BA4256" w:rsidRDefault="00BA4256">
                    <w:pPr>
                      <w:rPr>
                        <w:b/>
                        <w:sz w:val="16"/>
                      </w:rPr>
                    </w:pPr>
                  </w:p>
                  <w:p w14:paraId="49B418AB" w14:textId="77777777" w:rsidR="00BA4256" w:rsidRDefault="00BA4256">
                    <w:pPr>
                      <w:rPr>
                        <w:b/>
                        <w:sz w:val="16"/>
                      </w:rPr>
                    </w:pPr>
                    <w:r>
                      <w:rPr>
                        <w:rFonts w:hint="eastAsia"/>
                        <w:b/>
                        <w:sz w:val="20"/>
                      </w:rPr>
                      <w:t>E</w:t>
                    </w:r>
                  </w:p>
                  <w:p w14:paraId="1D232F44" w14:textId="77777777" w:rsidR="00BA4256" w:rsidRDefault="00BA4256">
                    <w:pPr>
                      <w:rPr>
                        <w:b/>
                        <w:sz w:val="10"/>
                      </w:rPr>
                    </w:pPr>
                  </w:p>
                  <w:p w14:paraId="69D917B2" w14:textId="77777777" w:rsidR="00BA4256" w:rsidRDefault="00BA4256">
                    <w:pPr>
                      <w:rPr>
                        <w:b/>
                        <w:sz w:val="16"/>
                      </w:rPr>
                    </w:pPr>
                  </w:p>
                  <w:p w14:paraId="486EF941" w14:textId="77777777" w:rsidR="00BA4256" w:rsidRDefault="00BA4256">
                    <w:pPr>
                      <w:rPr>
                        <w:b/>
                        <w:sz w:val="16"/>
                      </w:rPr>
                    </w:pPr>
                  </w:p>
                  <w:p w14:paraId="645D1A89" w14:textId="77777777" w:rsidR="00BA4256" w:rsidRDefault="00BA4256">
                    <w:pPr>
                      <w:rPr>
                        <w:b/>
                        <w:sz w:val="20"/>
                      </w:rPr>
                    </w:pPr>
                    <w:r>
                      <w:rPr>
                        <w:rFonts w:hint="eastAsia"/>
                        <w:b/>
                        <w:sz w:val="20"/>
                      </w:rPr>
                      <w:t>F</w:t>
                    </w:r>
                  </w:p>
                  <w:p w14:paraId="62CFF77F" w14:textId="77777777" w:rsidR="00BA4256" w:rsidRDefault="00BA4256">
                    <w:pPr>
                      <w:rPr>
                        <w:b/>
                        <w:sz w:val="10"/>
                      </w:rPr>
                    </w:pPr>
                  </w:p>
                  <w:p w14:paraId="5F56BB65" w14:textId="77777777" w:rsidR="00BA4256" w:rsidRDefault="00BA4256">
                    <w:pPr>
                      <w:rPr>
                        <w:b/>
                        <w:sz w:val="16"/>
                      </w:rPr>
                    </w:pPr>
                  </w:p>
                  <w:p w14:paraId="1D5FFFFD" w14:textId="77777777" w:rsidR="00BA4256" w:rsidRDefault="00BA4256">
                    <w:pPr>
                      <w:rPr>
                        <w:b/>
                        <w:sz w:val="16"/>
                      </w:rPr>
                    </w:pPr>
                  </w:p>
                  <w:p w14:paraId="06EC4EC7" w14:textId="77777777" w:rsidR="00BA4256" w:rsidRDefault="00BA4256">
                    <w:pPr>
                      <w:rPr>
                        <w:b/>
                        <w:sz w:val="16"/>
                      </w:rPr>
                    </w:pPr>
                    <w:r>
                      <w:rPr>
                        <w:rFonts w:hint="eastAsia"/>
                        <w:b/>
                        <w:sz w:val="20"/>
                      </w:rPr>
                      <w:t>G</w:t>
                    </w:r>
                  </w:p>
                  <w:p w14:paraId="3296CECF" w14:textId="77777777" w:rsidR="00BA4256" w:rsidRDefault="00BA4256">
                    <w:pPr>
                      <w:rPr>
                        <w:b/>
                        <w:sz w:val="10"/>
                      </w:rPr>
                    </w:pPr>
                  </w:p>
                  <w:p w14:paraId="5E889C9C" w14:textId="77777777" w:rsidR="00BA4256" w:rsidRDefault="00BA4256">
                    <w:pPr>
                      <w:rPr>
                        <w:b/>
                        <w:sz w:val="16"/>
                      </w:rPr>
                    </w:pPr>
                  </w:p>
                  <w:p w14:paraId="39ECFC77" w14:textId="77777777" w:rsidR="00BA4256" w:rsidRDefault="00BA4256">
                    <w:pPr>
                      <w:rPr>
                        <w:b/>
                        <w:sz w:val="16"/>
                      </w:rPr>
                    </w:pPr>
                  </w:p>
                  <w:p w14:paraId="539E3B5E" w14:textId="77777777" w:rsidR="00BA4256" w:rsidRDefault="00BA4256">
                    <w:pPr>
                      <w:rPr>
                        <w:b/>
                        <w:sz w:val="16"/>
                      </w:rPr>
                    </w:pPr>
                    <w:r>
                      <w:rPr>
                        <w:rFonts w:hint="eastAsia"/>
                        <w:b/>
                        <w:sz w:val="20"/>
                      </w:rPr>
                      <w:t>H</w:t>
                    </w:r>
                  </w:p>
                  <w:p w14:paraId="785872B1" w14:textId="77777777" w:rsidR="00BA4256" w:rsidRDefault="00BA4256">
                    <w:pPr>
                      <w:rPr>
                        <w:b/>
                        <w:sz w:val="10"/>
                      </w:rPr>
                    </w:pPr>
                  </w:p>
                  <w:p w14:paraId="7434DF91" w14:textId="77777777" w:rsidR="00BA4256" w:rsidRDefault="00BA4256">
                    <w:pPr>
                      <w:rPr>
                        <w:b/>
                        <w:sz w:val="16"/>
                      </w:rPr>
                    </w:pPr>
                  </w:p>
                  <w:p w14:paraId="2B71B3D7" w14:textId="77777777" w:rsidR="00BA4256" w:rsidRDefault="00BA4256">
                    <w:pPr>
                      <w:rPr>
                        <w:b/>
                        <w:sz w:val="16"/>
                      </w:rPr>
                    </w:pPr>
                  </w:p>
                  <w:p w14:paraId="440D03D1" w14:textId="77777777" w:rsidR="00BA4256" w:rsidRDefault="00BA4256">
                    <w:pPr>
                      <w:rPr>
                        <w:b/>
                        <w:sz w:val="16"/>
                      </w:rPr>
                    </w:pPr>
                    <w:r>
                      <w:rPr>
                        <w:rFonts w:hint="eastAsia"/>
                        <w:b/>
                        <w:sz w:val="20"/>
                      </w:rPr>
                      <w:t>I</w:t>
                    </w:r>
                  </w:p>
                  <w:p w14:paraId="4258320E" w14:textId="77777777" w:rsidR="00BA4256" w:rsidRDefault="00BA4256">
                    <w:pPr>
                      <w:rPr>
                        <w:b/>
                        <w:sz w:val="10"/>
                      </w:rPr>
                    </w:pPr>
                  </w:p>
                  <w:p w14:paraId="4C8527B7" w14:textId="77777777" w:rsidR="00BA4256" w:rsidRDefault="00BA4256">
                    <w:pPr>
                      <w:rPr>
                        <w:b/>
                        <w:sz w:val="16"/>
                      </w:rPr>
                    </w:pPr>
                  </w:p>
                  <w:p w14:paraId="2B516F26" w14:textId="77777777" w:rsidR="00BA4256" w:rsidRDefault="00BA4256">
                    <w:pPr>
                      <w:rPr>
                        <w:b/>
                        <w:sz w:val="16"/>
                      </w:rPr>
                    </w:pPr>
                  </w:p>
                  <w:p w14:paraId="6E21CC35" w14:textId="77777777" w:rsidR="00BA4256" w:rsidRDefault="00BA4256">
                    <w:pPr>
                      <w:rPr>
                        <w:b/>
                        <w:sz w:val="16"/>
                      </w:rPr>
                    </w:pPr>
                    <w:r>
                      <w:rPr>
                        <w:rFonts w:hint="eastAsia"/>
                        <w:b/>
                        <w:sz w:val="20"/>
                      </w:rPr>
                      <w:t>J</w:t>
                    </w:r>
                  </w:p>
                  <w:p w14:paraId="21A4116E" w14:textId="77777777" w:rsidR="00BA4256" w:rsidRDefault="00BA4256">
                    <w:pPr>
                      <w:rPr>
                        <w:b/>
                        <w:sz w:val="10"/>
                      </w:rPr>
                    </w:pPr>
                  </w:p>
                  <w:p w14:paraId="2E3D6C53" w14:textId="77777777" w:rsidR="00BA4256" w:rsidRDefault="00BA4256">
                    <w:pPr>
                      <w:rPr>
                        <w:b/>
                        <w:sz w:val="16"/>
                      </w:rPr>
                    </w:pPr>
                  </w:p>
                  <w:p w14:paraId="05716AF2" w14:textId="77777777" w:rsidR="00BA4256" w:rsidRDefault="00BA4256">
                    <w:pPr>
                      <w:rPr>
                        <w:b/>
                        <w:sz w:val="16"/>
                      </w:rPr>
                    </w:pPr>
                  </w:p>
                  <w:p w14:paraId="6B2081A1" w14:textId="77777777" w:rsidR="00BA4256" w:rsidRDefault="00BA4256">
                    <w:pPr>
                      <w:rPr>
                        <w:b/>
                        <w:sz w:val="16"/>
                      </w:rPr>
                    </w:pPr>
                    <w:r>
                      <w:rPr>
                        <w:rFonts w:hint="eastAsia"/>
                        <w:b/>
                        <w:sz w:val="20"/>
                      </w:rPr>
                      <w:t>K</w:t>
                    </w:r>
                  </w:p>
                  <w:p w14:paraId="5919F4C6" w14:textId="77777777" w:rsidR="00BA4256" w:rsidRDefault="00BA4256">
                    <w:pPr>
                      <w:rPr>
                        <w:b/>
                        <w:sz w:val="10"/>
                      </w:rPr>
                    </w:pPr>
                  </w:p>
                  <w:p w14:paraId="53D0305D" w14:textId="77777777" w:rsidR="00BA4256" w:rsidRDefault="00BA4256">
                    <w:pPr>
                      <w:rPr>
                        <w:b/>
                        <w:sz w:val="16"/>
                      </w:rPr>
                    </w:pPr>
                  </w:p>
                  <w:p w14:paraId="74DC30DB" w14:textId="77777777" w:rsidR="00BA4256" w:rsidRDefault="00BA4256">
                    <w:pPr>
                      <w:rPr>
                        <w:b/>
                        <w:sz w:val="16"/>
                      </w:rPr>
                    </w:pPr>
                  </w:p>
                  <w:p w14:paraId="3E4B2FEE" w14:textId="77777777" w:rsidR="00BA4256" w:rsidRDefault="00BA4256">
                    <w:pPr>
                      <w:rPr>
                        <w:b/>
                        <w:sz w:val="16"/>
                      </w:rPr>
                    </w:pPr>
                    <w:r>
                      <w:rPr>
                        <w:rFonts w:hint="eastAsia"/>
                        <w:b/>
                        <w:sz w:val="20"/>
                      </w:rPr>
                      <w:t>L</w:t>
                    </w:r>
                  </w:p>
                  <w:p w14:paraId="657A865D" w14:textId="77777777" w:rsidR="00BA4256" w:rsidRDefault="00BA4256">
                    <w:pPr>
                      <w:rPr>
                        <w:b/>
                        <w:sz w:val="10"/>
                      </w:rPr>
                    </w:pPr>
                  </w:p>
                  <w:p w14:paraId="288193E0" w14:textId="77777777" w:rsidR="00BA4256" w:rsidRDefault="00BA4256">
                    <w:pPr>
                      <w:rPr>
                        <w:b/>
                        <w:sz w:val="16"/>
                      </w:rPr>
                    </w:pPr>
                  </w:p>
                  <w:p w14:paraId="0E12B60B" w14:textId="77777777" w:rsidR="00BA4256" w:rsidRDefault="00BA4256">
                    <w:pPr>
                      <w:rPr>
                        <w:b/>
                        <w:sz w:val="16"/>
                      </w:rPr>
                    </w:pPr>
                  </w:p>
                  <w:p w14:paraId="7EDE8A46" w14:textId="77777777" w:rsidR="00BA4256" w:rsidRDefault="00BA4256">
                    <w:pPr>
                      <w:rPr>
                        <w:b/>
                        <w:sz w:val="16"/>
                      </w:rPr>
                    </w:pPr>
                    <w:r>
                      <w:rPr>
                        <w:rFonts w:hint="eastAsia"/>
                        <w:b/>
                        <w:sz w:val="20"/>
                      </w:rPr>
                      <w:t>M</w:t>
                    </w:r>
                  </w:p>
                  <w:p w14:paraId="3A6BAE2B" w14:textId="77777777" w:rsidR="00BA4256" w:rsidRDefault="00BA4256">
                    <w:pPr>
                      <w:rPr>
                        <w:b/>
                        <w:sz w:val="10"/>
                      </w:rPr>
                    </w:pPr>
                  </w:p>
                  <w:p w14:paraId="50058282" w14:textId="77777777" w:rsidR="00BA4256" w:rsidRDefault="00BA4256">
                    <w:pPr>
                      <w:rPr>
                        <w:b/>
                        <w:sz w:val="16"/>
                      </w:rPr>
                    </w:pPr>
                  </w:p>
                  <w:p w14:paraId="7E6C9BBA" w14:textId="77777777" w:rsidR="00BA4256" w:rsidRDefault="00BA4256">
                    <w:pPr>
                      <w:rPr>
                        <w:b/>
                        <w:sz w:val="16"/>
                      </w:rPr>
                    </w:pPr>
                  </w:p>
                  <w:p w14:paraId="279F1AFE" w14:textId="77777777" w:rsidR="00BA4256" w:rsidRDefault="00BA4256">
                    <w:pPr>
                      <w:rPr>
                        <w:b/>
                        <w:sz w:val="16"/>
                      </w:rPr>
                    </w:pPr>
                    <w:r>
                      <w:rPr>
                        <w:rFonts w:hint="eastAsia"/>
                        <w:b/>
                        <w:sz w:val="20"/>
                      </w:rPr>
                      <w:t>N</w:t>
                    </w:r>
                  </w:p>
                  <w:p w14:paraId="1DDB55D2" w14:textId="77777777" w:rsidR="00BA4256" w:rsidRDefault="00BA4256">
                    <w:pPr>
                      <w:rPr>
                        <w:b/>
                        <w:sz w:val="10"/>
                      </w:rPr>
                    </w:pPr>
                  </w:p>
                  <w:p w14:paraId="02782113" w14:textId="77777777" w:rsidR="00BA4256" w:rsidRDefault="00BA4256">
                    <w:pPr>
                      <w:rPr>
                        <w:b/>
                        <w:sz w:val="16"/>
                      </w:rPr>
                    </w:pPr>
                  </w:p>
                  <w:p w14:paraId="559989D4" w14:textId="77777777" w:rsidR="00BA4256" w:rsidRDefault="00BA4256">
                    <w:pPr>
                      <w:rPr>
                        <w:b/>
                        <w:sz w:val="16"/>
                      </w:rPr>
                    </w:pPr>
                  </w:p>
                  <w:p w14:paraId="7E495F22" w14:textId="77777777" w:rsidR="00BA4256" w:rsidRDefault="00BA4256">
                    <w:pPr>
                      <w:rPr>
                        <w:b/>
                        <w:sz w:val="16"/>
                      </w:rPr>
                    </w:pPr>
                    <w:r>
                      <w:rPr>
                        <w:rFonts w:hint="eastAsia"/>
                        <w:b/>
                        <w:sz w:val="20"/>
                      </w:rPr>
                      <w:t>O</w:t>
                    </w:r>
                  </w:p>
                  <w:p w14:paraId="5FD39961" w14:textId="77777777" w:rsidR="00BA4256" w:rsidRDefault="00BA4256">
                    <w:pPr>
                      <w:rPr>
                        <w:b/>
                        <w:sz w:val="10"/>
                      </w:rPr>
                    </w:pPr>
                  </w:p>
                  <w:p w14:paraId="53B00C28" w14:textId="77777777" w:rsidR="00BA4256" w:rsidRDefault="00BA4256">
                    <w:pPr>
                      <w:rPr>
                        <w:b/>
                        <w:sz w:val="16"/>
                      </w:rPr>
                    </w:pPr>
                  </w:p>
                  <w:p w14:paraId="23CF4648" w14:textId="77777777" w:rsidR="00BA4256" w:rsidRDefault="00BA4256">
                    <w:pPr>
                      <w:rPr>
                        <w:b/>
                        <w:sz w:val="16"/>
                      </w:rPr>
                    </w:pPr>
                  </w:p>
                  <w:p w14:paraId="61C7F346" w14:textId="77777777" w:rsidR="00BA4256" w:rsidRDefault="00BA4256">
                    <w:pPr>
                      <w:rPr>
                        <w:b/>
                        <w:sz w:val="16"/>
                      </w:rPr>
                    </w:pPr>
                    <w:r>
                      <w:rPr>
                        <w:rFonts w:hint="eastAsia"/>
                        <w:b/>
                        <w:sz w:val="20"/>
                      </w:rPr>
                      <w:t>P</w:t>
                    </w:r>
                  </w:p>
                  <w:p w14:paraId="4ECCAA55" w14:textId="77777777" w:rsidR="00BA4256" w:rsidRDefault="00BA4256">
                    <w:pPr>
                      <w:rPr>
                        <w:b/>
                        <w:sz w:val="10"/>
                      </w:rPr>
                    </w:pPr>
                  </w:p>
                  <w:p w14:paraId="1CAF59EB" w14:textId="77777777" w:rsidR="00BA4256" w:rsidRDefault="00BA4256">
                    <w:pPr>
                      <w:rPr>
                        <w:b/>
                        <w:sz w:val="16"/>
                      </w:rPr>
                    </w:pPr>
                  </w:p>
                  <w:p w14:paraId="0E195A73" w14:textId="77777777" w:rsidR="00BA4256" w:rsidRDefault="00BA4256">
                    <w:pPr>
                      <w:rPr>
                        <w:b/>
                        <w:sz w:val="16"/>
                      </w:rPr>
                    </w:pPr>
                  </w:p>
                  <w:p w14:paraId="7DAFAB97" w14:textId="77777777" w:rsidR="00BA4256" w:rsidRDefault="00BA4256">
                    <w:pPr>
                      <w:rPr>
                        <w:b/>
                        <w:sz w:val="16"/>
                      </w:rPr>
                    </w:pPr>
                    <w:r>
                      <w:rPr>
                        <w:rFonts w:hint="eastAsia"/>
                        <w:b/>
                        <w:sz w:val="20"/>
                      </w:rPr>
                      <w:t>Q</w:t>
                    </w:r>
                  </w:p>
                  <w:p w14:paraId="5756BA70" w14:textId="77777777" w:rsidR="00BA4256" w:rsidRDefault="00BA4256">
                    <w:pPr>
                      <w:rPr>
                        <w:b/>
                        <w:sz w:val="10"/>
                      </w:rPr>
                    </w:pPr>
                  </w:p>
                  <w:p w14:paraId="353B3AD2" w14:textId="77777777" w:rsidR="00BA4256" w:rsidRDefault="00BA4256">
                    <w:pPr>
                      <w:rPr>
                        <w:b/>
                        <w:sz w:val="16"/>
                      </w:rPr>
                    </w:pPr>
                  </w:p>
                  <w:p w14:paraId="3C4C65DA" w14:textId="77777777" w:rsidR="00BA4256" w:rsidRDefault="00BA4256">
                    <w:pPr>
                      <w:rPr>
                        <w:b/>
                        <w:sz w:val="16"/>
                      </w:rPr>
                    </w:pPr>
                  </w:p>
                  <w:p w14:paraId="59EC34AF" w14:textId="77777777" w:rsidR="00BA4256" w:rsidRDefault="00BA4256">
                    <w:pPr>
                      <w:rPr>
                        <w:b/>
                        <w:sz w:val="16"/>
                      </w:rPr>
                    </w:pPr>
                    <w:r>
                      <w:rPr>
                        <w:rFonts w:hint="eastAsia"/>
                        <w:b/>
                        <w:sz w:val="20"/>
                      </w:rPr>
                      <w:t>R</w:t>
                    </w:r>
                  </w:p>
                  <w:p w14:paraId="55AE0B45" w14:textId="77777777" w:rsidR="00BA4256" w:rsidRDefault="00BA4256">
                    <w:pPr>
                      <w:rPr>
                        <w:b/>
                        <w:sz w:val="10"/>
                      </w:rPr>
                    </w:pPr>
                  </w:p>
                  <w:p w14:paraId="10F32CE9" w14:textId="77777777" w:rsidR="00BA4256" w:rsidRDefault="00BA4256">
                    <w:pPr>
                      <w:rPr>
                        <w:b/>
                        <w:sz w:val="16"/>
                      </w:rPr>
                    </w:pPr>
                  </w:p>
                  <w:p w14:paraId="5C0EAE20" w14:textId="77777777" w:rsidR="00BA4256" w:rsidRDefault="00BA4256">
                    <w:pPr>
                      <w:rPr>
                        <w:b/>
                        <w:sz w:val="16"/>
                      </w:rPr>
                    </w:pPr>
                  </w:p>
                  <w:p w14:paraId="3A3AE667" w14:textId="77777777" w:rsidR="00BA4256" w:rsidRDefault="00BA4256">
                    <w:pPr>
                      <w:rPr>
                        <w:b/>
                        <w:sz w:val="16"/>
                      </w:rPr>
                    </w:pPr>
                    <w:r>
                      <w:rPr>
                        <w:rFonts w:hint="eastAsia"/>
                        <w:b/>
                        <w:sz w:val="20"/>
                      </w:rPr>
                      <w:t>S</w:t>
                    </w:r>
                  </w:p>
                  <w:p w14:paraId="00A5E306" w14:textId="77777777" w:rsidR="00BA4256" w:rsidRDefault="00BA4256">
                    <w:pPr>
                      <w:rPr>
                        <w:b/>
                        <w:sz w:val="10"/>
                      </w:rPr>
                    </w:pPr>
                  </w:p>
                  <w:p w14:paraId="77031C57" w14:textId="77777777" w:rsidR="00BA4256" w:rsidRDefault="00BA4256">
                    <w:pPr>
                      <w:rPr>
                        <w:b/>
                        <w:sz w:val="16"/>
                      </w:rPr>
                    </w:pPr>
                  </w:p>
                  <w:p w14:paraId="4D633A87" w14:textId="77777777" w:rsidR="00BA4256" w:rsidRDefault="00BA4256">
                    <w:pPr>
                      <w:rPr>
                        <w:b/>
                        <w:sz w:val="16"/>
                      </w:rPr>
                    </w:pPr>
                  </w:p>
                  <w:p w14:paraId="72C93B42" w14:textId="77777777" w:rsidR="00BA4256" w:rsidRDefault="00BA4256">
                    <w:pPr>
                      <w:rPr>
                        <w:b/>
                        <w:sz w:val="16"/>
                      </w:rPr>
                    </w:pPr>
                    <w:r>
                      <w:rPr>
                        <w:rFonts w:hint="eastAsia"/>
                        <w:b/>
                        <w:sz w:val="20"/>
                      </w:rPr>
                      <w:t>T</w:t>
                    </w:r>
                  </w:p>
                  <w:p w14:paraId="2CF35A99" w14:textId="77777777" w:rsidR="00BA4256" w:rsidRDefault="00BA4256">
                    <w:pPr>
                      <w:rPr>
                        <w:b/>
                        <w:sz w:val="10"/>
                      </w:rPr>
                    </w:pPr>
                  </w:p>
                  <w:p w14:paraId="0EE770BC" w14:textId="77777777" w:rsidR="00BA4256" w:rsidRDefault="00BA4256">
                    <w:pPr>
                      <w:rPr>
                        <w:b/>
                        <w:sz w:val="16"/>
                      </w:rPr>
                    </w:pPr>
                  </w:p>
                  <w:p w14:paraId="5FDC84E8" w14:textId="77777777" w:rsidR="00BA4256" w:rsidRDefault="00BA4256">
                    <w:pPr>
                      <w:rPr>
                        <w:b/>
                        <w:sz w:val="16"/>
                      </w:rPr>
                    </w:pPr>
                  </w:p>
                  <w:p w14:paraId="29E3A35B" w14:textId="77777777" w:rsidR="00BA4256" w:rsidRDefault="00BA4256">
                    <w:pPr>
                      <w:rPr>
                        <w:b/>
                        <w:sz w:val="16"/>
                      </w:rPr>
                    </w:pPr>
                    <w:r>
                      <w:rPr>
                        <w:rFonts w:hint="eastAsia"/>
                        <w:b/>
                        <w:sz w:val="20"/>
                      </w:rPr>
                      <w:t>U</w:t>
                    </w:r>
                  </w:p>
                  <w:p w14:paraId="1CFEA331" w14:textId="77777777" w:rsidR="00BA4256" w:rsidRDefault="00BA4256">
                    <w:pPr>
                      <w:rPr>
                        <w:b/>
                        <w:sz w:val="10"/>
                      </w:rPr>
                    </w:pPr>
                  </w:p>
                  <w:p w14:paraId="6FC74D10" w14:textId="77777777" w:rsidR="00BA4256" w:rsidRDefault="00BA4256">
                    <w:pPr>
                      <w:rPr>
                        <w:b/>
                        <w:sz w:val="16"/>
                      </w:rPr>
                    </w:pPr>
                  </w:p>
                  <w:p w14:paraId="4BE45CD7" w14:textId="77777777" w:rsidR="00BA4256" w:rsidRDefault="00BA4256">
                    <w:pPr>
                      <w:rPr>
                        <w:b/>
                        <w:sz w:val="16"/>
                      </w:rPr>
                    </w:pPr>
                  </w:p>
                  <w:p w14:paraId="12CA9207" w14:textId="77777777" w:rsidR="00BA4256" w:rsidRDefault="00BA4256">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D31BBD">
      <w:rPr>
        <w:rStyle w:val="PageNumber"/>
        <w:noProof/>
        <w:sz w:val="28"/>
      </w:rPr>
      <w:t>2</w:t>
    </w:r>
    <w:r>
      <w:rPr>
        <w:rStyle w:val="PageNumber"/>
        <w:sz w:val="28"/>
      </w:rPr>
      <w:fldChar w:fldCharType="end"/>
    </w:r>
    <w:r>
      <w:rPr>
        <w:rStyle w:val="PageNumber"/>
        <w:rFonts w:hint="eastAsia"/>
        <w:sz w:val="28"/>
      </w:rPr>
      <w:t xml:space="preserve"> -</w:t>
    </w:r>
    <w:r>
      <w:rPr>
        <w:noProof/>
        <w:sz w:val="28"/>
        <w:lang w:val="en-US"/>
      </w:rPr>
      <mc:AlternateContent>
        <mc:Choice Requires="wps">
          <w:drawing>
            <wp:anchor distT="0" distB="0" distL="114300" distR="114300" simplePos="0" relativeHeight="251658240" behindDoc="0" locked="0" layoutInCell="0" allowOverlap="1" wp14:anchorId="3736B43D" wp14:editId="48AD5590">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1F495" w14:textId="77777777" w:rsidR="00BA4256" w:rsidRDefault="00BA4256">
                          <w:pPr>
                            <w:rPr>
                              <w:b/>
                              <w:sz w:val="20"/>
                            </w:rPr>
                          </w:pPr>
                          <w:r>
                            <w:rPr>
                              <w:rFonts w:hint="eastAsia"/>
                              <w:b/>
                              <w:sz w:val="20"/>
                            </w:rPr>
                            <w:t>A</w:t>
                          </w:r>
                        </w:p>
                        <w:p w14:paraId="00E0B7AC" w14:textId="77777777" w:rsidR="00BA4256" w:rsidRDefault="00BA4256">
                          <w:pPr>
                            <w:rPr>
                              <w:b/>
                              <w:sz w:val="10"/>
                            </w:rPr>
                          </w:pPr>
                        </w:p>
                        <w:p w14:paraId="47F3048C" w14:textId="77777777" w:rsidR="00BA4256" w:rsidRDefault="00BA4256">
                          <w:pPr>
                            <w:rPr>
                              <w:b/>
                              <w:sz w:val="16"/>
                            </w:rPr>
                          </w:pPr>
                        </w:p>
                        <w:p w14:paraId="51023824" w14:textId="77777777" w:rsidR="00BA4256" w:rsidRDefault="00BA4256">
                          <w:pPr>
                            <w:rPr>
                              <w:b/>
                              <w:sz w:val="16"/>
                            </w:rPr>
                          </w:pPr>
                        </w:p>
                        <w:p w14:paraId="5D3094BE" w14:textId="77777777" w:rsidR="00BA4256" w:rsidRDefault="00BA4256">
                          <w:pPr>
                            <w:rPr>
                              <w:b/>
                              <w:sz w:val="20"/>
                            </w:rPr>
                          </w:pPr>
                          <w:r>
                            <w:rPr>
                              <w:rFonts w:hint="eastAsia"/>
                              <w:b/>
                              <w:sz w:val="20"/>
                            </w:rPr>
                            <w:t>B</w:t>
                          </w:r>
                        </w:p>
                        <w:p w14:paraId="2BC72ACC" w14:textId="77777777" w:rsidR="00BA4256" w:rsidRDefault="00BA4256">
                          <w:pPr>
                            <w:rPr>
                              <w:b/>
                              <w:sz w:val="10"/>
                            </w:rPr>
                          </w:pPr>
                        </w:p>
                        <w:p w14:paraId="12C18B8F" w14:textId="77777777" w:rsidR="00BA4256" w:rsidRDefault="00BA4256">
                          <w:pPr>
                            <w:rPr>
                              <w:b/>
                              <w:sz w:val="16"/>
                            </w:rPr>
                          </w:pPr>
                        </w:p>
                        <w:p w14:paraId="2613B050" w14:textId="77777777" w:rsidR="00BA4256" w:rsidRDefault="00BA4256">
                          <w:pPr>
                            <w:rPr>
                              <w:b/>
                              <w:sz w:val="16"/>
                            </w:rPr>
                          </w:pPr>
                        </w:p>
                        <w:p w14:paraId="5C5FABDA" w14:textId="77777777" w:rsidR="00BA4256" w:rsidRDefault="00BA4256">
                          <w:pPr>
                            <w:rPr>
                              <w:b/>
                              <w:sz w:val="16"/>
                            </w:rPr>
                          </w:pPr>
                          <w:r>
                            <w:rPr>
                              <w:rFonts w:hint="eastAsia"/>
                              <w:b/>
                              <w:sz w:val="20"/>
                            </w:rPr>
                            <w:t>C</w:t>
                          </w:r>
                        </w:p>
                        <w:p w14:paraId="5D50AC46" w14:textId="77777777" w:rsidR="00BA4256" w:rsidRDefault="00BA4256">
                          <w:pPr>
                            <w:rPr>
                              <w:b/>
                              <w:sz w:val="10"/>
                            </w:rPr>
                          </w:pPr>
                        </w:p>
                        <w:p w14:paraId="7AEDF0B6" w14:textId="77777777" w:rsidR="00BA4256" w:rsidRDefault="00BA4256">
                          <w:pPr>
                            <w:rPr>
                              <w:b/>
                              <w:sz w:val="16"/>
                            </w:rPr>
                          </w:pPr>
                        </w:p>
                        <w:p w14:paraId="15387CEB" w14:textId="77777777" w:rsidR="00BA4256" w:rsidRDefault="00BA4256">
                          <w:pPr>
                            <w:rPr>
                              <w:b/>
                              <w:sz w:val="16"/>
                            </w:rPr>
                          </w:pPr>
                        </w:p>
                        <w:p w14:paraId="331CEE28" w14:textId="77777777" w:rsidR="00BA4256" w:rsidRDefault="00BA4256">
                          <w:pPr>
                            <w:pStyle w:val="Heading2"/>
                            <w:rPr>
                              <w:sz w:val="16"/>
                            </w:rPr>
                          </w:pPr>
                          <w:r>
                            <w:rPr>
                              <w:rFonts w:hint="eastAsia"/>
                            </w:rPr>
                            <w:t>D</w:t>
                          </w:r>
                        </w:p>
                        <w:p w14:paraId="77E94381" w14:textId="77777777" w:rsidR="00BA4256" w:rsidRDefault="00BA4256">
                          <w:pPr>
                            <w:rPr>
                              <w:b/>
                              <w:sz w:val="10"/>
                            </w:rPr>
                          </w:pPr>
                        </w:p>
                        <w:p w14:paraId="4ACF96EF" w14:textId="77777777" w:rsidR="00BA4256" w:rsidRDefault="00BA4256">
                          <w:pPr>
                            <w:rPr>
                              <w:b/>
                              <w:sz w:val="16"/>
                            </w:rPr>
                          </w:pPr>
                        </w:p>
                        <w:p w14:paraId="18DE3E65" w14:textId="77777777" w:rsidR="00BA4256" w:rsidRDefault="00BA4256">
                          <w:pPr>
                            <w:rPr>
                              <w:b/>
                              <w:sz w:val="16"/>
                            </w:rPr>
                          </w:pPr>
                        </w:p>
                        <w:p w14:paraId="210C6DED" w14:textId="77777777" w:rsidR="00BA4256" w:rsidRDefault="00BA4256">
                          <w:pPr>
                            <w:rPr>
                              <w:b/>
                              <w:sz w:val="16"/>
                            </w:rPr>
                          </w:pPr>
                          <w:r>
                            <w:rPr>
                              <w:rFonts w:hint="eastAsia"/>
                              <w:b/>
                              <w:sz w:val="20"/>
                            </w:rPr>
                            <w:t>E</w:t>
                          </w:r>
                        </w:p>
                        <w:p w14:paraId="74E1F0A4" w14:textId="77777777" w:rsidR="00BA4256" w:rsidRDefault="00BA4256">
                          <w:pPr>
                            <w:rPr>
                              <w:b/>
                              <w:sz w:val="10"/>
                            </w:rPr>
                          </w:pPr>
                        </w:p>
                        <w:p w14:paraId="1AD9B1BA" w14:textId="77777777" w:rsidR="00BA4256" w:rsidRDefault="00BA4256">
                          <w:pPr>
                            <w:rPr>
                              <w:b/>
                              <w:sz w:val="16"/>
                            </w:rPr>
                          </w:pPr>
                        </w:p>
                        <w:p w14:paraId="2C83E0A6" w14:textId="77777777" w:rsidR="00BA4256" w:rsidRDefault="00BA4256">
                          <w:pPr>
                            <w:rPr>
                              <w:b/>
                              <w:sz w:val="16"/>
                            </w:rPr>
                          </w:pPr>
                        </w:p>
                        <w:p w14:paraId="5A4DFCFF" w14:textId="77777777" w:rsidR="00BA4256" w:rsidRDefault="00BA4256">
                          <w:pPr>
                            <w:rPr>
                              <w:b/>
                              <w:sz w:val="20"/>
                            </w:rPr>
                          </w:pPr>
                          <w:r>
                            <w:rPr>
                              <w:rFonts w:hint="eastAsia"/>
                              <w:b/>
                              <w:sz w:val="20"/>
                            </w:rPr>
                            <w:t>F</w:t>
                          </w:r>
                        </w:p>
                        <w:p w14:paraId="7CEFA16B" w14:textId="77777777" w:rsidR="00BA4256" w:rsidRDefault="00BA4256">
                          <w:pPr>
                            <w:rPr>
                              <w:b/>
                              <w:sz w:val="10"/>
                            </w:rPr>
                          </w:pPr>
                        </w:p>
                        <w:p w14:paraId="10107D76" w14:textId="77777777" w:rsidR="00BA4256" w:rsidRDefault="00BA4256">
                          <w:pPr>
                            <w:rPr>
                              <w:b/>
                              <w:sz w:val="16"/>
                            </w:rPr>
                          </w:pPr>
                        </w:p>
                        <w:p w14:paraId="63A9C772" w14:textId="77777777" w:rsidR="00BA4256" w:rsidRDefault="00BA4256">
                          <w:pPr>
                            <w:rPr>
                              <w:b/>
                              <w:sz w:val="16"/>
                            </w:rPr>
                          </w:pPr>
                        </w:p>
                        <w:p w14:paraId="0355475F" w14:textId="77777777" w:rsidR="00BA4256" w:rsidRDefault="00BA4256">
                          <w:pPr>
                            <w:rPr>
                              <w:b/>
                              <w:sz w:val="16"/>
                            </w:rPr>
                          </w:pPr>
                          <w:r>
                            <w:rPr>
                              <w:rFonts w:hint="eastAsia"/>
                              <w:b/>
                              <w:sz w:val="20"/>
                            </w:rPr>
                            <w:t>G</w:t>
                          </w:r>
                        </w:p>
                        <w:p w14:paraId="799FAAA6" w14:textId="77777777" w:rsidR="00BA4256" w:rsidRDefault="00BA4256">
                          <w:pPr>
                            <w:rPr>
                              <w:b/>
                              <w:sz w:val="10"/>
                            </w:rPr>
                          </w:pPr>
                        </w:p>
                        <w:p w14:paraId="7D62A9C6" w14:textId="77777777" w:rsidR="00BA4256" w:rsidRDefault="00BA4256">
                          <w:pPr>
                            <w:rPr>
                              <w:b/>
                              <w:sz w:val="16"/>
                            </w:rPr>
                          </w:pPr>
                        </w:p>
                        <w:p w14:paraId="4D18116E" w14:textId="77777777" w:rsidR="00BA4256" w:rsidRDefault="00BA4256">
                          <w:pPr>
                            <w:rPr>
                              <w:b/>
                              <w:sz w:val="16"/>
                            </w:rPr>
                          </w:pPr>
                        </w:p>
                        <w:p w14:paraId="2F619695" w14:textId="77777777" w:rsidR="00BA4256" w:rsidRDefault="00BA4256">
                          <w:pPr>
                            <w:rPr>
                              <w:b/>
                              <w:sz w:val="16"/>
                            </w:rPr>
                          </w:pPr>
                          <w:r>
                            <w:rPr>
                              <w:rFonts w:hint="eastAsia"/>
                              <w:b/>
                              <w:sz w:val="20"/>
                            </w:rPr>
                            <w:t>H</w:t>
                          </w:r>
                        </w:p>
                        <w:p w14:paraId="4DDAA200" w14:textId="77777777" w:rsidR="00BA4256" w:rsidRDefault="00BA4256">
                          <w:pPr>
                            <w:rPr>
                              <w:b/>
                              <w:sz w:val="10"/>
                            </w:rPr>
                          </w:pPr>
                        </w:p>
                        <w:p w14:paraId="5785CBF7" w14:textId="77777777" w:rsidR="00BA4256" w:rsidRDefault="00BA4256">
                          <w:pPr>
                            <w:rPr>
                              <w:b/>
                              <w:sz w:val="16"/>
                            </w:rPr>
                          </w:pPr>
                        </w:p>
                        <w:p w14:paraId="42EEA722" w14:textId="77777777" w:rsidR="00BA4256" w:rsidRDefault="00BA4256">
                          <w:pPr>
                            <w:rPr>
                              <w:b/>
                              <w:sz w:val="16"/>
                            </w:rPr>
                          </w:pPr>
                        </w:p>
                        <w:p w14:paraId="588EAC7A" w14:textId="77777777" w:rsidR="00BA4256" w:rsidRDefault="00BA4256">
                          <w:pPr>
                            <w:rPr>
                              <w:b/>
                              <w:sz w:val="16"/>
                            </w:rPr>
                          </w:pPr>
                          <w:r>
                            <w:rPr>
                              <w:rFonts w:hint="eastAsia"/>
                              <w:b/>
                              <w:sz w:val="20"/>
                            </w:rPr>
                            <w:t>I</w:t>
                          </w:r>
                        </w:p>
                        <w:p w14:paraId="747B9816" w14:textId="77777777" w:rsidR="00BA4256" w:rsidRDefault="00BA4256">
                          <w:pPr>
                            <w:rPr>
                              <w:b/>
                              <w:sz w:val="10"/>
                            </w:rPr>
                          </w:pPr>
                        </w:p>
                        <w:p w14:paraId="4486870B" w14:textId="77777777" w:rsidR="00BA4256" w:rsidRDefault="00BA4256">
                          <w:pPr>
                            <w:rPr>
                              <w:b/>
                              <w:sz w:val="16"/>
                            </w:rPr>
                          </w:pPr>
                        </w:p>
                        <w:p w14:paraId="77F77EFE" w14:textId="77777777" w:rsidR="00BA4256" w:rsidRDefault="00BA4256">
                          <w:pPr>
                            <w:rPr>
                              <w:b/>
                              <w:sz w:val="16"/>
                            </w:rPr>
                          </w:pPr>
                        </w:p>
                        <w:p w14:paraId="6CCFD9D8" w14:textId="77777777" w:rsidR="00BA4256" w:rsidRDefault="00BA4256">
                          <w:pPr>
                            <w:rPr>
                              <w:b/>
                              <w:sz w:val="16"/>
                            </w:rPr>
                          </w:pPr>
                          <w:r>
                            <w:rPr>
                              <w:rFonts w:hint="eastAsia"/>
                              <w:b/>
                              <w:sz w:val="20"/>
                            </w:rPr>
                            <w:t>J</w:t>
                          </w:r>
                        </w:p>
                        <w:p w14:paraId="7CE5322B" w14:textId="77777777" w:rsidR="00BA4256" w:rsidRDefault="00BA4256">
                          <w:pPr>
                            <w:rPr>
                              <w:b/>
                              <w:sz w:val="10"/>
                            </w:rPr>
                          </w:pPr>
                        </w:p>
                        <w:p w14:paraId="7FC2A1D0" w14:textId="77777777" w:rsidR="00BA4256" w:rsidRDefault="00BA4256">
                          <w:pPr>
                            <w:rPr>
                              <w:b/>
                              <w:sz w:val="16"/>
                            </w:rPr>
                          </w:pPr>
                        </w:p>
                        <w:p w14:paraId="68C6B50D" w14:textId="77777777" w:rsidR="00BA4256" w:rsidRDefault="00BA4256">
                          <w:pPr>
                            <w:rPr>
                              <w:b/>
                              <w:sz w:val="16"/>
                            </w:rPr>
                          </w:pPr>
                        </w:p>
                        <w:p w14:paraId="2A1CA3BE" w14:textId="77777777" w:rsidR="00BA4256" w:rsidRDefault="00BA4256">
                          <w:pPr>
                            <w:rPr>
                              <w:b/>
                              <w:sz w:val="16"/>
                            </w:rPr>
                          </w:pPr>
                          <w:r>
                            <w:rPr>
                              <w:rFonts w:hint="eastAsia"/>
                              <w:b/>
                              <w:sz w:val="20"/>
                            </w:rPr>
                            <w:t>K</w:t>
                          </w:r>
                        </w:p>
                        <w:p w14:paraId="27C278B5" w14:textId="77777777" w:rsidR="00BA4256" w:rsidRDefault="00BA4256">
                          <w:pPr>
                            <w:rPr>
                              <w:b/>
                              <w:sz w:val="10"/>
                            </w:rPr>
                          </w:pPr>
                        </w:p>
                        <w:p w14:paraId="6A9D7292" w14:textId="77777777" w:rsidR="00BA4256" w:rsidRDefault="00BA4256">
                          <w:pPr>
                            <w:rPr>
                              <w:b/>
                              <w:sz w:val="16"/>
                            </w:rPr>
                          </w:pPr>
                        </w:p>
                        <w:p w14:paraId="35413B6F" w14:textId="77777777" w:rsidR="00BA4256" w:rsidRDefault="00BA4256">
                          <w:pPr>
                            <w:rPr>
                              <w:b/>
                              <w:sz w:val="16"/>
                            </w:rPr>
                          </w:pPr>
                        </w:p>
                        <w:p w14:paraId="2291D67C" w14:textId="77777777" w:rsidR="00BA4256" w:rsidRDefault="00BA4256">
                          <w:pPr>
                            <w:rPr>
                              <w:b/>
                              <w:sz w:val="16"/>
                            </w:rPr>
                          </w:pPr>
                          <w:r>
                            <w:rPr>
                              <w:rFonts w:hint="eastAsia"/>
                              <w:b/>
                              <w:sz w:val="20"/>
                            </w:rPr>
                            <w:t>L</w:t>
                          </w:r>
                        </w:p>
                        <w:p w14:paraId="4FDE1F9F" w14:textId="77777777" w:rsidR="00BA4256" w:rsidRDefault="00BA4256">
                          <w:pPr>
                            <w:rPr>
                              <w:b/>
                              <w:sz w:val="10"/>
                            </w:rPr>
                          </w:pPr>
                        </w:p>
                        <w:p w14:paraId="17700908" w14:textId="77777777" w:rsidR="00BA4256" w:rsidRDefault="00BA4256">
                          <w:pPr>
                            <w:rPr>
                              <w:b/>
                              <w:sz w:val="16"/>
                            </w:rPr>
                          </w:pPr>
                        </w:p>
                        <w:p w14:paraId="40172B75" w14:textId="77777777" w:rsidR="00BA4256" w:rsidRDefault="00BA4256">
                          <w:pPr>
                            <w:rPr>
                              <w:b/>
                              <w:sz w:val="16"/>
                            </w:rPr>
                          </w:pPr>
                        </w:p>
                        <w:p w14:paraId="53EB0025" w14:textId="77777777" w:rsidR="00BA4256" w:rsidRDefault="00BA4256">
                          <w:pPr>
                            <w:rPr>
                              <w:b/>
                              <w:sz w:val="16"/>
                            </w:rPr>
                          </w:pPr>
                          <w:r>
                            <w:rPr>
                              <w:rFonts w:hint="eastAsia"/>
                              <w:b/>
                              <w:sz w:val="20"/>
                            </w:rPr>
                            <w:t>M</w:t>
                          </w:r>
                        </w:p>
                        <w:p w14:paraId="797160B5" w14:textId="77777777" w:rsidR="00BA4256" w:rsidRDefault="00BA4256">
                          <w:pPr>
                            <w:rPr>
                              <w:b/>
                              <w:sz w:val="10"/>
                            </w:rPr>
                          </w:pPr>
                        </w:p>
                        <w:p w14:paraId="0D97F4B8" w14:textId="77777777" w:rsidR="00BA4256" w:rsidRDefault="00BA4256">
                          <w:pPr>
                            <w:rPr>
                              <w:b/>
                              <w:sz w:val="16"/>
                            </w:rPr>
                          </w:pPr>
                        </w:p>
                        <w:p w14:paraId="1993FF27" w14:textId="77777777" w:rsidR="00BA4256" w:rsidRDefault="00BA4256">
                          <w:pPr>
                            <w:rPr>
                              <w:b/>
                              <w:sz w:val="16"/>
                            </w:rPr>
                          </w:pPr>
                        </w:p>
                        <w:p w14:paraId="5DB03982" w14:textId="77777777" w:rsidR="00BA4256" w:rsidRDefault="00BA4256">
                          <w:pPr>
                            <w:rPr>
                              <w:b/>
                              <w:sz w:val="16"/>
                            </w:rPr>
                          </w:pPr>
                          <w:r>
                            <w:rPr>
                              <w:rFonts w:hint="eastAsia"/>
                              <w:b/>
                              <w:sz w:val="20"/>
                            </w:rPr>
                            <w:t>N</w:t>
                          </w:r>
                        </w:p>
                        <w:p w14:paraId="4C9B0EDC" w14:textId="77777777" w:rsidR="00BA4256" w:rsidRDefault="00BA4256">
                          <w:pPr>
                            <w:rPr>
                              <w:b/>
                              <w:sz w:val="10"/>
                            </w:rPr>
                          </w:pPr>
                        </w:p>
                        <w:p w14:paraId="7395F791" w14:textId="77777777" w:rsidR="00BA4256" w:rsidRDefault="00BA4256">
                          <w:pPr>
                            <w:rPr>
                              <w:b/>
                              <w:sz w:val="16"/>
                            </w:rPr>
                          </w:pPr>
                        </w:p>
                        <w:p w14:paraId="5B477A39" w14:textId="77777777" w:rsidR="00BA4256" w:rsidRDefault="00BA4256">
                          <w:pPr>
                            <w:rPr>
                              <w:b/>
                              <w:sz w:val="16"/>
                            </w:rPr>
                          </w:pPr>
                        </w:p>
                        <w:p w14:paraId="6028C2FC" w14:textId="77777777" w:rsidR="00BA4256" w:rsidRDefault="00BA4256">
                          <w:pPr>
                            <w:rPr>
                              <w:b/>
                              <w:sz w:val="16"/>
                            </w:rPr>
                          </w:pPr>
                          <w:r>
                            <w:rPr>
                              <w:rFonts w:hint="eastAsia"/>
                              <w:b/>
                              <w:sz w:val="20"/>
                            </w:rPr>
                            <w:t>O</w:t>
                          </w:r>
                        </w:p>
                        <w:p w14:paraId="16CD1511" w14:textId="77777777" w:rsidR="00BA4256" w:rsidRDefault="00BA4256">
                          <w:pPr>
                            <w:rPr>
                              <w:b/>
                              <w:sz w:val="10"/>
                            </w:rPr>
                          </w:pPr>
                        </w:p>
                        <w:p w14:paraId="54ADE6A5" w14:textId="77777777" w:rsidR="00BA4256" w:rsidRDefault="00BA4256">
                          <w:pPr>
                            <w:rPr>
                              <w:b/>
                              <w:sz w:val="16"/>
                            </w:rPr>
                          </w:pPr>
                        </w:p>
                        <w:p w14:paraId="2E762DFF" w14:textId="77777777" w:rsidR="00BA4256" w:rsidRDefault="00BA4256">
                          <w:pPr>
                            <w:rPr>
                              <w:b/>
                              <w:sz w:val="16"/>
                            </w:rPr>
                          </w:pPr>
                        </w:p>
                        <w:p w14:paraId="06CF5240" w14:textId="77777777" w:rsidR="00BA4256" w:rsidRDefault="00BA4256">
                          <w:pPr>
                            <w:rPr>
                              <w:b/>
                              <w:sz w:val="16"/>
                            </w:rPr>
                          </w:pPr>
                          <w:r>
                            <w:rPr>
                              <w:rFonts w:hint="eastAsia"/>
                              <w:b/>
                              <w:sz w:val="20"/>
                            </w:rPr>
                            <w:t>P</w:t>
                          </w:r>
                        </w:p>
                        <w:p w14:paraId="5A932715" w14:textId="77777777" w:rsidR="00BA4256" w:rsidRDefault="00BA4256">
                          <w:pPr>
                            <w:rPr>
                              <w:b/>
                              <w:sz w:val="10"/>
                            </w:rPr>
                          </w:pPr>
                        </w:p>
                        <w:p w14:paraId="5A4F358E" w14:textId="77777777" w:rsidR="00BA4256" w:rsidRDefault="00BA4256">
                          <w:pPr>
                            <w:rPr>
                              <w:b/>
                              <w:sz w:val="16"/>
                            </w:rPr>
                          </w:pPr>
                        </w:p>
                        <w:p w14:paraId="2BC67C20" w14:textId="77777777" w:rsidR="00BA4256" w:rsidRDefault="00BA4256">
                          <w:pPr>
                            <w:rPr>
                              <w:b/>
                              <w:sz w:val="16"/>
                            </w:rPr>
                          </w:pPr>
                        </w:p>
                        <w:p w14:paraId="7894B4E8" w14:textId="77777777" w:rsidR="00BA4256" w:rsidRDefault="00BA4256">
                          <w:pPr>
                            <w:rPr>
                              <w:b/>
                              <w:sz w:val="16"/>
                            </w:rPr>
                          </w:pPr>
                          <w:r>
                            <w:rPr>
                              <w:rFonts w:hint="eastAsia"/>
                              <w:b/>
                              <w:sz w:val="20"/>
                            </w:rPr>
                            <w:t>Q</w:t>
                          </w:r>
                        </w:p>
                        <w:p w14:paraId="7BED2DF3" w14:textId="77777777" w:rsidR="00BA4256" w:rsidRDefault="00BA4256">
                          <w:pPr>
                            <w:rPr>
                              <w:b/>
                              <w:sz w:val="10"/>
                            </w:rPr>
                          </w:pPr>
                        </w:p>
                        <w:p w14:paraId="5508C547" w14:textId="77777777" w:rsidR="00BA4256" w:rsidRDefault="00BA4256">
                          <w:pPr>
                            <w:rPr>
                              <w:b/>
                              <w:sz w:val="16"/>
                            </w:rPr>
                          </w:pPr>
                        </w:p>
                        <w:p w14:paraId="4C851453" w14:textId="77777777" w:rsidR="00BA4256" w:rsidRDefault="00BA4256">
                          <w:pPr>
                            <w:rPr>
                              <w:b/>
                              <w:sz w:val="16"/>
                            </w:rPr>
                          </w:pPr>
                        </w:p>
                        <w:p w14:paraId="2869A4B2" w14:textId="77777777" w:rsidR="00BA4256" w:rsidRDefault="00BA4256">
                          <w:pPr>
                            <w:rPr>
                              <w:b/>
                              <w:sz w:val="16"/>
                            </w:rPr>
                          </w:pPr>
                          <w:r>
                            <w:rPr>
                              <w:rFonts w:hint="eastAsia"/>
                              <w:b/>
                              <w:sz w:val="20"/>
                            </w:rPr>
                            <w:t>R</w:t>
                          </w:r>
                        </w:p>
                        <w:p w14:paraId="77E013C2" w14:textId="77777777" w:rsidR="00BA4256" w:rsidRDefault="00BA4256">
                          <w:pPr>
                            <w:rPr>
                              <w:b/>
                              <w:sz w:val="10"/>
                            </w:rPr>
                          </w:pPr>
                        </w:p>
                        <w:p w14:paraId="6A62E42C" w14:textId="77777777" w:rsidR="00BA4256" w:rsidRDefault="00BA4256">
                          <w:pPr>
                            <w:rPr>
                              <w:b/>
                              <w:sz w:val="16"/>
                            </w:rPr>
                          </w:pPr>
                        </w:p>
                        <w:p w14:paraId="6ED85EFF" w14:textId="77777777" w:rsidR="00BA4256" w:rsidRDefault="00BA4256">
                          <w:pPr>
                            <w:rPr>
                              <w:b/>
                              <w:sz w:val="16"/>
                            </w:rPr>
                          </w:pPr>
                        </w:p>
                        <w:p w14:paraId="7DC155DE" w14:textId="77777777" w:rsidR="00BA4256" w:rsidRDefault="00BA4256">
                          <w:pPr>
                            <w:rPr>
                              <w:b/>
                              <w:sz w:val="16"/>
                            </w:rPr>
                          </w:pPr>
                          <w:r>
                            <w:rPr>
                              <w:rFonts w:hint="eastAsia"/>
                              <w:b/>
                              <w:sz w:val="20"/>
                            </w:rPr>
                            <w:t>S</w:t>
                          </w:r>
                        </w:p>
                        <w:p w14:paraId="7D0821F3" w14:textId="77777777" w:rsidR="00BA4256" w:rsidRDefault="00BA4256">
                          <w:pPr>
                            <w:rPr>
                              <w:b/>
                              <w:sz w:val="10"/>
                            </w:rPr>
                          </w:pPr>
                        </w:p>
                        <w:p w14:paraId="3C0B74AB" w14:textId="77777777" w:rsidR="00BA4256" w:rsidRDefault="00BA4256">
                          <w:pPr>
                            <w:rPr>
                              <w:b/>
                              <w:sz w:val="16"/>
                            </w:rPr>
                          </w:pPr>
                        </w:p>
                        <w:p w14:paraId="1E8794AC" w14:textId="77777777" w:rsidR="00BA4256" w:rsidRDefault="00BA4256">
                          <w:pPr>
                            <w:rPr>
                              <w:b/>
                              <w:sz w:val="16"/>
                            </w:rPr>
                          </w:pPr>
                        </w:p>
                        <w:p w14:paraId="525F4813" w14:textId="77777777" w:rsidR="00BA4256" w:rsidRDefault="00BA4256">
                          <w:pPr>
                            <w:rPr>
                              <w:b/>
                              <w:sz w:val="16"/>
                            </w:rPr>
                          </w:pPr>
                          <w:r>
                            <w:rPr>
                              <w:rFonts w:hint="eastAsia"/>
                              <w:b/>
                              <w:sz w:val="20"/>
                            </w:rPr>
                            <w:t>T</w:t>
                          </w:r>
                        </w:p>
                        <w:p w14:paraId="2C5CE695" w14:textId="77777777" w:rsidR="00BA4256" w:rsidRDefault="00BA4256">
                          <w:pPr>
                            <w:rPr>
                              <w:b/>
                              <w:sz w:val="10"/>
                            </w:rPr>
                          </w:pPr>
                        </w:p>
                        <w:p w14:paraId="0306A844" w14:textId="77777777" w:rsidR="00BA4256" w:rsidRDefault="00BA4256">
                          <w:pPr>
                            <w:rPr>
                              <w:b/>
                              <w:sz w:val="16"/>
                            </w:rPr>
                          </w:pPr>
                        </w:p>
                        <w:p w14:paraId="3171ECC8" w14:textId="77777777" w:rsidR="00BA4256" w:rsidRDefault="00BA4256">
                          <w:pPr>
                            <w:rPr>
                              <w:b/>
                              <w:sz w:val="16"/>
                            </w:rPr>
                          </w:pPr>
                        </w:p>
                        <w:p w14:paraId="7A957159" w14:textId="77777777" w:rsidR="00BA4256" w:rsidRDefault="00BA4256">
                          <w:pPr>
                            <w:rPr>
                              <w:b/>
                              <w:sz w:val="16"/>
                            </w:rPr>
                          </w:pPr>
                          <w:r>
                            <w:rPr>
                              <w:rFonts w:hint="eastAsia"/>
                              <w:b/>
                              <w:sz w:val="20"/>
                            </w:rPr>
                            <w:t>U</w:t>
                          </w:r>
                        </w:p>
                        <w:p w14:paraId="522A591E" w14:textId="77777777" w:rsidR="00BA4256" w:rsidRDefault="00BA4256">
                          <w:pPr>
                            <w:rPr>
                              <w:b/>
                              <w:sz w:val="10"/>
                            </w:rPr>
                          </w:pPr>
                        </w:p>
                        <w:p w14:paraId="3DA9C26B" w14:textId="77777777" w:rsidR="00BA4256" w:rsidRDefault="00BA4256">
                          <w:pPr>
                            <w:rPr>
                              <w:b/>
                              <w:sz w:val="16"/>
                            </w:rPr>
                          </w:pPr>
                        </w:p>
                        <w:p w14:paraId="349459A4" w14:textId="77777777" w:rsidR="00BA4256" w:rsidRDefault="00BA4256">
                          <w:pPr>
                            <w:rPr>
                              <w:b/>
                              <w:sz w:val="16"/>
                            </w:rPr>
                          </w:pPr>
                        </w:p>
                        <w:p w14:paraId="3A3FA918" w14:textId="77777777" w:rsidR="00BA4256" w:rsidRDefault="00BA425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6B43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14:paraId="3911F495" w14:textId="77777777" w:rsidR="00BA4256" w:rsidRDefault="00BA4256">
                    <w:pPr>
                      <w:rPr>
                        <w:b/>
                        <w:sz w:val="20"/>
                      </w:rPr>
                    </w:pPr>
                    <w:r>
                      <w:rPr>
                        <w:rFonts w:hint="eastAsia"/>
                        <w:b/>
                        <w:sz w:val="20"/>
                      </w:rPr>
                      <w:t>A</w:t>
                    </w:r>
                  </w:p>
                  <w:p w14:paraId="00E0B7AC" w14:textId="77777777" w:rsidR="00BA4256" w:rsidRDefault="00BA4256">
                    <w:pPr>
                      <w:rPr>
                        <w:b/>
                        <w:sz w:val="10"/>
                      </w:rPr>
                    </w:pPr>
                  </w:p>
                  <w:p w14:paraId="47F3048C" w14:textId="77777777" w:rsidR="00BA4256" w:rsidRDefault="00BA4256">
                    <w:pPr>
                      <w:rPr>
                        <w:b/>
                        <w:sz w:val="16"/>
                      </w:rPr>
                    </w:pPr>
                  </w:p>
                  <w:p w14:paraId="51023824" w14:textId="77777777" w:rsidR="00BA4256" w:rsidRDefault="00BA4256">
                    <w:pPr>
                      <w:rPr>
                        <w:b/>
                        <w:sz w:val="16"/>
                      </w:rPr>
                    </w:pPr>
                  </w:p>
                  <w:p w14:paraId="5D3094BE" w14:textId="77777777" w:rsidR="00BA4256" w:rsidRDefault="00BA4256">
                    <w:pPr>
                      <w:rPr>
                        <w:b/>
                        <w:sz w:val="20"/>
                      </w:rPr>
                    </w:pPr>
                    <w:r>
                      <w:rPr>
                        <w:rFonts w:hint="eastAsia"/>
                        <w:b/>
                        <w:sz w:val="20"/>
                      </w:rPr>
                      <w:t>B</w:t>
                    </w:r>
                  </w:p>
                  <w:p w14:paraId="2BC72ACC" w14:textId="77777777" w:rsidR="00BA4256" w:rsidRDefault="00BA4256">
                    <w:pPr>
                      <w:rPr>
                        <w:b/>
                        <w:sz w:val="10"/>
                      </w:rPr>
                    </w:pPr>
                  </w:p>
                  <w:p w14:paraId="12C18B8F" w14:textId="77777777" w:rsidR="00BA4256" w:rsidRDefault="00BA4256">
                    <w:pPr>
                      <w:rPr>
                        <w:b/>
                        <w:sz w:val="16"/>
                      </w:rPr>
                    </w:pPr>
                  </w:p>
                  <w:p w14:paraId="2613B050" w14:textId="77777777" w:rsidR="00BA4256" w:rsidRDefault="00BA4256">
                    <w:pPr>
                      <w:rPr>
                        <w:b/>
                        <w:sz w:val="16"/>
                      </w:rPr>
                    </w:pPr>
                  </w:p>
                  <w:p w14:paraId="5C5FABDA" w14:textId="77777777" w:rsidR="00BA4256" w:rsidRDefault="00BA4256">
                    <w:pPr>
                      <w:rPr>
                        <w:b/>
                        <w:sz w:val="16"/>
                      </w:rPr>
                    </w:pPr>
                    <w:r>
                      <w:rPr>
                        <w:rFonts w:hint="eastAsia"/>
                        <w:b/>
                        <w:sz w:val="20"/>
                      </w:rPr>
                      <w:t>C</w:t>
                    </w:r>
                  </w:p>
                  <w:p w14:paraId="5D50AC46" w14:textId="77777777" w:rsidR="00BA4256" w:rsidRDefault="00BA4256">
                    <w:pPr>
                      <w:rPr>
                        <w:b/>
                        <w:sz w:val="10"/>
                      </w:rPr>
                    </w:pPr>
                  </w:p>
                  <w:p w14:paraId="7AEDF0B6" w14:textId="77777777" w:rsidR="00BA4256" w:rsidRDefault="00BA4256">
                    <w:pPr>
                      <w:rPr>
                        <w:b/>
                        <w:sz w:val="16"/>
                      </w:rPr>
                    </w:pPr>
                  </w:p>
                  <w:p w14:paraId="15387CEB" w14:textId="77777777" w:rsidR="00BA4256" w:rsidRDefault="00BA4256">
                    <w:pPr>
                      <w:rPr>
                        <w:b/>
                        <w:sz w:val="16"/>
                      </w:rPr>
                    </w:pPr>
                  </w:p>
                  <w:p w14:paraId="331CEE28" w14:textId="77777777" w:rsidR="00BA4256" w:rsidRDefault="00BA4256">
                    <w:pPr>
                      <w:pStyle w:val="Heading2"/>
                      <w:rPr>
                        <w:sz w:val="16"/>
                      </w:rPr>
                    </w:pPr>
                    <w:r>
                      <w:rPr>
                        <w:rFonts w:hint="eastAsia"/>
                      </w:rPr>
                      <w:t>D</w:t>
                    </w:r>
                  </w:p>
                  <w:p w14:paraId="77E94381" w14:textId="77777777" w:rsidR="00BA4256" w:rsidRDefault="00BA4256">
                    <w:pPr>
                      <w:rPr>
                        <w:b/>
                        <w:sz w:val="10"/>
                      </w:rPr>
                    </w:pPr>
                  </w:p>
                  <w:p w14:paraId="4ACF96EF" w14:textId="77777777" w:rsidR="00BA4256" w:rsidRDefault="00BA4256">
                    <w:pPr>
                      <w:rPr>
                        <w:b/>
                        <w:sz w:val="16"/>
                      </w:rPr>
                    </w:pPr>
                  </w:p>
                  <w:p w14:paraId="18DE3E65" w14:textId="77777777" w:rsidR="00BA4256" w:rsidRDefault="00BA4256">
                    <w:pPr>
                      <w:rPr>
                        <w:b/>
                        <w:sz w:val="16"/>
                      </w:rPr>
                    </w:pPr>
                  </w:p>
                  <w:p w14:paraId="210C6DED" w14:textId="77777777" w:rsidR="00BA4256" w:rsidRDefault="00BA4256">
                    <w:pPr>
                      <w:rPr>
                        <w:b/>
                        <w:sz w:val="16"/>
                      </w:rPr>
                    </w:pPr>
                    <w:r>
                      <w:rPr>
                        <w:rFonts w:hint="eastAsia"/>
                        <w:b/>
                        <w:sz w:val="20"/>
                      </w:rPr>
                      <w:t>E</w:t>
                    </w:r>
                  </w:p>
                  <w:p w14:paraId="74E1F0A4" w14:textId="77777777" w:rsidR="00BA4256" w:rsidRDefault="00BA4256">
                    <w:pPr>
                      <w:rPr>
                        <w:b/>
                        <w:sz w:val="10"/>
                      </w:rPr>
                    </w:pPr>
                  </w:p>
                  <w:p w14:paraId="1AD9B1BA" w14:textId="77777777" w:rsidR="00BA4256" w:rsidRDefault="00BA4256">
                    <w:pPr>
                      <w:rPr>
                        <w:b/>
                        <w:sz w:val="16"/>
                      </w:rPr>
                    </w:pPr>
                  </w:p>
                  <w:p w14:paraId="2C83E0A6" w14:textId="77777777" w:rsidR="00BA4256" w:rsidRDefault="00BA4256">
                    <w:pPr>
                      <w:rPr>
                        <w:b/>
                        <w:sz w:val="16"/>
                      </w:rPr>
                    </w:pPr>
                  </w:p>
                  <w:p w14:paraId="5A4DFCFF" w14:textId="77777777" w:rsidR="00BA4256" w:rsidRDefault="00BA4256">
                    <w:pPr>
                      <w:rPr>
                        <w:b/>
                        <w:sz w:val="20"/>
                      </w:rPr>
                    </w:pPr>
                    <w:r>
                      <w:rPr>
                        <w:rFonts w:hint="eastAsia"/>
                        <w:b/>
                        <w:sz w:val="20"/>
                      </w:rPr>
                      <w:t>F</w:t>
                    </w:r>
                  </w:p>
                  <w:p w14:paraId="7CEFA16B" w14:textId="77777777" w:rsidR="00BA4256" w:rsidRDefault="00BA4256">
                    <w:pPr>
                      <w:rPr>
                        <w:b/>
                        <w:sz w:val="10"/>
                      </w:rPr>
                    </w:pPr>
                  </w:p>
                  <w:p w14:paraId="10107D76" w14:textId="77777777" w:rsidR="00BA4256" w:rsidRDefault="00BA4256">
                    <w:pPr>
                      <w:rPr>
                        <w:b/>
                        <w:sz w:val="16"/>
                      </w:rPr>
                    </w:pPr>
                  </w:p>
                  <w:p w14:paraId="63A9C772" w14:textId="77777777" w:rsidR="00BA4256" w:rsidRDefault="00BA4256">
                    <w:pPr>
                      <w:rPr>
                        <w:b/>
                        <w:sz w:val="16"/>
                      </w:rPr>
                    </w:pPr>
                  </w:p>
                  <w:p w14:paraId="0355475F" w14:textId="77777777" w:rsidR="00BA4256" w:rsidRDefault="00BA4256">
                    <w:pPr>
                      <w:rPr>
                        <w:b/>
                        <w:sz w:val="16"/>
                      </w:rPr>
                    </w:pPr>
                    <w:r>
                      <w:rPr>
                        <w:rFonts w:hint="eastAsia"/>
                        <w:b/>
                        <w:sz w:val="20"/>
                      </w:rPr>
                      <w:t>G</w:t>
                    </w:r>
                  </w:p>
                  <w:p w14:paraId="799FAAA6" w14:textId="77777777" w:rsidR="00BA4256" w:rsidRDefault="00BA4256">
                    <w:pPr>
                      <w:rPr>
                        <w:b/>
                        <w:sz w:val="10"/>
                      </w:rPr>
                    </w:pPr>
                  </w:p>
                  <w:p w14:paraId="7D62A9C6" w14:textId="77777777" w:rsidR="00BA4256" w:rsidRDefault="00BA4256">
                    <w:pPr>
                      <w:rPr>
                        <w:b/>
                        <w:sz w:val="16"/>
                      </w:rPr>
                    </w:pPr>
                  </w:p>
                  <w:p w14:paraId="4D18116E" w14:textId="77777777" w:rsidR="00BA4256" w:rsidRDefault="00BA4256">
                    <w:pPr>
                      <w:rPr>
                        <w:b/>
                        <w:sz w:val="16"/>
                      </w:rPr>
                    </w:pPr>
                  </w:p>
                  <w:p w14:paraId="2F619695" w14:textId="77777777" w:rsidR="00BA4256" w:rsidRDefault="00BA4256">
                    <w:pPr>
                      <w:rPr>
                        <w:b/>
                        <w:sz w:val="16"/>
                      </w:rPr>
                    </w:pPr>
                    <w:r>
                      <w:rPr>
                        <w:rFonts w:hint="eastAsia"/>
                        <w:b/>
                        <w:sz w:val="20"/>
                      </w:rPr>
                      <w:t>H</w:t>
                    </w:r>
                  </w:p>
                  <w:p w14:paraId="4DDAA200" w14:textId="77777777" w:rsidR="00BA4256" w:rsidRDefault="00BA4256">
                    <w:pPr>
                      <w:rPr>
                        <w:b/>
                        <w:sz w:val="10"/>
                      </w:rPr>
                    </w:pPr>
                  </w:p>
                  <w:p w14:paraId="5785CBF7" w14:textId="77777777" w:rsidR="00BA4256" w:rsidRDefault="00BA4256">
                    <w:pPr>
                      <w:rPr>
                        <w:b/>
                        <w:sz w:val="16"/>
                      </w:rPr>
                    </w:pPr>
                  </w:p>
                  <w:p w14:paraId="42EEA722" w14:textId="77777777" w:rsidR="00BA4256" w:rsidRDefault="00BA4256">
                    <w:pPr>
                      <w:rPr>
                        <w:b/>
                        <w:sz w:val="16"/>
                      </w:rPr>
                    </w:pPr>
                  </w:p>
                  <w:p w14:paraId="588EAC7A" w14:textId="77777777" w:rsidR="00BA4256" w:rsidRDefault="00BA4256">
                    <w:pPr>
                      <w:rPr>
                        <w:b/>
                        <w:sz w:val="16"/>
                      </w:rPr>
                    </w:pPr>
                    <w:r>
                      <w:rPr>
                        <w:rFonts w:hint="eastAsia"/>
                        <w:b/>
                        <w:sz w:val="20"/>
                      </w:rPr>
                      <w:t>I</w:t>
                    </w:r>
                  </w:p>
                  <w:p w14:paraId="747B9816" w14:textId="77777777" w:rsidR="00BA4256" w:rsidRDefault="00BA4256">
                    <w:pPr>
                      <w:rPr>
                        <w:b/>
                        <w:sz w:val="10"/>
                      </w:rPr>
                    </w:pPr>
                  </w:p>
                  <w:p w14:paraId="4486870B" w14:textId="77777777" w:rsidR="00BA4256" w:rsidRDefault="00BA4256">
                    <w:pPr>
                      <w:rPr>
                        <w:b/>
                        <w:sz w:val="16"/>
                      </w:rPr>
                    </w:pPr>
                  </w:p>
                  <w:p w14:paraId="77F77EFE" w14:textId="77777777" w:rsidR="00BA4256" w:rsidRDefault="00BA4256">
                    <w:pPr>
                      <w:rPr>
                        <w:b/>
                        <w:sz w:val="16"/>
                      </w:rPr>
                    </w:pPr>
                  </w:p>
                  <w:p w14:paraId="6CCFD9D8" w14:textId="77777777" w:rsidR="00BA4256" w:rsidRDefault="00BA4256">
                    <w:pPr>
                      <w:rPr>
                        <w:b/>
                        <w:sz w:val="16"/>
                      </w:rPr>
                    </w:pPr>
                    <w:r>
                      <w:rPr>
                        <w:rFonts w:hint="eastAsia"/>
                        <w:b/>
                        <w:sz w:val="20"/>
                      </w:rPr>
                      <w:t>J</w:t>
                    </w:r>
                  </w:p>
                  <w:p w14:paraId="7CE5322B" w14:textId="77777777" w:rsidR="00BA4256" w:rsidRDefault="00BA4256">
                    <w:pPr>
                      <w:rPr>
                        <w:b/>
                        <w:sz w:val="10"/>
                      </w:rPr>
                    </w:pPr>
                  </w:p>
                  <w:p w14:paraId="7FC2A1D0" w14:textId="77777777" w:rsidR="00BA4256" w:rsidRDefault="00BA4256">
                    <w:pPr>
                      <w:rPr>
                        <w:b/>
                        <w:sz w:val="16"/>
                      </w:rPr>
                    </w:pPr>
                  </w:p>
                  <w:p w14:paraId="68C6B50D" w14:textId="77777777" w:rsidR="00BA4256" w:rsidRDefault="00BA4256">
                    <w:pPr>
                      <w:rPr>
                        <w:b/>
                        <w:sz w:val="16"/>
                      </w:rPr>
                    </w:pPr>
                  </w:p>
                  <w:p w14:paraId="2A1CA3BE" w14:textId="77777777" w:rsidR="00BA4256" w:rsidRDefault="00BA4256">
                    <w:pPr>
                      <w:rPr>
                        <w:b/>
                        <w:sz w:val="16"/>
                      </w:rPr>
                    </w:pPr>
                    <w:r>
                      <w:rPr>
                        <w:rFonts w:hint="eastAsia"/>
                        <w:b/>
                        <w:sz w:val="20"/>
                      </w:rPr>
                      <w:t>K</w:t>
                    </w:r>
                  </w:p>
                  <w:p w14:paraId="27C278B5" w14:textId="77777777" w:rsidR="00BA4256" w:rsidRDefault="00BA4256">
                    <w:pPr>
                      <w:rPr>
                        <w:b/>
                        <w:sz w:val="10"/>
                      </w:rPr>
                    </w:pPr>
                  </w:p>
                  <w:p w14:paraId="6A9D7292" w14:textId="77777777" w:rsidR="00BA4256" w:rsidRDefault="00BA4256">
                    <w:pPr>
                      <w:rPr>
                        <w:b/>
                        <w:sz w:val="16"/>
                      </w:rPr>
                    </w:pPr>
                  </w:p>
                  <w:p w14:paraId="35413B6F" w14:textId="77777777" w:rsidR="00BA4256" w:rsidRDefault="00BA4256">
                    <w:pPr>
                      <w:rPr>
                        <w:b/>
                        <w:sz w:val="16"/>
                      </w:rPr>
                    </w:pPr>
                  </w:p>
                  <w:p w14:paraId="2291D67C" w14:textId="77777777" w:rsidR="00BA4256" w:rsidRDefault="00BA4256">
                    <w:pPr>
                      <w:rPr>
                        <w:b/>
                        <w:sz w:val="16"/>
                      </w:rPr>
                    </w:pPr>
                    <w:r>
                      <w:rPr>
                        <w:rFonts w:hint="eastAsia"/>
                        <w:b/>
                        <w:sz w:val="20"/>
                      </w:rPr>
                      <w:t>L</w:t>
                    </w:r>
                  </w:p>
                  <w:p w14:paraId="4FDE1F9F" w14:textId="77777777" w:rsidR="00BA4256" w:rsidRDefault="00BA4256">
                    <w:pPr>
                      <w:rPr>
                        <w:b/>
                        <w:sz w:val="10"/>
                      </w:rPr>
                    </w:pPr>
                  </w:p>
                  <w:p w14:paraId="17700908" w14:textId="77777777" w:rsidR="00BA4256" w:rsidRDefault="00BA4256">
                    <w:pPr>
                      <w:rPr>
                        <w:b/>
                        <w:sz w:val="16"/>
                      </w:rPr>
                    </w:pPr>
                  </w:p>
                  <w:p w14:paraId="40172B75" w14:textId="77777777" w:rsidR="00BA4256" w:rsidRDefault="00BA4256">
                    <w:pPr>
                      <w:rPr>
                        <w:b/>
                        <w:sz w:val="16"/>
                      </w:rPr>
                    </w:pPr>
                  </w:p>
                  <w:p w14:paraId="53EB0025" w14:textId="77777777" w:rsidR="00BA4256" w:rsidRDefault="00BA4256">
                    <w:pPr>
                      <w:rPr>
                        <w:b/>
                        <w:sz w:val="16"/>
                      </w:rPr>
                    </w:pPr>
                    <w:r>
                      <w:rPr>
                        <w:rFonts w:hint="eastAsia"/>
                        <w:b/>
                        <w:sz w:val="20"/>
                      </w:rPr>
                      <w:t>M</w:t>
                    </w:r>
                  </w:p>
                  <w:p w14:paraId="797160B5" w14:textId="77777777" w:rsidR="00BA4256" w:rsidRDefault="00BA4256">
                    <w:pPr>
                      <w:rPr>
                        <w:b/>
                        <w:sz w:val="10"/>
                      </w:rPr>
                    </w:pPr>
                  </w:p>
                  <w:p w14:paraId="0D97F4B8" w14:textId="77777777" w:rsidR="00BA4256" w:rsidRDefault="00BA4256">
                    <w:pPr>
                      <w:rPr>
                        <w:b/>
                        <w:sz w:val="16"/>
                      </w:rPr>
                    </w:pPr>
                  </w:p>
                  <w:p w14:paraId="1993FF27" w14:textId="77777777" w:rsidR="00BA4256" w:rsidRDefault="00BA4256">
                    <w:pPr>
                      <w:rPr>
                        <w:b/>
                        <w:sz w:val="16"/>
                      </w:rPr>
                    </w:pPr>
                  </w:p>
                  <w:p w14:paraId="5DB03982" w14:textId="77777777" w:rsidR="00BA4256" w:rsidRDefault="00BA4256">
                    <w:pPr>
                      <w:rPr>
                        <w:b/>
                        <w:sz w:val="16"/>
                      </w:rPr>
                    </w:pPr>
                    <w:r>
                      <w:rPr>
                        <w:rFonts w:hint="eastAsia"/>
                        <w:b/>
                        <w:sz w:val="20"/>
                      </w:rPr>
                      <w:t>N</w:t>
                    </w:r>
                  </w:p>
                  <w:p w14:paraId="4C9B0EDC" w14:textId="77777777" w:rsidR="00BA4256" w:rsidRDefault="00BA4256">
                    <w:pPr>
                      <w:rPr>
                        <w:b/>
                        <w:sz w:val="10"/>
                      </w:rPr>
                    </w:pPr>
                  </w:p>
                  <w:p w14:paraId="7395F791" w14:textId="77777777" w:rsidR="00BA4256" w:rsidRDefault="00BA4256">
                    <w:pPr>
                      <w:rPr>
                        <w:b/>
                        <w:sz w:val="16"/>
                      </w:rPr>
                    </w:pPr>
                  </w:p>
                  <w:p w14:paraId="5B477A39" w14:textId="77777777" w:rsidR="00BA4256" w:rsidRDefault="00BA4256">
                    <w:pPr>
                      <w:rPr>
                        <w:b/>
                        <w:sz w:val="16"/>
                      </w:rPr>
                    </w:pPr>
                  </w:p>
                  <w:p w14:paraId="6028C2FC" w14:textId="77777777" w:rsidR="00BA4256" w:rsidRDefault="00BA4256">
                    <w:pPr>
                      <w:rPr>
                        <w:b/>
                        <w:sz w:val="16"/>
                      </w:rPr>
                    </w:pPr>
                    <w:r>
                      <w:rPr>
                        <w:rFonts w:hint="eastAsia"/>
                        <w:b/>
                        <w:sz w:val="20"/>
                      </w:rPr>
                      <w:t>O</w:t>
                    </w:r>
                  </w:p>
                  <w:p w14:paraId="16CD1511" w14:textId="77777777" w:rsidR="00BA4256" w:rsidRDefault="00BA4256">
                    <w:pPr>
                      <w:rPr>
                        <w:b/>
                        <w:sz w:val="10"/>
                      </w:rPr>
                    </w:pPr>
                  </w:p>
                  <w:p w14:paraId="54ADE6A5" w14:textId="77777777" w:rsidR="00BA4256" w:rsidRDefault="00BA4256">
                    <w:pPr>
                      <w:rPr>
                        <w:b/>
                        <w:sz w:val="16"/>
                      </w:rPr>
                    </w:pPr>
                  </w:p>
                  <w:p w14:paraId="2E762DFF" w14:textId="77777777" w:rsidR="00BA4256" w:rsidRDefault="00BA4256">
                    <w:pPr>
                      <w:rPr>
                        <w:b/>
                        <w:sz w:val="16"/>
                      </w:rPr>
                    </w:pPr>
                  </w:p>
                  <w:p w14:paraId="06CF5240" w14:textId="77777777" w:rsidR="00BA4256" w:rsidRDefault="00BA4256">
                    <w:pPr>
                      <w:rPr>
                        <w:b/>
                        <w:sz w:val="16"/>
                      </w:rPr>
                    </w:pPr>
                    <w:r>
                      <w:rPr>
                        <w:rFonts w:hint="eastAsia"/>
                        <w:b/>
                        <w:sz w:val="20"/>
                      </w:rPr>
                      <w:t>P</w:t>
                    </w:r>
                  </w:p>
                  <w:p w14:paraId="5A932715" w14:textId="77777777" w:rsidR="00BA4256" w:rsidRDefault="00BA4256">
                    <w:pPr>
                      <w:rPr>
                        <w:b/>
                        <w:sz w:val="10"/>
                      </w:rPr>
                    </w:pPr>
                  </w:p>
                  <w:p w14:paraId="5A4F358E" w14:textId="77777777" w:rsidR="00BA4256" w:rsidRDefault="00BA4256">
                    <w:pPr>
                      <w:rPr>
                        <w:b/>
                        <w:sz w:val="16"/>
                      </w:rPr>
                    </w:pPr>
                  </w:p>
                  <w:p w14:paraId="2BC67C20" w14:textId="77777777" w:rsidR="00BA4256" w:rsidRDefault="00BA4256">
                    <w:pPr>
                      <w:rPr>
                        <w:b/>
                        <w:sz w:val="16"/>
                      </w:rPr>
                    </w:pPr>
                  </w:p>
                  <w:p w14:paraId="7894B4E8" w14:textId="77777777" w:rsidR="00BA4256" w:rsidRDefault="00BA4256">
                    <w:pPr>
                      <w:rPr>
                        <w:b/>
                        <w:sz w:val="16"/>
                      </w:rPr>
                    </w:pPr>
                    <w:r>
                      <w:rPr>
                        <w:rFonts w:hint="eastAsia"/>
                        <w:b/>
                        <w:sz w:val="20"/>
                      </w:rPr>
                      <w:t>Q</w:t>
                    </w:r>
                  </w:p>
                  <w:p w14:paraId="7BED2DF3" w14:textId="77777777" w:rsidR="00BA4256" w:rsidRDefault="00BA4256">
                    <w:pPr>
                      <w:rPr>
                        <w:b/>
                        <w:sz w:val="10"/>
                      </w:rPr>
                    </w:pPr>
                  </w:p>
                  <w:p w14:paraId="5508C547" w14:textId="77777777" w:rsidR="00BA4256" w:rsidRDefault="00BA4256">
                    <w:pPr>
                      <w:rPr>
                        <w:b/>
                        <w:sz w:val="16"/>
                      </w:rPr>
                    </w:pPr>
                  </w:p>
                  <w:p w14:paraId="4C851453" w14:textId="77777777" w:rsidR="00BA4256" w:rsidRDefault="00BA4256">
                    <w:pPr>
                      <w:rPr>
                        <w:b/>
                        <w:sz w:val="16"/>
                      </w:rPr>
                    </w:pPr>
                  </w:p>
                  <w:p w14:paraId="2869A4B2" w14:textId="77777777" w:rsidR="00BA4256" w:rsidRDefault="00BA4256">
                    <w:pPr>
                      <w:rPr>
                        <w:b/>
                        <w:sz w:val="16"/>
                      </w:rPr>
                    </w:pPr>
                    <w:r>
                      <w:rPr>
                        <w:rFonts w:hint="eastAsia"/>
                        <w:b/>
                        <w:sz w:val="20"/>
                      </w:rPr>
                      <w:t>R</w:t>
                    </w:r>
                  </w:p>
                  <w:p w14:paraId="77E013C2" w14:textId="77777777" w:rsidR="00BA4256" w:rsidRDefault="00BA4256">
                    <w:pPr>
                      <w:rPr>
                        <w:b/>
                        <w:sz w:val="10"/>
                      </w:rPr>
                    </w:pPr>
                  </w:p>
                  <w:p w14:paraId="6A62E42C" w14:textId="77777777" w:rsidR="00BA4256" w:rsidRDefault="00BA4256">
                    <w:pPr>
                      <w:rPr>
                        <w:b/>
                        <w:sz w:val="16"/>
                      </w:rPr>
                    </w:pPr>
                  </w:p>
                  <w:p w14:paraId="6ED85EFF" w14:textId="77777777" w:rsidR="00BA4256" w:rsidRDefault="00BA4256">
                    <w:pPr>
                      <w:rPr>
                        <w:b/>
                        <w:sz w:val="16"/>
                      </w:rPr>
                    </w:pPr>
                  </w:p>
                  <w:p w14:paraId="7DC155DE" w14:textId="77777777" w:rsidR="00BA4256" w:rsidRDefault="00BA4256">
                    <w:pPr>
                      <w:rPr>
                        <w:b/>
                        <w:sz w:val="16"/>
                      </w:rPr>
                    </w:pPr>
                    <w:r>
                      <w:rPr>
                        <w:rFonts w:hint="eastAsia"/>
                        <w:b/>
                        <w:sz w:val="20"/>
                      </w:rPr>
                      <w:t>S</w:t>
                    </w:r>
                  </w:p>
                  <w:p w14:paraId="7D0821F3" w14:textId="77777777" w:rsidR="00BA4256" w:rsidRDefault="00BA4256">
                    <w:pPr>
                      <w:rPr>
                        <w:b/>
                        <w:sz w:val="10"/>
                      </w:rPr>
                    </w:pPr>
                  </w:p>
                  <w:p w14:paraId="3C0B74AB" w14:textId="77777777" w:rsidR="00BA4256" w:rsidRDefault="00BA4256">
                    <w:pPr>
                      <w:rPr>
                        <w:b/>
                        <w:sz w:val="16"/>
                      </w:rPr>
                    </w:pPr>
                  </w:p>
                  <w:p w14:paraId="1E8794AC" w14:textId="77777777" w:rsidR="00BA4256" w:rsidRDefault="00BA4256">
                    <w:pPr>
                      <w:rPr>
                        <w:b/>
                        <w:sz w:val="16"/>
                      </w:rPr>
                    </w:pPr>
                  </w:p>
                  <w:p w14:paraId="525F4813" w14:textId="77777777" w:rsidR="00BA4256" w:rsidRDefault="00BA4256">
                    <w:pPr>
                      <w:rPr>
                        <w:b/>
                        <w:sz w:val="16"/>
                      </w:rPr>
                    </w:pPr>
                    <w:r>
                      <w:rPr>
                        <w:rFonts w:hint="eastAsia"/>
                        <w:b/>
                        <w:sz w:val="20"/>
                      </w:rPr>
                      <w:t>T</w:t>
                    </w:r>
                  </w:p>
                  <w:p w14:paraId="2C5CE695" w14:textId="77777777" w:rsidR="00BA4256" w:rsidRDefault="00BA4256">
                    <w:pPr>
                      <w:rPr>
                        <w:b/>
                        <w:sz w:val="10"/>
                      </w:rPr>
                    </w:pPr>
                  </w:p>
                  <w:p w14:paraId="0306A844" w14:textId="77777777" w:rsidR="00BA4256" w:rsidRDefault="00BA4256">
                    <w:pPr>
                      <w:rPr>
                        <w:b/>
                        <w:sz w:val="16"/>
                      </w:rPr>
                    </w:pPr>
                  </w:p>
                  <w:p w14:paraId="3171ECC8" w14:textId="77777777" w:rsidR="00BA4256" w:rsidRDefault="00BA4256">
                    <w:pPr>
                      <w:rPr>
                        <w:b/>
                        <w:sz w:val="16"/>
                      </w:rPr>
                    </w:pPr>
                  </w:p>
                  <w:p w14:paraId="7A957159" w14:textId="77777777" w:rsidR="00BA4256" w:rsidRDefault="00BA4256">
                    <w:pPr>
                      <w:rPr>
                        <w:b/>
                        <w:sz w:val="16"/>
                      </w:rPr>
                    </w:pPr>
                    <w:r>
                      <w:rPr>
                        <w:rFonts w:hint="eastAsia"/>
                        <w:b/>
                        <w:sz w:val="20"/>
                      </w:rPr>
                      <w:t>U</w:t>
                    </w:r>
                  </w:p>
                  <w:p w14:paraId="522A591E" w14:textId="77777777" w:rsidR="00BA4256" w:rsidRDefault="00BA4256">
                    <w:pPr>
                      <w:rPr>
                        <w:b/>
                        <w:sz w:val="10"/>
                      </w:rPr>
                    </w:pPr>
                  </w:p>
                  <w:p w14:paraId="3DA9C26B" w14:textId="77777777" w:rsidR="00BA4256" w:rsidRDefault="00BA4256">
                    <w:pPr>
                      <w:rPr>
                        <w:b/>
                        <w:sz w:val="16"/>
                      </w:rPr>
                    </w:pPr>
                  </w:p>
                  <w:p w14:paraId="349459A4" w14:textId="77777777" w:rsidR="00BA4256" w:rsidRDefault="00BA4256">
                    <w:pPr>
                      <w:rPr>
                        <w:b/>
                        <w:sz w:val="16"/>
                      </w:rPr>
                    </w:pPr>
                  </w:p>
                  <w:p w14:paraId="3A3FA918" w14:textId="77777777" w:rsidR="00BA4256" w:rsidRDefault="00BA4256">
                    <w:pPr>
                      <w:pStyle w:val="Heading3"/>
                      <w:jc w:val="left"/>
                    </w:pPr>
                    <w:r>
                      <w:rPr>
                        <w:rFonts w:hint="eastAsia"/>
                      </w:rPr>
                      <w:t>V</w:t>
                    </w:r>
                  </w:p>
                </w:txbxContent>
              </v:textbox>
            </v:shape>
          </w:pict>
        </mc:Fallback>
      </mc:AlternateContent>
    </w:r>
    <w:r>
      <w:rPr>
        <w:noProof/>
        <w:sz w:val="28"/>
        <w:lang w:val="en-US"/>
      </w:rPr>
      <mc:AlternateContent>
        <mc:Choice Requires="wps">
          <w:drawing>
            <wp:anchor distT="0" distB="0" distL="114300" distR="114300" simplePos="0" relativeHeight="251660288" behindDoc="0" locked="0" layoutInCell="0" allowOverlap="1" wp14:anchorId="3CB84124" wp14:editId="03A7D507">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A62D8" w14:textId="77777777" w:rsidR="00BA4256" w:rsidRDefault="00BA4256">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84124"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14:paraId="304A62D8" w14:textId="77777777" w:rsidR="00BA4256" w:rsidRDefault="00BA4256">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9E2F3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81DB0"/>
    <w:multiLevelType w:val="hybridMultilevel"/>
    <w:tmpl w:val="5462B44A"/>
    <w:lvl w:ilvl="0" w:tplc="A8C2877C">
      <w:start w:val="1"/>
      <w:numFmt w:val="lowerLetter"/>
      <w:lvlText w:val="(%1)"/>
      <w:lvlJc w:val="left"/>
      <w:pPr>
        <w:ind w:left="1800" w:hanging="360"/>
      </w:pPr>
      <w:rPr>
        <w:rFonts w:hint="eastAsia"/>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63849E4"/>
    <w:multiLevelType w:val="hybridMultilevel"/>
    <w:tmpl w:val="A5425110"/>
    <w:lvl w:ilvl="0" w:tplc="DE84F58C">
      <w:start w:val="23"/>
      <w:numFmt w:val="decimal"/>
      <w:lvlText w:val="%1."/>
      <w:lvlJc w:val="left"/>
      <w:pPr>
        <w:ind w:left="1080" w:hanging="360"/>
      </w:pPr>
      <w:rPr>
        <w:rFonts w:eastAsia="PMingLiU"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8FE2561"/>
    <w:multiLevelType w:val="hybridMultilevel"/>
    <w:tmpl w:val="BBF401C4"/>
    <w:lvl w:ilvl="0" w:tplc="AC98F2DE">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4" w15:restartNumberingAfterBreak="0">
    <w:nsid w:val="0ADB2DE0"/>
    <w:multiLevelType w:val="hybridMultilevel"/>
    <w:tmpl w:val="2840A894"/>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F7108AF"/>
    <w:multiLevelType w:val="hybridMultilevel"/>
    <w:tmpl w:val="92B466B0"/>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9AD34B5"/>
    <w:multiLevelType w:val="hybridMultilevel"/>
    <w:tmpl w:val="1998241A"/>
    <w:lvl w:ilvl="0" w:tplc="A2400F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D22C29"/>
    <w:multiLevelType w:val="hybridMultilevel"/>
    <w:tmpl w:val="A1CA3288"/>
    <w:lvl w:ilvl="0" w:tplc="552019C2">
      <w:start w:val="1"/>
      <w:numFmt w:val="decimal"/>
      <w:lvlText w:val="(%1)"/>
      <w:lvlJc w:val="left"/>
      <w:pPr>
        <w:ind w:left="2138" w:hanging="720"/>
      </w:pPr>
      <w:rPr>
        <w:rFonts w:hint="default"/>
      </w:rPr>
    </w:lvl>
    <w:lvl w:ilvl="1" w:tplc="08090019" w:tentative="1">
      <w:start w:val="1"/>
      <w:numFmt w:val="lowerLetter"/>
      <w:lvlText w:val="%2."/>
      <w:lvlJc w:val="left"/>
      <w:pPr>
        <w:ind w:left="1778" w:hanging="360"/>
      </w:pPr>
    </w:lvl>
    <w:lvl w:ilvl="2" w:tplc="0809001B" w:tentative="1">
      <w:start w:val="1"/>
      <w:numFmt w:val="lowerRoman"/>
      <w:lvlText w:val="%3."/>
      <w:lvlJc w:val="right"/>
      <w:pPr>
        <w:ind w:left="2498" w:hanging="180"/>
      </w:pPr>
    </w:lvl>
    <w:lvl w:ilvl="3" w:tplc="0809000F" w:tentative="1">
      <w:start w:val="1"/>
      <w:numFmt w:val="decimal"/>
      <w:lvlText w:val="%4."/>
      <w:lvlJc w:val="left"/>
      <w:pPr>
        <w:ind w:left="3218" w:hanging="360"/>
      </w:pPr>
    </w:lvl>
    <w:lvl w:ilvl="4" w:tplc="08090019" w:tentative="1">
      <w:start w:val="1"/>
      <w:numFmt w:val="lowerLetter"/>
      <w:lvlText w:val="%5."/>
      <w:lvlJc w:val="left"/>
      <w:pPr>
        <w:ind w:left="3938" w:hanging="360"/>
      </w:pPr>
    </w:lvl>
    <w:lvl w:ilvl="5" w:tplc="0809001B" w:tentative="1">
      <w:start w:val="1"/>
      <w:numFmt w:val="lowerRoman"/>
      <w:lvlText w:val="%6."/>
      <w:lvlJc w:val="right"/>
      <w:pPr>
        <w:ind w:left="4658" w:hanging="180"/>
      </w:pPr>
    </w:lvl>
    <w:lvl w:ilvl="6" w:tplc="0809000F" w:tentative="1">
      <w:start w:val="1"/>
      <w:numFmt w:val="decimal"/>
      <w:lvlText w:val="%7."/>
      <w:lvlJc w:val="left"/>
      <w:pPr>
        <w:ind w:left="5378" w:hanging="360"/>
      </w:pPr>
    </w:lvl>
    <w:lvl w:ilvl="7" w:tplc="08090019" w:tentative="1">
      <w:start w:val="1"/>
      <w:numFmt w:val="lowerLetter"/>
      <w:lvlText w:val="%8."/>
      <w:lvlJc w:val="left"/>
      <w:pPr>
        <w:ind w:left="6098" w:hanging="360"/>
      </w:pPr>
    </w:lvl>
    <w:lvl w:ilvl="8" w:tplc="0809001B" w:tentative="1">
      <w:start w:val="1"/>
      <w:numFmt w:val="lowerRoman"/>
      <w:lvlText w:val="%9."/>
      <w:lvlJc w:val="right"/>
      <w:pPr>
        <w:ind w:left="6818" w:hanging="180"/>
      </w:pPr>
    </w:lvl>
  </w:abstractNum>
  <w:abstractNum w:abstractNumId="8" w15:restartNumberingAfterBreak="0">
    <w:nsid w:val="24284230"/>
    <w:multiLevelType w:val="multilevel"/>
    <w:tmpl w:val="05445A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cs="Times New Roman" w:hint="default"/>
        <w:b w:val="0"/>
        <w:i w:val="0"/>
      </w:rPr>
    </w:lvl>
    <w:lvl w:ilvl="2">
      <w:start w:val="1"/>
      <w:numFmt w:val="lowerRoman"/>
      <w:lvlText w:val="(%3)"/>
      <w:lvlJc w:val="left"/>
      <w:pPr>
        <w:tabs>
          <w:tab w:val="num" w:pos="2160"/>
        </w:tabs>
        <w:ind w:left="2160" w:hanging="720"/>
      </w:pPr>
      <w:rPr>
        <w:rFonts w:ascii="Times New Roman" w:hAnsi="Times New Roman" w:cs="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9" w15:restartNumberingAfterBreak="0">
    <w:nsid w:val="248A00E9"/>
    <w:multiLevelType w:val="hybridMultilevel"/>
    <w:tmpl w:val="4D621C16"/>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62469AB"/>
    <w:multiLevelType w:val="singleLevel"/>
    <w:tmpl w:val="5B6EE9CE"/>
    <w:lvl w:ilvl="0">
      <w:start w:val="1"/>
      <w:numFmt w:val="decimal"/>
      <w:pStyle w:val="para"/>
      <w:lvlText w:val="%1."/>
      <w:lvlJc w:val="left"/>
      <w:pPr>
        <w:tabs>
          <w:tab w:val="num" w:pos="360"/>
        </w:tabs>
      </w:pPr>
      <w:rPr>
        <w:rFonts w:hint="eastAsia"/>
      </w:rPr>
    </w:lvl>
  </w:abstractNum>
  <w:abstractNum w:abstractNumId="11"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2" w15:restartNumberingAfterBreak="0">
    <w:nsid w:val="3BC83833"/>
    <w:multiLevelType w:val="hybridMultilevel"/>
    <w:tmpl w:val="EE20E1F8"/>
    <w:lvl w:ilvl="0" w:tplc="3ECA45F6">
      <w:start w:val="1"/>
      <w:numFmt w:val="decimal"/>
      <w:lvlText w:val="(%1)"/>
      <w:lvlJc w:val="left"/>
      <w:pPr>
        <w:ind w:left="1367" w:hanging="440"/>
      </w:pPr>
      <w:rPr>
        <w:rFonts w:ascii="Times New Roman" w:eastAsia="PMingLiU" w:hAnsi="Times New Roman" w:hint="default"/>
        <w:sz w:val="28"/>
      </w:rPr>
    </w:lvl>
    <w:lvl w:ilvl="1" w:tplc="1E18FF8C">
      <w:start w:val="1"/>
      <w:numFmt w:val="decimal"/>
      <w:lvlText w:val="(%2)"/>
      <w:lvlJc w:val="left"/>
      <w:pPr>
        <w:ind w:left="1440" w:hanging="360"/>
      </w:pPr>
      <w:rPr>
        <w:rFonts w:ascii="Times New Roman" w:eastAsia="PMingLiU" w:hAnsi="Times New Roman" w:hint="default"/>
        <w:sz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45F4E"/>
    <w:multiLevelType w:val="hybridMultilevel"/>
    <w:tmpl w:val="0492C41E"/>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E3E0F00"/>
    <w:multiLevelType w:val="hybridMultilevel"/>
    <w:tmpl w:val="DCCCF882"/>
    <w:lvl w:ilvl="0" w:tplc="A5703BA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14EC29B8">
      <w:start w:val="1"/>
      <w:numFmt w:val="lowerRoman"/>
      <w:lvlText w:val="(%3)"/>
      <w:lvlJc w:val="left"/>
      <w:pPr>
        <w:ind w:left="2160" w:hanging="180"/>
      </w:pPr>
      <w:rPr>
        <w:rFonts w:hint="eastAsia"/>
        <w:sz w:val="2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42D7F"/>
    <w:multiLevelType w:val="hybridMultilevel"/>
    <w:tmpl w:val="1FB486BA"/>
    <w:lvl w:ilvl="0" w:tplc="1E18FF8C">
      <w:start w:val="1"/>
      <w:numFmt w:val="decimal"/>
      <w:lvlText w:val="(%1)"/>
      <w:lvlJc w:val="left"/>
      <w:pPr>
        <w:ind w:left="1800" w:hanging="360"/>
      </w:pPr>
      <w:rPr>
        <w:rFonts w:ascii="Times New Roman" w:eastAsia="PMingLiU" w:hAnsi="Times New Roman"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29490F"/>
    <w:multiLevelType w:val="hybridMultilevel"/>
    <w:tmpl w:val="FAC6161E"/>
    <w:lvl w:ilvl="0" w:tplc="20F6DCFA">
      <w:start w:val="1"/>
      <w:numFmt w:val="decimal"/>
      <w:lvlText w:val="%1."/>
      <w:lvlJc w:val="left"/>
      <w:pPr>
        <w:ind w:left="720" w:hanging="360"/>
      </w:pPr>
      <w:rPr>
        <w:rFonts w:ascii="Times New Roman" w:hAnsi="PMingLiU" w:cs="Arial" w:hint="default"/>
        <w:sz w:val="28"/>
      </w:rPr>
    </w:lvl>
    <w:lvl w:ilvl="1" w:tplc="552019C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552019C2">
      <w:start w:val="1"/>
      <w:numFmt w:val="decimal"/>
      <w:lvlText w:val="(%4)"/>
      <w:lvlJc w:val="left"/>
      <w:pPr>
        <w:ind w:left="2880" w:hanging="360"/>
      </w:pPr>
      <w:rPr>
        <w:rFonts w:hint="default"/>
      </w:rPr>
    </w:lvl>
    <w:lvl w:ilvl="4" w:tplc="552019C2">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914D6"/>
    <w:multiLevelType w:val="hybridMultilevel"/>
    <w:tmpl w:val="04D82130"/>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4DC71BF5"/>
    <w:multiLevelType w:val="hybridMultilevel"/>
    <w:tmpl w:val="7548B51C"/>
    <w:lvl w:ilvl="0" w:tplc="552019C2">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9" w15:restartNumberingAfterBreak="0">
    <w:nsid w:val="4DD353BB"/>
    <w:multiLevelType w:val="hybridMultilevel"/>
    <w:tmpl w:val="A60A674C"/>
    <w:lvl w:ilvl="0" w:tplc="8812863A">
      <w:start w:val="1"/>
      <w:numFmt w:val="decimal"/>
      <w:lvlText w:val="%1."/>
      <w:lvlJc w:val="left"/>
      <w:pPr>
        <w:ind w:left="360" w:hanging="360"/>
      </w:pPr>
      <w:rPr>
        <w:rFonts w:hint="default"/>
        <w:sz w:val="28"/>
        <w:szCs w:val="28"/>
      </w:rPr>
    </w:lvl>
    <w:lvl w:ilvl="1" w:tplc="1E18FF8C">
      <w:start w:val="1"/>
      <w:numFmt w:val="decimal"/>
      <w:lvlText w:val="(%2)"/>
      <w:lvlJc w:val="left"/>
      <w:pPr>
        <w:ind w:left="920" w:hanging="440"/>
      </w:pPr>
      <w:rPr>
        <w:rFonts w:ascii="Times New Roman" w:eastAsia="PMingLiU" w:hAnsi="Times New Roman" w:hint="default"/>
        <w:sz w:val="28"/>
      </w:rPr>
    </w:lvl>
    <w:lvl w:ilvl="2" w:tplc="D1AE9B5A">
      <w:start w:val="1"/>
      <w:numFmt w:val="lowerLetter"/>
      <w:lvlText w:val="(%3)"/>
      <w:lvlJc w:val="left"/>
      <w:pPr>
        <w:ind w:left="1340" w:hanging="3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20" w15:restartNumberingAfterBreak="0">
    <w:nsid w:val="5EAF2447"/>
    <w:multiLevelType w:val="hybridMultilevel"/>
    <w:tmpl w:val="0298C954"/>
    <w:lvl w:ilvl="0" w:tplc="3ECA45F6">
      <w:start w:val="1"/>
      <w:numFmt w:val="decimal"/>
      <w:lvlText w:val="(%1)"/>
      <w:lvlJc w:val="left"/>
      <w:pPr>
        <w:ind w:left="1367" w:hanging="440"/>
      </w:pPr>
      <w:rPr>
        <w:rFonts w:ascii="Times New Roman" w:eastAsia="PMingLiU" w:hAnsi="Times New Roman" w:hint="default"/>
        <w:sz w:val="28"/>
      </w:rPr>
    </w:lvl>
    <w:lvl w:ilvl="1" w:tplc="1E18FF8C">
      <w:start w:val="1"/>
      <w:numFmt w:val="decimal"/>
      <w:lvlText w:val="(%2)"/>
      <w:lvlJc w:val="left"/>
      <w:pPr>
        <w:ind w:left="1440" w:hanging="360"/>
      </w:pPr>
      <w:rPr>
        <w:rFonts w:ascii="Times New Roman" w:eastAsia="PMingLiU" w:hAnsi="Times New Roman" w:hint="default"/>
        <w:sz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F5228"/>
    <w:multiLevelType w:val="hybridMultilevel"/>
    <w:tmpl w:val="342A9AA2"/>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69890582"/>
    <w:multiLevelType w:val="hybridMultilevel"/>
    <w:tmpl w:val="8D9E6BBC"/>
    <w:lvl w:ilvl="0" w:tplc="71AC54F2">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3420981"/>
    <w:multiLevelType w:val="hybridMultilevel"/>
    <w:tmpl w:val="4E184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FA3855"/>
    <w:multiLevelType w:val="hybridMultilevel"/>
    <w:tmpl w:val="951E19BE"/>
    <w:lvl w:ilvl="0" w:tplc="A9D2733E">
      <w:start w:val="1"/>
      <w:numFmt w:val="decimal"/>
      <w:lvlText w:val="(%1)"/>
      <w:lvlJc w:val="left"/>
      <w:pPr>
        <w:ind w:left="1860" w:hanging="4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7664B4D"/>
    <w:multiLevelType w:val="hybridMultilevel"/>
    <w:tmpl w:val="29642F22"/>
    <w:lvl w:ilvl="0" w:tplc="552019C2">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6" w15:restartNumberingAfterBreak="0">
    <w:nsid w:val="7ED74063"/>
    <w:multiLevelType w:val="hybridMultilevel"/>
    <w:tmpl w:val="156C2000"/>
    <w:lvl w:ilvl="0" w:tplc="DC729A82">
      <w:start w:val="22"/>
      <w:numFmt w:val="decimal"/>
      <w:lvlText w:val="%1."/>
      <w:lvlJc w:val="left"/>
      <w:pPr>
        <w:ind w:left="720" w:hanging="360"/>
      </w:pPr>
      <w:rPr>
        <w:rFonts w:eastAsia="PMingLiU"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16"/>
  </w:num>
  <w:num w:numId="5">
    <w:abstractNumId w:val="8"/>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5"/>
  </w:num>
  <w:num w:numId="8">
    <w:abstractNumId w:val="13"/>
  </w:num>
  <w:num w:numId="9">
    <w:abstractNumId w:val="12"/>
  </w:num>
  <w:num w:numId="10">
    <w:abstractNumId w:val="20"/>
  </w:num>
  <w:num w:numId="11">
    <w:abstractNumId w:val="9"/>
  </w:num>
  <w:num w:numId="12">
    <w:abstractNumId w:val="17"/>
  </w:num>
  <w:num w:numId="13">
    <w:abstractNumId w:val="5"/>
  </w:num>
  <w:num w:numId="14">
    <w:abstractNumId w:val="21"/>
  </w:num>
  <w:num w:numId="15">
    <w:abstractNumId w:val="4"/>
  </w:num>
  <w:num w:numId="16">
    <w:abstractNumId w:val="14"/>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6"/>
  </w:num>
  <w:num w:numId="20">
    <w:abstractNumId w:val="7"/>
  </w:num>
  <w:num w:numId="21">
    <w:abstractNumId w:val="26"/>
  </w:num>
  <w:num w:numId="22">
    <w:abstractNumId w:val="2"/>
  </w:num>
  <w:num w:numId="23">
    <w:abstractNumId w:val="25"/>
  </w:num>
  <w:num w:numId="24">
    <w:abstractNumId w:val="3"/>
  </w:num>
  <w:num w:numId="25">
    <w:abstractNumId w:val="1"/>
  </w:num>
  <w:num w:numId="26">
    <w:abstractNumId w:val="18"/>
  </w:num>
  <w:num w:numId="27">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0F04"/>
    <w:rsid w:val="0000139D"/>
    <w:rsid w:val="000015BA"/>
    <w:rsid w:val="00003416"/>
    <w:rsid w:val="0000439E"/>
    <w:rsid w:val="00004CCF"/>
    <w:rsid w:val="000156C3"/>
    <w:rsid w:val="00020063"/>
    <w:rsid w:val="00023BD6"/>
    <w:rsid w:val="0002479B"/>
    <w:rsid w:val="00025DCA"/>
    <w:rsid w:val="00031C54"/>
    <w:rsid w:val="00032679"/>
    <w:rsid w:val="00033B36"/>
    <w:rsid w:val="00033C4C"/>
    <w:rsid w:val="00034C11"/>
    <w:rsid w:val="00046437"/>
    <w:rsid w:val="000472A2"/>
    <w:rsid w:val="000547AC"/>
    <w:rsid w:val="000600F2"/>
    <w:rsid w:val="0006197E"/>
    <w:rsid w:val="000627E3"/>
    <w:rsid w:val="00064C56"/>
    <w:rsid w:val="00066074"/>
    <w:rsid w:val="00066481"/>
    <w:rsid w:val="00067DC7"/>
    <w:rsid w:val="00070353"/>
    <w:rsid w:val="00080DFC"/>
    <w:rsid w:val="00084348"/>
    <w:rsid w:val="000852AD"/>
    <w:rsid w:val="00085ACF"/>
    <w:rsid w:val="00086B0C"/>
    <w:rsid w:val="00090A3F"/>
    <w:rsid w:val="0009248E"/>
    <w:rsid w:val="000946CF"/>
    <w:rsid w:val="00095777"/>
    <w:rsid w:val="000964EB"/>
    <w:rsid w:val="00096C01"/>
    <w:rsid w:val="000A3E2A"/>
    <w:rsid w:val="000A48F3"/>
    <w:rsid w:val="000A7561"/>
    <w:rsid w:val="000A7F35"/>
    <w:rsid w:val="000A7FA3"/>
    <w:rsid w:val="000B138C"/>
    <w:rsid w:val="000B2227"/>
    <w:rsid w:val="000B2836"/>
    <w:rsid w:val="000B7643"/>
    <w:rsid w:val="000B7DB6"/>
    <w:rsid w:val="000C0076"/>
    <w:rsid w:val="000C00DC"/>
    <w:rsid w:val="000C17C2"/>
    <w:rsid w:val="000C1A58"/>
    <w:rsid w:val="000C2A65"/>
    <w:rsid w:val="000C3839"/>
    <w:rsid w:val="000C3EDF"/>
    <w:rsid w:val="000C5DCF"/>
    <w:rsid w:val="000C6152"/>
    <w:rsid w:val="000C66DA"/>
    <w:rsid w:val="000D01CF"/>
    <w:rsid w:val="000D0F73"/>
    <w:rsid w:val="000D13D3"/>
    <w:rsid w:val="000D2117"/>
    <w:rsid w:val="000D2BCA"/>
    <w:rsid w:val="000D4C61"/>
    <w:rsid w:val="000D77E9"/>
    <w:rsid w:val="000D7C47"/>
    <w:rsid w:val="000F1C47"/>
    <w:rsid w:val="000F216D"/>
    <w:rsid w:val="000F2E1F"/>
    <w:rsid w:val="000F3B5A"/>
    <w:rsid w:val="000F47BA"/>
    <w:rsid w:val="000F71A3"/>
    <w:rsid w:val="001004BC"/>
    <w:rsid w:val="00100EF8"/>
    <w:rsid w:val="001016AD"/>
    <w:rsid w:val="00102EF5"/>
    <w:rsid w:val="0011036B"/>
    <w:rsid w:val="00110660"/>
    <w:rsid w:val="00111A4B"/>
    <w:rsid w:val="001139FD"/>
    <w:rsid w:val="00115E0B"/>
    <w:rsid w:val="00120AE8"/>
    <w:rsid w:val="00122C18"/>
    <w:rsid w:val="00124965"/>
    <w:rsid w:val="00124AE1"/>
    <w:rsid w:val="00125696"/>
    <w:rsid w:val="00126BC5"/>
    <w:rsid w:val="001274BE"/>
    <w:rsid w:val="00136BCF"/>
    <w:rsid w:val="001378CD"/>
    <w:rsid w:val="00141AD3"/>
    <w:rsid w:val="00141E3B"/>
    <w:rsid w:val="001459D1"/>
    <w:rsid w:val="0014634C"/>
    <w:rsid w:val="001473AE"/>
    <w:rsid w:val="00147B13"/>
    <w:rsid w:val="00151253"/>
    <w:rsid w:val="0015292C"/>
    <w:rsid w:val="00152E32"/>
    <w:rsid w:val="00154669"/>
    <w:rsid w:val="00156F99"/>
    <w:rsid w:val="0016183B"/>
    <w:rsid w:val="00161909"/>
    <w:rsid w:val="00167463"/>
    <w:rsid w:val="001704D7"/>
    <w:rsid w:val="001721C3"/>
    <w:rsid w:val="001728DF"/>
    <w:rsid w:val="001741B1"/>
    <w:rsid w:val="00174696"/>
    <w:rsid w:val="0018403A"/>
    <w:rsid w:val="00184D32"/>
    <w:rsid w:val="001920AD"/>
    <w:rsid w:val="00193498"/>
    <w:rsid w:val="00193E14"/>
    <w:rsid w:val="0019658A"/>
    <w:rsid w:val="001A0E96"/>
    <w:rsid w:val="001A19D7"/>
    <w:rsid w:val="001A2C94"/>
    <w:rsid w:val="001A311B"/>
    <w:rsid w:val="001A3B7C"/>
    <w:rsid w:val="001A42C1"/>
    <w:rsid w:val="001A5C99"/>
    <w:rsid w:val="001B011E"/>
    <w:rsid w:val="001B04D8"/>
    <w:rsid w:val="001B25F1"/>
    <w:rsid w:val="001B401B"/>
    <w:rsid w:val="001B6F84"/>
    <w:rsid w:val="001C08C8"/>
    <w:rsid w:val="001C1DC9"/>
    <w:rsid w:val="001C2B08"/>
    <w:rsid w:val="001C2C34"/>
    <w:rsid w:val="001C36BE"/>
    <w:rsid w:val="001C3B55"/>
    <w:rsid w:val="001C4F4E"/>
    <w:rsid w:val="001D4C36"/>
    <w:rsid w:val="001D5836"/>
    <w:rsid w:val="001D6408"/>
    <w:rsid w:val="001D7C28"/>
    <w:rsid w:val="001D7E23"/>
    <w:rsid w:val="001E1252"/>
    <w:rsid w:val="001E5204"/>
    <w:rsid w:val="001E52D0"/>
    <w:rsid w:val="001E6943"/>
    <w:rsid w:val="001E7BC5"/>
    <w:rsid w:val="001E7D4C"/>
    <w:rsid w:val="001F0520"/>
    <w:rsid w:val="001F6EA8"/>
    <w:rsid w:val="001F73BA"/>
    <w:rsid w:val="001F7CE3"/>
    <w:rsid w:val="00204452"/>
    <w:rsid w:val="0020544C"/>
    <w:rsid w:val="00205574"/>
    <w:rsid w:val="00210790"/>
    <w:rsid w:val="00211628"/>
    <w:rsid w:val="00211717"/>
    <w:rsid w:val="00212B04"/>
    <w:rsid w:val="002130EB"/>
    <w:rsid w:val="002139AA"/>
    <w:rsid w:val="002145D6"/>
    <w:rsid w:val="002147B9"/>
    <w:rsid w:val="00214832"/>
    <w:rsid w:val="002238B2"/>
    <w:rsid w:val="0022480B"/>
    <w:rsid w:val="00224BD4"/>
    <w:rsid w:val="00224DA0"/>
    <w:rsid w:val="00226D28"/>
    <w:rsid w:val="00227E55"/>
    <w:rsid w:val="0023019C"/>
    <w:rsid w:val="00230558"/>
    <w:rsid w:val="0023257A"/>
    <w:rsid w:val="002327EF"/>
    <w:rsid w:val="00236F8B"/>
    <w:rsid w:val="0024258F"/>
    <w:rsid w:val="00245723"/>
    <w:rsid w:val="002478BF"/>
    <w:rsid w:val="0025207B"/>
    <w:rsid w:val="00257E10"/>
    <w:rsid w:val="00260AEE"/>
    <w:rsid w:val="00271374"/>
    <w:rsid w:val="00275709"/>
    <w:rsid w:val="00276989"/>
    <w:rsid w:val="00277615"/>
    <w:rsid w:val="00283E2A"/>
    <w:rsid w:val="00284398"/>
    <w:rsid w:val="0028486A"/>
    <w:rsid w:val="00284F7C"/>
    <w:rsid w:val="00285BD1"/>
    <w:rsid w:val="00285E37"/>
    <w:rsid w:val="00287512"/>
    <w:rsid w:val="00287F5A"/>
    <w:rsid w:val="0029341F"/>
    <w:rsid w:val="00294BB8"/>
    <w:rsid w:val="00294E01"/>
    <w:rsid w:val="00295646"/>
    <w:rsid w:val="0029693D"/>
    <w:rsid w:val="002A2EE8"/>
    <w:rsid w:val="002A33E0"/>
    <w:rsid w:val="002A4F56"/>
    <w:rsid w:val="002A597E"/>
    <w:rsid w:val="002A720F"/>
    <w:rsid w:val="002B0134"/>
    <w:rsid w:val="002B06BB"/>
    <w:rsid w:val="002B6CB1"/>
    <w:rsid w:val="002C05C7"/>
    <w:rsid w:val="002C0DC2"/>
    <w:rsid w:val="002C0E62"/>
    <w:rsid w:val="002C1FCF"/>
    <w:rsid w:val="002C2483"/>
    <w:rsid w:val="002C31CC"/>
    <w:rsid w:val="002C3C80"/>
    <w:rsid w:val="002C3E83"/>
    <w:rsid w:val="002C5729"/>
    <w:rsid w:val="002C7210"/>
    <w:rsid w:val="002D0107"/>
    <w:rsid w:val="002D01F7"/>
    <w:rsid w:val="002D04C9"/>
    <w:rsid w:val="002D0783"/>
    <w:rsid w:val="002D33B6"/>
    <w:rsid w:val="002D5C0E"/>
    <w:rsid w:val="002D5CAF"/>
    <w:rsid w:val="002D7DEF"/>
    <w:rsid w:val="002E01B8"/>
    <w:rsid w:val="002E31BC"/>
    <w:rsid w:val="002E6652"/>
    <w:rsid w:val="002E753D"/>
    <w:rsid w:val="002F1C93"/>
    <w:rsid w:val="002F2730"/>
    <w:rsid w:val="002F54BD"/>
    <w:rsid w:val="002F72A9"/>
    <w:rsid w:val="0030147E"/>
    <w:rsid w:val="00301D17"/>
    <w:rsid w:val="0030424E"/>
    <w:rsid w:val="00306C2C"/>
    <w:rsid w:val="0030755C"/>
    <w:rsid w:val="003101F5"/>
    <w:rsid w:val="00314FD8"/>
    <w:rsid w:val="003160E3"/>
    <w:rsid w:val="0032016B"/>
    <w:rsid w:val="003228A1"/>
    <w:rsid w:val="003237D5"/>
    <w:rsid w:val="00323DAA"/>
    <w:rsid w:val="00323DD7"/>
    <w:rsid w:val="00327FE8"/>
    <w:rsid w:val="00332E8D"/>
    <w:rsid w:val="00333A4F"/>
    <w:rsid w:val="00342421"/>
    <w:rsid w:val="00344BA7"/>
    <w:rsid w:val="00344BF9"/>
    <w:rsid w:val="00345C8A"/>
    <w:rsid w:val="00350022"/>
    <w:rsid w:val="00351982"/>
    <w:rsid w:val="00353CB7"/>
    <w:rsid w:val="00353D46"/>
    <w:rsid w:val="00354D39"/>
    <w:rsid w:val="003604E6"/>
    <w:rsid w:val="00361C05"/>
    <w:rsid w:val="003637CD"/>
    <w:rsid w:val="00363A22"/>
    <w:rsid w:val="00366B98"/>
    <w:rsid w:val="00371D69"/>
    <w:rsid w:val="00373289"/>
    <w:rsid w:val="00373741"/>
    <w:rsid w:val="003776AF"/>
    <w:rsid w:val="00383504"/>
    <w:rsid w:val="00383DC5"/>
    <w:rsid w:val="00385AC2"/>
    <w:rsid w:val="003861B6"/>
    <w:rsid w:val="003864EA"/>
    <w:rsid w:val="00387D24"/>
    <w:rsid w:val="00390F3C"/>
    <w:rsid w:val="00392683"/>
    <w:rsid w:val="00395AA0"/>
    <w:rsid w:val="00397602"/>
    <w:rsid w:val="003A49EA"/>
    <w:rsid w:val="003A55BA"/>
    <w:rsid w:val="003B069F"/>
    <w:rsid w:val="003B4AFE"/>
    <w:rsid w:val="003B5984"/>
    <w:rsid w:val="003B7DCE"/>
    <w:rsid w:val="003C371A"/>
    <w:rsid w:val="003C4CA0"/>
    <w:rsid w:val="003C5EEC"/>
    <w:rsid w:val="003C6BF5"/>
    <w:rsid w:val="003D4422"/>
    <w:rsid w:val="003D4690"/>
    <w:rsid w:val="003D484C"/>
    <w:rsid w:val="003D7DED"/>
    <w:rsid w:val="003E1AEA"/>
    <w:rsid w:val="003E2520"/>
    <w:rsid w:val="003E313C"/>
    <w:rsid w:val="003E4B75"/>
    <w:rsid w:val="003E52E0"/>
    <w:rsid w:val="003E71DD"/>
    <w:rsid w:val="003E7614"/>
    <w:rsid w:val="003F27CE"/>
    <w:rsid w:val="003F31E0"/>
    <w:rsid w:val="003F4707"/>
    <w:rsid w:val="003F59D0"/>
    <w:rsid w:val="003F67FA"/>
    <w:rsid w:val="00400BBE"/>
    <w:rsid w:val="00403AFA"/>
    <w:rsid w:val="0040458D"/>
    <w:rsid w:val="00407ED5"/>
    <w:rsid w:val="004101E2"/>
    <w:rsid w:val="004103D0"/>
    <w:rsid w:val="004117C6"/>
    <w:rsid w:val="0041740E"/>
    <w:rsid w:val="00420AE3"/>
    <w:rsid w:val="00421001"/>
    <w:rsid w:val="004262CA"/>
    <w:rsid w:val="00427626"/>
    <w:rsid w:val="00433A63"/>
    <w:rsid w:val="00434D23"/>
    <w:rsid w:val="00435DEA"/>
    <w:rsid w:val="00436EDD"/>
    <w:rsid w:val="00441662"/>
    <w:rsid w:val="00442052"/>
    <w:rsid w:val="004424DA"/>
    <w:rsid w:val="0044317E"/>
    <w:rsid w:val="00443245"/>
    <w:rsid w:val="00446227"/>
    <w:rsid w:val="004469B6"/>
    <w:rsid w:val="00447622"/>
    <w:rsid w:val="004477ED"/>
    <w:rsid w:val="00452A89"/>
    <w:rsid w:val="004553FA"/>
    <w:rsid w:val="004554FD"/>
    <w:rsid w:val="00456707"/>
    <w:rsid w:val="00461317"/>
    <w:rsid w:val="00461BE2"/>
    <w:rsid w:val="004647AF"/>
    <w:rsid w:val="00464EA8"/>
    <w:rsid w:val="00466D4D"/>
    <w:rsid w:val="00467A2A"/>
    <w:rsid w:val="00467B29"/>
    <w:rsid w:val="00470851"/>
    <w:rsid w:val="00472A33"/>
    <w:rsid w:val="00481CCA"/>
    <w:rsid w:val="00485D78"/>
    <w:rsid w:val="00487138"/>
    <w:rsid w:val="0049104A"/>
    <w:rsid w:val="00491CB1"/>
    <w:rsid w:val="004930B9"/>
    <w:rsid w:val="00493CCE"/>
    <w:rsid w:val="00494EC7"/>
    <w:rsid w:val="00495C05"/>
    <w:rsid w:val="004A125B"/>
    <w:rsid w:val="004A255D"/>
    <w:rsid w:val="004A27E7"/>
    <w:rsid w:val="004A293C"/>
    <w:rsid w:val="004A7AA6"/>
    <w:rsid w:val="004B446B"/>
    <w:rsid w:val="004B46AF"/>
    <w:rsid w:val="004B625E"/>
    <w:rsid w:val="004B77BB"/>
    <w:rsid w:val="004C0851"/>
    <w:rsid w:val="004C2858"/>
    <w:rsid w:val="004C46A6"/>
    <w:rsid w:val="004D00E8"/>
    <w:rsid w:val="004D3CCC"/>
    <w:rsid w:val="004D5014"/>
    <w:rsid w:val="004D5F51"/>
    <w:rsid w:val="004D653D"/>
    <w:rsid w:val="004D78D8"/>
    <w:rsid w:val="004E047F"/>
    <w:rsid w:val="004E1016"/>
    <w:rsid w:val="004E2309"/>
    <w:rsid w:val="004E6EF8"/>
    <w:rsid w:val="004F749E"/>
    <w:rsid w:val="004F7C88"/>
    <w:rsid w:val="00502DB4"/>
    <w:rsid w:val="00503B73"/>
    <w:rsid w:val="00510DFC"/>
    <w:rsid w:val="00511328"/>
    <w:rsid w:val="00516CED"/>
    <w:rsid w:val="005218DD"/>
    <w:rsid w:val="00523CF1"/>
    <w:rsid w:val="00525503"/>
    <w:rsid w:val="005308AF"/>
    <w:rsid w:val="00531A7F"/>
    <w:rsid w:val="00532149"/>
    <w:rsid w:val="005365B2"/>
    <w:rsid w:val="0053712C"/>
    <w:rsid w:val="0054477B"/>
    <w:rsid w:val="005447A0"/>
    <w:rsid w:val="00545107"/>
    <w:rsid w:val="0054748F"/>
    <w:rsid w:val="005501D6"/>
    <w:rsid w:val="00552D88"/>
    <w:rsid w:val="005542E4"/>
    <w:rsid w:val="00556C26"/>
    <w:rsid w:val="00556C6E"/>
    <w:rsid w:val="00557A82"/>
    <w:rsid w:val="00557BBC"/>
    <w:rsid w:val="00561F33"/>
    <w:rsid w:val="00565A51"/>
    <w:rsid w:val="00571C13"/>
    <w:rsid w:val="00572FE5"/>
    <w:rsid w:val="00574200"/>
    <w:rsid w:val="005756EC"/>
    <w:rsid w:val="00576BF7"/>
    <w:rsid w:val="005774A9"/>
    <w:rsid w:val="00581C35"/>
    <w:rsid w:val="00583550"/>
    <w:rsid w:val="005835A9"/>
    <w:rsid w:val="00583CA3"/>
    <w:rsid w:val="00583E03"/>
    <w:rsid w:val="00593D37"/>
    <w:rsid w:val="00595E12"/>
    <w:rsid w:val="005A2057"/>
    <w:rsid w:val="005A3488"/>
    <w:rsid w:val="005A3B44"/>
    <w:rsid w:val="005A6086"/>
    <w:rsid w:val="005A7C75"/>
    <w:rsid w:val="005B27B0"/>
    <w:rsid w:val="005B33FE"/>
    <w:rsid w:val="005B4DC7"/>
    <w:rsid w:val="005B7B19"/>
    <w:rsid w:val="005C07C2"/>
    <w:rsid w:val="005C1CED"/>
    <w:rsid w:val="005C5CAE"/>
    <w:rsid w:val="005C61D0"/>
    <w:rsid w:val="005C7B2C"/>
    <w:rsid w:val="005D32B3"/>
    <w:rsid w:val="005D39A4"/>
    <w:rsid w:val="005D4DE8"/>
    <w:rsid w:val="005D5B48"/>
    <w:rsid w:val="005D67B9"/>
    <w:rsid w:val="005E102F"/>
    <w:rsid w:val="005E245C"/>
    <w:rsid w:val="005E3A32"/>
    <w:rsid w:val="005E4D7A"/>
    <w:rsid w:val="005E60C4"/>
    <w:rsid w:val="005E7393"/>
    <w:rsid w:val="005E7412"/>
    <w:rsid w:val="005E7B91"/>
    <w:rsid w:val="005F1635"/>
    <w:rsid w:val="005F3D01"/>
    <w:rsid w:val="005F49DF"/>
    <w:rsid w:val="005F7F91"/>
    <w:rsid w:val="00601D6D"/>
    <w:rsid w:val="00602345"/>
    <w:rsid w:val="00604771"/>
    <w:rsid w:val="00610810"/>
    <w:rsid w:val="006120A1"/>
    <w:rsid w:val="00614BBD"/>
    <w:rsid w:val="00615013"/>
    <w:rsid w:val="0061580B"/>
    <w:rsid w:val="00615D3F"/>
    <w:rsid w:val="00616603"/>
    <w:rsid w:val="006166D7"/>
    <w:rsid w:val="00620EFD"/>
    <w:rsid w:val="0062138B"/>
    <w:rsid w:val="00621D8D"/>
    <w:rsid w:val="006244AC"/>
    <w:rsid w:val="00625B8D"/>
    <w:rsid w:val="0062704F"/>
    <w:rsid w:val="0062795B"/>
    <w:rsid w:val="006304A5"/>
    <w:rsid w:val="006322F2"/>
    <w:rsid w:val="00632851"/>
    <w:rsid w:val="006336BD"/>
    <w:rsid w:val="006344B9"/>
    <w:rsid w:val="00635164"/>
    <w:rsid w:val="006371D9"/>
    <w:rsid w:val="00637C2D"/>
    <w:rsid w:val="0064029F"/>
    <w:rsid w:val="006457E7"/>
    <w:rsid w:val="0064672D"/>
    <w:rsid w:val="00646C48"/>
    <w:rsid w:val="00646E8E"/>
    <w:rsid w:val="00651604"/>
    <w:rsid w:val="0065317A"/>
    <w:rsid w:val="006569D1"/>
    <w:rsid w:val="00662BAA"/>
    <w:rsid w:val="006632BE"/>
    <w:rsid w:val="00663A82"/>
    <w:rsid w:val="00664EBE"/>
    <w:rsid w:val="00672092"/>
    <w:rsid w:val="00681359"/>
    <w:rsid w:val="00681A8D"/>
    <w:rsid w:val="00684894"/>
    <w:rsid w:val="00686EAA"/>
    <w:rsid w:val="00692056"/>
    <w:rsid w:val="00692D9C"/>
    <w:rsid w:val="006963B5"/>
    <w:rsid w:val="00696812"/>
    <w:rsid w:val="006A18AB"/>
    <w:rsid w:val="006A1F8B"/>
    <w:rsid w:val="006A71E0"/>
    <w:rsid w:val="006B1088"/>
    <w:rsid w:val="006B6341"/>
    <w:rsid w:val="006C6432"/>
    <w:rsid w:val="006C6AF7"/>
    <w:rsid w:val="006C7C71"/>
    <w:rsid w:val="006D2226"/>
    <w:rsid w:val="006D3802"/>
    <w:rsid w:val="006D5E42"/>
    <w:rsid w:val="006E0F68"/>
    <w:rsid w:val="006E1A96"/>
    <w:rsid w:val="006E3875"/>
    <w:rsid w:val="006E3C0C"/>
    <w:rsid w:val="006E4B10"/>
    <w:rsid w:val="006F0924"/>
    <w:rsid w:val="006F3261"/>
    <w:rsid w:val="006F37EB"/>
    <w:rsid w:val="006F48AC"/>
    <w:rsid w:val="00711AE6"/>
    <w:rsid w:val="00711E1A"/>
    <w:rsid w:val="00712ED3"/>
    <w:rsid w:val="0071484B"/>
    <w:rsid w:val="00715648"/>
    <w:rsid w:val="007162FF"/>
    <w:rsid w:val="00716523"/>
    <w:rsid w:val="00725516"/>
    <w:rsid w:val="007347C4"/>
    <w:rsid w:val="0073587B"/>
    <w:rsid w:val="00735C90"/>
    <w:rsid w:val="00740A40"/>
    <w:rsid w:val="0074186A"/>
    <w:rsid w:val="00742AAA"/>
    <w:rsid w:val="00744816"/>
    <w:rsid w:val="00744998"/>
    <w:rsid w:val="007449FE"/>
    <w:rsid w:val="007457F1"/>
    <w:rsid w:val="00746CCB"/>
    <w:rsid w:val="0074714B"/>
    <w:rsid w:val="0074786B"/>
    <w:rsid w:val="00747F1C"/>
    <w:rsid w:val="00755F23"/>
    <w:rsid w:val="00763779"/>
    <w:rsid w:val="00763947"/>
    <w:rsid w:val="0077240D"/>
    <w:rsid w:val="007751CF"/>
    <w:rsid w:val="0077632B"/>
    <w:rsid w:val="00776D4B"/>
    <w:rsid w:val="00780D51"/>
    <w:rsid w:val="00781F7D"/>
    <w:rsid w:val="0078232E"/>
    <w:rsid w:val="0078245C"/>
    <w:rsid w:val="00783090"/>
    <w:rsid w:val="00785C71"/>
    <w:rsid w:val="00787019"/>
    <w:rsid w:val="0079382B"/>
    <w:rsid w:val="00794D6C"/>
    <w:rsid w:val="00794EF2"/>
    <w:rsid w:val="007A1D69"/>
    <w:rsid w:val="007A1FDB"/>
    <w:rsid w:val="007A4867"/>
    <w:rsid w:val="007B1A89"/>
    <w:rsid w:val="007B1AF9"/>
    <w:rsid w:val="007B1CDE"/>
    <w:rsid w:val="007B1D18"/>
    <w:rsid w:val="007B3B87"/>
    <w:rsid w:val="007B3E2B"/>
    <w:rsid w:val="007B3F07"/>
    <w:rsid w:val="007B6F3B"/>
    <w:rsid w:val="007C4B7E"/>
    <w:rsid w:val="007C6BF2"/>
    <w:rsid w:val="007C74AA"/>
    <w:rsid w:val="007D00C8"/>
    <w:rsid w:val="007D0E34"/>
    <w:rsid w:val="007D45F7"/>
    <w:rsid w:val="007D48F6"/>
    <w:rsid w:val="007D53E3"/>
    <w:rsid w:val="007E067D"/>
    <w:rsid w:val="007E6F57"/>
    <w:rsid w:val="007E735D"/>
    <w:rsid w:val="007F0435"/>
    <w:rsid w:val="007F13EC"/>
    <w:rsid w:val="007F1A06"/>
    <w:rsid w:val="007F228B"/>
    <w:rsid w:val="007F3267"/>
    <w:rsid w:val="007F361C"/>
    <w:rsid w:val="007F7E2B"/>
    <w:rsid w:val="00800D89"/>
    <w:rsid w:val="00811D76"/>
    <w:rsid w:val="00812569"/>
    <w:rsid w:val="0081341C"/>
    <w:rsid w:val="008153C9"/>
    <w:rsid w:val="00816CD1"/>
    <w:rsid w:val="00816F7E"/>
    <w:rsid w:val="00817261"/>
    <w:rsid w:val="00817A55"/>
    <w:rsid w:val="00817DB3"/>
    <w:rsid w:val="008200AC"/>
    <w:rsid w:val="0082636C"/>
    <w:rsid w:val="00826390"/>
    <w:rsid w:val="008270D2"/>
    <w:rsid w:val="00827C6D"/>
    <w:rsid w:val="00827F5A"/>
    <w:rsid w:val="00834695"/>
    <w:rsid w:val="00835EAD"/>
    <w:rsid w:val="0083763A"/>
    <w:rsid w:val="00841509"/>
    <w:rsid w:val="008431AA"/>
    <w:rsid w:val="00845E7B"/>
    <w:rsid w:val="008475AE"/>
    <w:rsid w:val="00847D6E"/>
    <w:rsid w:val="00851F4A"/>
    <w:rsid w:val="008522F3"/>
    <w:rsid w:val="00852B82"/>
    <w:rsid w:val="008563A8"/>
    <w:rsid w:val="008569FC"/>
    <w:rsid w:val="0086053E"/>
    <w:rsid w:val="00865C9E"/>
    <w:rsid w:val="00867FD3"/>
    <w:rsid w:val="00871E55"/>
    <w:rsid w:val="008742F3"/>
    <w:rsid w:val="008758BC"/>
    <w:rsid w:val="00877846"/>
    <w:rsid w:val="00881C01"/>
    <w:rsid w:val="00882631"/>
    <w:rsid w:val="0088368C"/>
    <w:rsid w:val="00884751"/>
    <w:rsid w:val="00884A46"/>
    <w:rsid w:val="00884E03"/>
    <w:rsid w:val="008857A5"/>
    <w:rsid w:val="00885CA1"/>
    <w:rsid w:val="008863A4"/>
    <w:rsid w:val="00890AAD"/>
    <w:rsid w:val="008914A3"/>
    <w:rsid w:val="00892E0A"/>
    <w:rsid w:val="008936C2"/>
    <w:rsid w:val="00895A95"/>
    <w:rsid w:val="00895D13"/>
    <w:rsid w:val="00897D74"/>
    <w:rsid w:val="008A1094"/>
    <w:rsid w:val="008A2139"/>
    <w:rsid w:val="008A248E"/>
    <w:rsid w:val="008A6A7B"/>
    <w:rsid w:val="008B303C"/>
    <w:rsid w:val="008B35D8"/>
    <w:rsid w:val="008B39C1"/>
    <w:rsid w:val="008B5405"/>
    <w:rsid w:val="008B6BD5"/>
    <w:rsid w:val="008C0F3A"/>
    <w:rsid w:val="008C3D55"/>
    <w:rsid w:val="008C517C"/>
    <w:rsid w:val="008C54C5"/>
    <w:rsid w:val="008C58EF"/>
    <w:rsid w:val="008C5EB6"/>
    <w:rsid w:val="008C702D"/>
    <w:rsid w:val="008C7D82"/>
    <w:rsid w:val="008D2133"/>
    <w:rsid w:val="008D4B54"/>
    <w:rsid w:val="008D5F8F"/>
    <w:rsid w:val="008D6E0D"/>
    <w:rsid w:val="008E0AAC"/>
    <w:rsid w:val="008E1C14"/>
    <w:rsid w:val="008E25CF"/>
    <w:rsid w:val="008E2CE1"/>
    <w:rsid w:val="008E53FB"/>
    <w:rsid w:val="008E5618"/>
    <w:rsid w:val="008E683C"/>
    <w:rsid w:val="008E7B38"/>
    <w:rsid w:val="008F3B05"/>
    <w:rsid w:val="008F3D6F"/>
    <w:rsid w:val="008F449B"/>
    <w:rsid w:val="008F60A7"/>
    <w:rsid w:val="008F7A3C"/>
    <w:rsid w:val="00900F9D"/>
    <w:rsid w:val="009022F2"/>
    <w:rsid w:val="009024A9"/>
    <w:rsid w:val="00905694"/>
    <w:rsid w:val="00907990"/>
    <w:rsid w:val="00914F24"/>
    <w:rsid w:val="00915314"/>
    <w:rsid w:val="00925205"/>
    <w:rsid w:val="00927AEF"/>
    <w:rsid w:val="00927F35"/>
    <w:rsid w:val="009309C9"/>
    <w:rsid w:val="00931C49"/>
    <w:rsid w:val="00931DCA"/>
    <w:rsid w:val="00932889"/>
    <w:rsid w:val="0093526A"/>
    <w:rsid w:val="009361C6"/>
    <w:rsid w:val="0093714E"/>
    <w:rsid w:val="00943A39"/>
    <w:rsid w:val="00943E42"/>
    <w:rsid w:val="00944C6E"/>
    <w:rsid w:val="00946F78"/>
    <w:rsid w:val="00952AB3"/>
    <w:rsid w:val="0095326C"/>
    <w:rsid w:val="009547C8"/>
    <w:rsid w:val="00955472"/>
    <w:rsid w:val="009573D8"/>
    <w:rsid w:val="0096350E"/>
    <w:rsid w:val="0096596D"/>
    <w:rsid w:val="00970F92"/>
    <w:rsid w:val="00971CE2"/>
    <w:rsid w:val="00974048"/>
    <w:rsid w:val="009779F7"/>
    <w:rsid w:val="00981902"/>
    <w:rsid w:val="00981AA0"/>
    <w:rsid w:val="0098231C"/>
    <w:rsid w:val="0098310A"/>
    <w:rsid w:val="00984314"/>
    <w:rsid w:val="009854D4"/>
    <w:rsid w:val="00986CA8"/>
    <w:rsid w:val="00992257"/>
    <w:rsid w:val="00993652"/>
    <w:rsid w:val="00995F62"/>
    <w:rsid w:val="00997411"/>
    <w:rsid w:val="00997CE3"/>
    <w:rsid w:val="009A09CB"/>
    <w:rsid w:val="009A0F98"/>
    <w:rsid w:val="009A35D3"/>
    <w:rsid w:val="009A3BEC"/>
    <w:rsid w:val="009A426E"/>
    <w:rsid w:val="009A4EE5"/>
    <w:rsid w:val="009A75C1"/>
    <w:rsid w:val="009B1057"/>
    <w:rsid w:val="009B2EE0"/>
    <w:rsid w:val="009B3C18"/>
    <w:rsid w:val="009B4E40"/>
    <w:rsid w:val="009B5987"/>
    <w:rsid w:val="009B68D9"/>
    <w:rsid w:val="009B7018"/>
    <w:rsid w:val="009B71C7"/>
    <w:rsid w:val="009C0EFD"/>
    <w:rsid w:val="009C2F49"/>
    <w:rsid w:val="009C3485"/>
    <w:rsid w:val="009C3EDD"/>
    <w:rsid w:val="009C58AE"/>
    <w:rsid w:val="009C5E6E"/>
    <w:rsid w:val="009C6E34"/>
    <w:rsid w:val="009C7275"/>
    <w:rsid w:val="009C758F"/>
    <w:rsid w:val="009D1626"/>
    <w:rsid w:val="009D498E"/>
    <w:rsid w:val="009D51E4"/>
    <w:rsid w:val="009D603C"/>
    <w:rsid w:val="009D697D"/>
    <w:rsid w:val="009E13D8"/>
    <w:rsid w:val="009E1717"/>
    <w:rsid w:val="009E17B1"/>
    <w:rsid w:val="009E422F"/>
    <w:rsid w:val="009E4ABE"/>
    <w:rsid w:val="009E6197"/>
    <w:rsid w:val="009F209E"/>
    <w:rsid w:val="009F2E16"/>
    <w:rsid w:val="009F3387"/>
    <w:rsid w:val="009F3639"/>
    <w:rsid w:val="009F50C1"/>
    <w:rsid w:val="009F5E7F"/>
    <w:rsid w:val="009F61BC"/>
    <w:rsid w:val="009F7A27"/>
    <w:rsid w:val="00A00A2C"/>
    <w:rsid w:val="00A00A96"/>
    <w:rsid w:val="00A01DCC"/>
    <w:rsid w:val="00A05D36"/>
    <w:rsid w:val="00A079AB"/>
    <w:rsid w:val="00A101D4"/>
    <w:rsid w:val="00A109FD"/>
    <w:rsid w:val="00A10BC0"/>
    <w:rsid w:val="00A12658"/>
    <w:rsid w:val="00A136B8"/>
    <w:rsid w:val="00A2442B"/>
    <w:rsid w:val="00A25192"/>
    <w:rsid w:val="00A259A8"/>
    <w:rsid w:val="00A26F52"/>
    <w:rsid w:val="00A323DE"/>
    <w:rsid w:val="00A34232"/>
    <w:rsid w:val="00A3630F"/>
    <w:rsid w:val="00A36ECD"/>
    <w:rsid w:val="00A42A09"/>
    <w:rsid w:val="00A42E24"/>
    <w:rsid w:val="00A43F48"/>
    <w:rsid w:val="00A45852"/>
    <w:rsid w:val="00A45853"/>
    <w:rsid w:val="00A47A41"/>
    <w:rsid w:val="00A47E3A"/>
    <w:rsid w:val="00A53062"/>
    <w:rsid w:val="00A54775"/>
    <w:rsid w:val="00A553AA"/>
    <w:rsid w:val="00A57D62"/>
    <w:rsid w:val="00A600DA"/>
    <w:rsid w:val="00A66DCF"/>
    <w:rsid w:val="00A67889"/>
    <w:rsid w:val="00A71AD1"/>
    <w:rsid w:val="00A7257B"/>
    <w:rsid w:val="00A81A95"/>
    <w:rsid w:val="00A929F6"/>
    <w:rsid w:val="00A930F9"/>
    <w:rsid w:val="00A93F84"/>
    <w:rsid w:val="00A96EEB"/>
    <w:rsid w:val="00AA58F9"/>
    <w:rsid w:val="00AA58FA"/>
    <w:rsid w:val="00AA6102"/>
    <w:rsid w:val="00AB05A2"/>
    <w:rsid w:val="00AB0FB1"/>
    <w:rsid w:val="00AB2389"/>
    <w:rsid w:val="00AB6540"/>
    <w:rsid w:val="00AC0B38"/>
    <w:rsid w:val="00AC2E91"/>
    <w:rsid w:val="00AC396F"/>
    <w:rsid w:val="00AD3281"/>
    <w:rsid w:val="00AD34A4"/>
    <w:rsid w:val="00AD60F0"/>
    <w:rsid w:val="00AD75A2"/>
    <w:rsid w:val="00AD78FE"/>
    <w:rsid w:val="00AE1C17"/>
    <w:rsid w:val="00AE74EC"/>
    <w:rsid w:val="00AF0DEE"/>
    <w:rsid w:val="00AF3C5E"/>
    <w:rsid w:val="00AF3DDE"/>
    <w:rsid w:val="00B01117"/>
    <w:rsid w:val="00B01F70"/>
    <w:rsid w:val="00B07906"/>
    <w:rsid w:val="00B136C6"/>
    <w:rsid w:val="00B149E3"/>
    <w:rsid w:val="00B17E82"/>
    <w:rsid w:val="00B20428"/>
    <w:rsid w:val="00B20906"/>
    <w:rsid w:val="00B21932"/>
    <w:rsid w:val="00B3054C"/>
    <w:rsid w:val="00B306C1"/>
    <w:rsid w:val="00B31F2C"/>
    <w:rsid w:val="00B33FF0"/>
    <w:rsid w:val="00B356FA"/>
    <w:rsid w:val="00B35B27"/>
    <w:rsid w:val="00B4555C"/>
    <w:rsid w:val="00B45EB6"/>
    <w:rsid w:val="00B46862"/>
    <w:rsid w:val="00B46CAD"/>
    <w:rsid w:val="00B54E25"/>
    <w:rsid w:val="00B56EBD"/>
    <w:rsid w:val="00B678EB"/>
    <w:rsid w:val="00B745AF"/>
    <w:rsid w:val="00B74984"/>
    <w:rsid w:val="00B75F77"/>
    <w:rsid w:val="00B812FC"/>
    <w:rsid w:val="00B84982"/>
    <w:rsid w:val="00B9183A"/>
    <w:rsid w:val="00B91FE4"/>
    <w:rsid w:val="00B92305"/>
    <w:rsid w:val="00B923DB"/>
    <w:rsid w:val="00B92C85"/>
    <w:rsid w:val="00B933DE"/>
    <w:rsid w:val="00B97B0D"/>
    <w:rsid w:val="00BA21BA"/>
    <w:rsid w:val="00BA3399"/>
    <w:rsid w:val="00BA39E0"/>
    <w:rsid w:val="00BA4256"/>
    <w:rsid w:val="00BA5C59"/>
    <w:rsid w:val="00BB00EC"/>
    <w:rsid w:val="00BB1B2E"/>
    <w:rsid w:val="00BB31BE"/>
    <w:rsid w:val="00BB58A1"/>
    <w:rsid w:val="00BB64F7"/>
    <w:rsid w:val="00BB74A7"/>
    <w:rsid w:val="00BB7B80"/>
    <w:rsid w:val="00BC0B0F"/>
    <w:rsid w:val="00BC221E"/>
    <w:rsid w:val="00BC659B"/>
    <w:rsid w:val="00BC6B78"/>
    <w:rsid w:val="00BC72D9"/>
    <w:rsid w:val="00BC73A7"/>
    <w:rsid w:val="00BD0273"/>
    <w:rsid w:val="00BD27D4"/>
    <w:rsid w:val="00BD4AAB"/>
    <w:rsid w:val="00BD53B9"/>
    <w:rsid w:val="00BE008C"/>
    <w:rsid w:val="00BE1EB3"/>
    <w:rsid w:val="00BE27B6"/>
    <w:rsid w:val="00BE2A25"/>
    <w:rsid w:val="00BE3B56"/>
    <w:rsid w:val="00BE63E2"/>
    <w:rsid w:val="00BE6F6F"/>
    <w:rsid w:val="00BF1561"/>
    <w:rsid w:val="00BF38B9"/>
    <w:rsid w:val="00BF39A2"/>
    <w:rsid w:val="00BF4131"/>
    <w:rsid w:val="00BF5289"/>
    <w:rsid w:val="00BF588A"/>
    <w:rsid w:val="00BF6170"/>
    <w:rsid w:val="00BF6493"/>
    <w:rsid w:val="00C01E01"/>
    <w:rsid w:val="00C067C4"/>
    <w:rsid w:val="00C06A44"/>
    <w:rsid w:val="00C11937"/>
    <w:rsid w:val="00C12742"/>
    <w:rsid w:val="00C165D7"/>
    <w:rsid w:val="00C16644"/>
    <w:rsid w:val="00C24B26"/>
    <w:rsid w:val="00C2748F"/>
    <w:rsid w:val="00C310B9"/>
    <w:rsid w:val="00C3278A"/>
    <w:rsid w:val="00C35345"/>
    <w:rsid w:val="00C37A41"/>
    <w:rsid w:val="00C44D33"/>
    <w:rsid w:val="00C47EC9"/>
    <w:rsid w:val="00C51827"/>
    <w:rsid w:val="00C53132"/>
    <w:rsid w:val="00C534A6"/>
    <w:rsid w:val="00C54324"/>
    <w:rsid w:val="00C5484A"/>
    <w:rsid w:val="00C54BFA"/>
    <w:rsid w:val="00C5508E"/>
    <w:rsid w:val="00C56EDD"/>
    <w:rsid w:val="00C57136"/>
    <w:rsid w:val="00C60690"/>
    <w:rsid w:val="00C64534"/>
    <w:rsid w:val="00C647D9"/>
    <w:rsid w:val="00C65FE9"/>
    <w:rsid w:val="00C70BE6"/>
    <w:rsid w:val="00C712C7"/>
    <w:rsid w:val="00C73283"/>
    <w:rsid w:val="00C7413D"/>
    <w:rsid w:val="00C768EF"/>
    <w:rsid w:val="00C80EC8"/>
    <w:rsid w:val="00C810BD"/>
    <w:rsid w:val="00C82FB1"/>
    <w:rsid w:val="00C850DD"/>
    <w:rsid w:val="00C8602D"/>
    <w:rsid w:val="00C902D8"/>
    <w:rsid w:val="00C9271C"/>
    <w:rsid w:val="00C9573F"/>
    <w:rsid w:val="00C97CEA"/>
    <w:rsid w:val="00CA2AA8"/>
    <w:rsid w:val="00CB2581"/>
    <w:rsid w:val="00CB3070"/>
    <w:rsid w:val="00CB636D"/>
    <w:rsid w:val="00CB74FC"/>
    <w:rsid w:val="00CC1045"/>
    <w:rsid w:val="00CC2943"/>
    <w:rsid w:val="00CC3930"/>
    <w:rsid w:val="00CC3EB6"/>
    <w:rsid w:val="00CC43D0"/>
    <w:rsid w:val="00CC4568"/>
    <w:rsid w:val="00CC6180"/>
    <w:rsid w:val="00CC76FD"/>
    <w:rsid w:val="00CD5F09"/>
    <w:rsid w:val="00CD626B"/>
    <w:rsid w:val="00CD7627"/>
    <w:rsid w:val="00CE2C6F"/>
    <w:rsid w:val="00CE4989"/>
    <w:rsid w:val="00CE4D2F"/>
    <w:rsid w:val="00CF0B74"/>
    <w:rsid w:val="00CF4DFB"/>
    <w:rsid w:val="00CF5F5F"/>
    <w:rsid w:val="00D02865"/>
    <w:rsid w:val="00D0293D"/>
    <w:rsid w:val="00D037FE"/>
    <w:rsid w:val="00D0646E"/>
    <w:rsid w:val="00D11461"/>
    <w:rsid w:val="00D12975"/>
    <w:rsid w:val="00D1343E"/>
    <w:rsid w:val="00D136EC"/>
    <w:rsid w:val="00D14C56"/>
    <w:rsid w:val="00D156BF"/>
    <w:rsid w:val="00D204D2"/>
    <w:rsid w:val="00D2156E"/>
    <w:rsid w:val="00D249B9"/>
    <w:rsid w:val="00D317DE"/>
    <w:rsid w:val="00D31BBD"/>
    <w:rsid w:val="00D32976"/>
    <w:rsid w:val="00D32A6B"/>
    <w:rsid w:val="00D36675"/>
    <w:rsid w:val="00D411FA"/>
    <w:rsid w:val="00D4486E"/>
    <w:rsid w:val="00D4506A"/>
    <w:rsid w:val="00D456C2"/>
    <w:rsid w:val="00D4740B"/>
    <w:rsid w:val="00D47461"/>
    <w:rsid w:val="00D47C93"/>
    <w:rsid w:val="00D543AC"/>
    <w:rsid w:val="00D543FB"/>
    <w:rsid w:val="00D54863"/>
    <w:rsid w:val="00D55021"/>
    <w:rsid w:val="00D645A3"/>
    <w:rsid w:val="00D6510A"/>
    <w:rsid w:val="00D654CD"/>
    <w:rsid w:val="00D65597"/>
    <w:rsid w:val="00D664ED"/>
    <w:rsid w:val="00D67884"/>
    <w:rsid w:val="00D72A84"/>
    <w:rsid w:val="00D73CAF"/>
    <w:rsid w:val="00D74920"/>
    <w:rsid w:val="00D74BDC"/>
    <w:rsid w:val="00D778A0"/>
    <w:rsid w:val="00D81C9D"/>
    <w:rsid w:val="00D82C4D"/>
    <w:rsid w:val="00D8559E"/>
    <w:rsid w:val="00D85A33"/>
    <w:rsid w:val="00D87641"/>
    <w:rsid w:val="00D87B52"/>
    <w:rsid w:val="00D9111D"/>
    <w:rsid w:val="00D920E6"/>
    <w:rsid w:val="00D93FA9"/>
    <w:rsid w:val="00D94783"/>
    <w:rsid w:val="00D973C4"/>
    <w:rsid w:val="00DA0307"/>
    <w:rsid w:val="00DA13F6"/>
    <w:rsid w:val="00DA1ABD"/>
    <w:rsid w:val="00DA2EAE"/>
    <w:rsid w:val="00DA3388"/>
    <w:rsid w:val="00DA40FE"/>
    <w:rsid w:val="00DA63FC"/>
    <w:rsid w:val="00DB0390"/>
    <w:rsid w:val="00DB1A28"/>
    <w:rsid w:val="00DB1CFA"/>
    <w:rsid w:val="00DB2D58"/>
    <w:rsid w:val="00DB74AB"/>
    <w:rsid w:val="00DC2AC6"/>
    <w:rsid w:val="00DC475D"/>
    <w:rsid w:val="00DC4788"/>
    <w:rsid w:val="00DC56B4"/>
    <w:rsid w:val="00DC6C58"/>
    <w:rsid w:val="00DD0FCA"/>
    <w:rsid w:val="00DD419E"/>
    <w:rsid w:val="00DD5ACC"/>
    <w:rsid w:val="00DD63B4"/>
    <w:rsid w:val="00DD68D9"/>
    <w:rsid w:val="00DE0492"/>
    <w:rsid w:val="00DE4D66"/>
    <w:rsid w:val="00DE53B6"/>
    <w:rsid w:val="00DE574C"/>
    <w:rsid w:val="00DE5D39"/>
    <w:rsid w:val="00DE6207"/>
    <w:rsid w:val="00DF0785"/>
    <w:rsid w:val="00DF0C49"/>
    <w:rsid w:val="00DF172C"/>
    <w:rsid w:val="00DF4DF3"/>
    <w:rsid w:val="00DF4E96"/>
    <w:rsid w:val="00DF7363"/>
    <w:rsid w:val="00E002A6"/>
    <w:rsid w:val="00E00573"/>
    <w:rsid w:val="00E01CDA"/>
    <w:rsid w:val="00E023A8"/>
    <w:rsid w:val="00E02627"/>
    <w:rsid w:val="00E02B40"/>
    <w:rsid w:val="00E02FCA"/>
    <w:rsid w:val="00E02FE2"/>
    <w:rsid w:val="00E03567"/>
    <w:rsid w:val="00E06124"/>
    <w:rsid w:val="00E1046F"/>
    <w:rsid w:val="00E12ED8"/>
    <w:rsid w:val="00E15199"/>
    <w:rsid w:val="00E20911"/>
    <w:rsid w:val="00E20CE0"/>
    <w:rsid w:val="00E22C10"/>
    <w:rsid w:val="00E24D62"/>
    <w:rsid w:val="00E259B2"/>
    <w:rsid w:val="00E26A50"/>
    <w:rsid w:val="00E2709C"/>
    <w:rsid w:val="00E27600"/>
    <w:rsid w:val="00E30B8A"/>
    <w:rsid w:val="00E34529"/>
    <w:rsid w:val="00E347ED"/>
    <w:rsid w:val="00E363A0"/>
    <w:rsid w:val="00E3693D"/>
    <w:rsid w:val="00E40035"/>
    <w:rsid w:val="00E4525D"/>
    <w:rsid w:val="00E47229"/>
    <w:rsid w:val="00E53186"/>
    <w:rsid w:val="00E53C90"/>
    <w:rsid w:val="00E557C7"/>
    <w:rsid w:val="00E55CC0"/>
    <w:rsid w:val="00E55CDB"/>
    <w:rsid w:val="00E568D7"/>
    <w:rsid w:val="00E611F4"/>
    <w:rsid w:val="00E6602F"/>
    <w:rsid w:val="00E66358"/>
    <w:rsid w:val="00E67022"/>
    <w:rsid w:val="00E70E1D"/>
    <w:rsid w:val="00E71D97"/>
    <w:rsid w:val="00E71E46"/>
    <w:rsid w:val="00E71E8D"/>
    <w:rsid w:val="00E72772"/>
    <w:rsid w:val="00E72783"/>
    <w:rsid w:val="00E75A86"/>
    <w:rsid w:val="00E76697"/>
    <w:rsid w:val="00E81F8D"/>
    <w:rsid w:val="00E82413"/>
    <w:rsid w:val="00E8401C"/>
    <w:rsid w:val="00E84A2C"/>
    <w:rsid w:val="00E874B9"/>
    <w:rsid w:val="00E91195"/>
    <w:rsid w:val="00E959C7"/>
    <w:rsid w:val="00EA1740"/>
    <w:rsid w:val="00EA1DA2"/>
    <w:rsid w:val="00EA2CB8"/>
    <w:rsid w:val="00EB18D6"/>
    <w:rsid w:val="00EB5CC2"/>
    <w:rsid w:val="00EC103B"/>
    <w:rsid w:val="00EC1792"/>
    <w:rsid w:val="00EC419E"/>
    <w:rsid w:val="00EC6548"/>
    <w:rsid w:val="00EC675A"/>
    <w:rsid w:val="00EC6BDE"/>
    <w:rsid w:val="00ED39FA"/>
    <w:rsid w:val="00ED4C26"/>
    <w:rsid w:val="00ED4CDF"/>
    <w:rsid w:val="00ED5560"/>
    <w:rsid w:val="00ED6134"/>
    <w:rsid w:val="00ED65BF"/>
    <w:rsid w:val="00ED7FA6"/>
    <w:rsid w:val="00EE1975"/>
    <w:rsid w:val="00EE1A7C"/>
    <w:rsid w:val="00EE24A8"/>
    <w:rsid w:val="00EE2607"/>
    <w:rsid w:val="00EE4131"/>
    <w:rsid w:val="00EE530E"/>
    <w:rsid w:val="00EE5BCF"/>
    <w:rsid w:val="00EE7165"/>
    <w:rsid w:val="00EE7BD0"/>
    <w:rsid w:val="00EF0E2A"/>
    <w:rsid w:val="00EF255F"/>
    <w:rsid w:val="00EF603F"/>
    <w:rsid w:val="00F00D19"/>
    <w:rsid w:val="00F01D4D"/>
    <w:rsid w:val="00F05C83"/>
    <w:rsid w:val="00F0727E"/>
    <w:rsid w:val="00F10C7C"/>
    <w:rsid w:val="00F10E42"/>
    <w:rsid w:val="00F1116E"/>
    <w:rsid w:val="00F12C7C"/>
    <w:rsid w:val="00F13C82"/>
    <w:rsid w:val="00F140E8"/>
    <w:rsid w:val="00F14C49"/>
    <w:rsid w:val="00F24A20"/>
    <w:rsid w:val="00F26771"/>
    <w:rsid w:val="00F30A62"/>
    <w:rsid w:val="00F318CA"/>
    <w:rsid w:val="00F3255C"/>
    <w:rsid w:val="00F32637"/>
    <w:rsid w:val="00F34F67"/>
    <w:rsid w:val="00F35C6E"/>
    <w:rsid w:val="00F36164"/>
    <w:rsid w:val="00F36616"/>
    <w:rsid w:val="00F36770"/>
    <w:rsid w:val="00F37CEA"/>
    <w:rsid w:val="00F42424"/>
    <w:rsid w:val="00F430D6"/>
    <w:rsid w:val="00F50C10"/>
    <w:rsid w:val="00F50E8F"/>
    <w:rsid w:val="00F50F92"/>
    <w:rsid w:val="00F523D6"/>
    <w:rsid w:val="00F527E5"/>
    <w:rsid w:val="00F53016"/>
    <w:rsid w:val="00F53D78"/>
    <w:rsid w:val="00F56134"/>
    <w:rsid w:val="00F568F3"/>
    <w:rsid w:val="00F572DD"/>
    <w:rsid w:val="00F60E0E"/>
    <w:rsid w:val="00F622DB"/>
    <w:rsid w:val="00F62B5B"/>
    <w:rsid w:val="00F64D89"/>
    <w:rsid w:val="00F76DEB"/>
    <w:rsid w:val="00F83496"/>
    <w:rsid w:val="00F845B6"/>
    <w:rsid w:val="00F900AB"/>
    <w:rsid w:val="00F958C9"/>
    <w:rsid w:val="00F95D16"/>
    <w:rsid w:val="00F96F74"/>
    <w:rsid w:val="00F970AC"/>
    <w:rsid w:val="00F979AD"/>
    <w:rsid w:val="00FA28FA"/>
    <w:rsid w:val="00FA43CA"/>
    <w:rsid w:val="00FA51F1"/>
    <w:rsid w:val="00FA65F9"/>
    <w:rsid w:val="00FB236C"/>
    <w:rsid w:val="00FB4EB3"/>
    <w:rsid w:val="00FB55D2"/>
    <w:rsid w:val="00FB5CF4"/>
    <w:rsid w:val="00FB6669"/>
    <w:rsid w:val="00FB78B3"/>
    <w:rsid w:val="00FC57D2"/>
    <w:rsid w:val="00FC7978"/>
    <w:rsid w:val="00FD07B6"/>
    <w:rsid w:val="00FD096E"/>
    <w:rsid w:val="00FD0D78"/>
    <w:rsid w:val="00FD2221"/>
    <w:rsid w:val="00FD2662"/>
    <w:rsid w:val="00FD41A8"/>
    <w:rsid w:val="00FD6D7F"/>
    <w:rsid w:val="00FE203E"/>
    <w:rsid w:val="00FE2FA9"/>
    <w:rsid w:val="00FE3FE0"/>
    <w:rsid w:val="00FE4C70"/>
    <w:rsid w:val="00FE6A2D"/>
    <w:rsid w:val="00FE7E3F"/>
    <w:rsid w:val="00FE7EE6"/>
    <w:rsid w:val="00FF4B2F"/>
    <w:rsid w:val="00FF4D80"/>
    <w:rsid w:val="00FF5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E35407C"/>
  <w15:chartTrackingRefBased/>
  <w15:docId w15:val="{4081EF19-C2AA-4042-9643-51B41DFA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lang w:val="en-GB"/>
    </w:rPr>
  </w:style>
  <w:style w:type="paragraph" w:styleId="Heading1">
    <w:name w:val="heading 1"/>
    <w:basedOn w:val="Normal"/>
    <w:next w:val="Normal"/>
    <w:link w:val="Heading1Char"/>
    <w:uiPriority w:val="9"/>
    <w:qFormat/>
    <w:rsid w:val="00FA43CA"/>
    <w:pPr>
      <w:keepNext/>
      <w:tabs>
        <w:tab w:val="clear" w:pos="1440"/>
        <w:tab w:val="clear" w:pos="4320"/>
        <w:tab w:val="clear" w:pos="9072"/>
      </w:tabs>
      <w:snapToGrid/>
      <w:spacing w:before="240" w:after="60"/>
      <w:outlineLvl w:val="0"/>
    </w:pPr>
    <w:rPr>
      <w:rFonts w:ascii="Arial" w:hAnsi="Arial"/>
      <w:b/>
      <w:kern w:val="28"/>
    </w:rPr>
  </w:style>
  <w:style w:type="paragraph" w:styleId="Heading2">
    <w:name w:val="heading 2"/>
    <w:basedOn w:val="Normal"/>
    <w:next w:val="Normal"/>
    <w:link w:val="Heading2Char"/>
    <w:qFormat/>
    <w:rsid w:val="00FA43CA"/>
    <w:pPr>
      <w:keepNext/>
      <w:snapToGrid/>
      <w:outlineLvl w:val="1"/>
    </w:pPr>
    <w:rPr>
      <w:b/>
      <w:bCs/>
      <w:sz w:val="20"/>
      <w:szCs w:val="24"/>
    </w:rPr>
  </w:style>
  <w:style w:type="paragraph" w:styleId="Heading3">
    <w:name w:val="heading 3"/>
    <w:basedOn w:val="Normal"/>
    <w:next w:val="Normal"/>
    <w:link w:val="Heading3Char"/>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rPr>
  </w:style>
  <w:style w:type="paragraph" w:styleId="Heading8">
    <w:name w:val="heading 8"/>
    <w:basedOn w:val="Normal"/>
    <w:next w:val="NormalIndent"/>
    <w:link w:val="Heading8Char"/>
    <w:qFormat/>
    <w:rsid w:val="00FA43CA"/>
    <w:pPr>
      <w:keepNext/>
      <w:tabs>
        <w:tab w:val="clear" w:pos="4320"/>
        <w:tab w:val="clear" w:pos="9072"/>
      </w:tabs>
      <w:spacing w:line="480" w:lineRule="auto"/>
      <w:jc w:val="center"/>
      <w:outlineLvl w:val="7"/>
    </w:pPr>
    <w:rPr>
      <w:sz w:val="26"/>
      <w:u w:val="single"/>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rPr>
  </w:style>
  <w:style w:type="paragraph" w:styleId="Header">
    <w:name w:val="header"/>
    <w:basedOn w:val="Normal"/>
    <w:link w:val="HeaderChar"/>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styleId="PageNumber">
    <w:name w:val="page number"/>
    <w:basedOn w:val="DefaultParagraphFont"/>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eastAsia="x-none"/>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style>
  <w:style w:type="table" w:styleId="TableGrid">
    <w:name w:val="Table Grid"/>
    <w:basedOn w:val="TableNormal"/>
    <w:uiPriority w:val="3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ListBullet">
    <w:name w:val="List Bullet"/>
    <w:basedOn w:val="Normal"/>
    <w:uiPriority w:val="99"/>
    <w:unhideWhenUsed/>
    <w:rsid w:val="00827C6D"/>
    <w:pPr>
      <w:numPr>
        <w:numId w:val="1"/>
      </w:numPr>
      <w:contextualSpacing/>
    </w:pPr>
  </w:style>
  <w:style w:type="character" w:styleId="Hyperlink">
    <w:name w:val="Hyperlink"/>
    <w:basedOn w:val="DefaultParagraphFont"/>
    <w:unhideWhenUsed/>
    <w:rsid w:val="001E6943"/>
    <w:rPr>
      <w:color w:val="0000FF"/>
      <w:u w:val="single"/>
    </w:rPr>
  </w:style>
  <w:style w:type="paragraph" w:customStyle="1" w:styleId="para">
    <w:name w:val="para"/>
    <w:rsid w:val="00C11937"/>
    <w:pPr>
      <w:numPr>
        <w:numId w:val="2"/>
      </w:numPr>
      <w:snapToGrid w:val="0"/>
      <w:spacing w:before="480" w:line="360" w:lineRule="auto"/>
      <w:jc w:val="both"/>
    </w:pPr>
    <w:rPr>
      <w:sz w:val="28"/>
      <w:szCs w:val="28"/>
      <w:lang w:val="en-GB"/>
    </w:rPr>
  </w:style>
  <w:style w:type="paragraph" w:customStyle="1" w:styleId="Quote1">
    <w:name w:val="Quote1"/>
    <w:rsid w:val="00C11937"/>
    <w:pPr>
      <w:tabs>
        <w:tab w:val="left" w:pos="1985"/>
      </w:tabs>
      <w:adjustRightInd w:val="0"/>
      <w:snapToGrid w:val="0"/>
      <w:spacing w:before="120" w:after="120"/>
      <w:ind w:left="1418" w:right="737"/>
    </w:pPr>
    <w:rPr>
      <w:sz w:val="24"/>
      <w:szCs w:val="24"/>
      <w:lang w:val="en-GB"/>
    </w:rPr>
  </w:style>
  <w:style w:type="paragraph" w:customStyle="1" w:styleId="j-draft">
    <w:name w:val="j-draft"/>
    <w:basedOn w:val="Normal"/>
    <w:rsid w:val="00C11937"/>
    <w:pPr>
      <w:numPr>
        <w:numId w:val="3"/>
      </w:numPr>
      <w:tabs>
        <w:tab w:val="clear" w:pos="1440"/>
        <w:tab w:val="clear" w:pos="4320"/>
        <w:tab w:val="clear" w:pos="9072"/>
        <w:tab w:val="left" w:pos="1418"/>
      </w:tabs>
      <w:kinsoku w:val="0"/>
      <w:overflowPunct w:val="0"/>
      <w:autoSpaceDE w:val="0"/>
      <w:autoSpaceDN w:val="0"/>
      <w:adjustRightInd w:val="0"/>
      <w:spacing w:before="360" w:line="360" w:lineRule="auto"/>
      <w:jc w:val="both"/>
    </w:pPr>
    <w:rPr>
      <w:rFonts w:eastAsia="MingLiU"/>
      <w:snapToGrid w:val="0"/>
    </w:rPr>
  </w:style>
  <w:style w:type="paragraph" w:customStyle="1" w:styleId="ar-quotation">
    <w:name w:val="ar-quotation"/>
    <w:basedOn w:val="Normal"/>
    <w:rsid w:val="00C11937"/>
    <w:pPr>
      <w:tabs>
        <w:tab w:val="clear" w:pos="4320"/>
        <w:tab w:val="clear" w:pos="9072"/>
        <w:tab w:val="left" w:pos="2160"/>
      </w:tabs>
      <w:spacing w:before="240"/>
      <w:ind w:left="1418" w:right="737"/>
      <w:jc w:val="both"/>
    </w:pPr>
    <w:rPr>
      <w:rFonts w:eastAsia="MingLiU"/>
      <w:sz w:val="24"/>
    </w:rPr>
  </w:style>
  <w:style w:type="character" w:customStyle="1" w:styleId="apple-converted-space">
    <w:name w:val="apple-converted-space"/>
    <w:basedOn w:val="DefaultParagraphFont"/>
    <w:rsid w:val="00C11937"/>
  </w:style>
  <w:style w:type="character" w:styleId="CommentReference">
    <w:name w:val="annotation reference"/>
    <w:semiHidden/>
    <w:rsid w:val="00C11937"/>
    <w:rPr>
      <w:sz w:val="21"/>
      <w:szCs w:val="21"/>
    </w:rPr>
  </w:style>
  <w:style w:type="paragraph" w:styleId="CommentText">
    <w:name w:val="annotation text"/>
    <w:basedOn w:val="Normal"/>
    <w:link w:val="CommentTextChar"/>
    <w:semiHidden/>
    <w:rsid w:val="00C11937"/>
    <w:pPr>
      <w:widowControl w:val="0"/>
      <w:tabs>
        <w:tab w:val="clear" w:pos="1440"/>
        <w:tab w:val="clear" w:pos="4320"/>
        <w:tab w:val="clear" w:pos="9072"/>
      </w:tabs>
      <w:snapToGrid/>
    </w:pPr>
    <w:rPr>
      <w:kern w:val="2"/>
      <w:sz w:val="21"/>
      <w:szCs w:val="24"/>
      <w:lang w:val="en-US"/>
    </w:rPr>
  </w:style>
  <w:style w:type="character" w:customStyle="1" w:styleId="CommentTextChar">
    <w:name w:val="Comment Text Char"/>
    <w:basedOn w:val="DefaultParagraphFont"/>
    <w:link w:val="CommentText"/>
    <w:semiHidden/>
    <w:rsid w:val="00C11937"/>
    <w:rPr>
      <w:kern w:val="2"/>
      <w:sz w:val="21"/>
      <w:szCs w:val="24"/>
    </w:rPr>
  </w:style>
  <w:style w:type="paragraph" w:styleId="CommentSubject">
    <w:name w:val="annotation subject"/>
    <w:basedOn w:val="CommentText"/>
    <w:next w:val="CommentText"/>
    <w:link w:val="CommentSubjectChar"/>
    <w:semiHidden/>
    <w:rsid w:val="00C11937"/>
    <w:rPr>
      <w:b/>
      <w:bCs/>
    </w:rPr>
  </w:style>
  <w:style w:type="character" w:customStyle="1" w:styleId="CommentSubjectChar">
    <w:name w:val="Comment Subject Char"/>
    <w:basedOn w:val="CommentTextChar"/>
    <w:link w:val="CommentSubject"/>
    <w:semiHidden/>
    <w:rsid w:val="00C11937"/>
    <w:rPr>
      <w:b/>
      <w:bCs/>
      <w:kern w:val="2"/>
      <w:sz w:val="21"/>
      <w:szCs w:val="24"/>
    </w:rPr>
  </w:style>
  <w:style w:type="paragraph" w:styleId="BalloonText">
    <w:name w:val="Balloon Text"/>
    <w:basedOn w:val="Normal"/>
    <w:link w:val="BalloonTextChar"/>
    <w:uiPriority w:val="99"/>
    <w:semiHidden/>
    <w:rsid w:val="00C11937"/>
    <w:pPr>
      <w:widowControl w:val="0"/>
      <w:tabs>
        <w:tab w:val="clear" w:pos="1440"/>
        <w:tab w:val="clear" w:pos="4320"/>
        <w:tab w:val="clear" w:pos="9072"/>
      </w:tabs>
      <w:snapToGrid/>
      <w:jc w:val="both"/>
    </w:pPr>
    <w:rPr>
      <w:kern w:val="2"/>
      <w:sz w:val="18"/>
      <w:szCs w:val="18"/>
      <w:lang w:val="en-US"/>
    </w:rPr>
  </w:style>
  <w:style w:type="character" w:customStyle="1" w:styleId="BalloonTextChar">
    <w:name w:val="Balloon Text Char"/>
    <w:basedOn w:val="DefaultParagraphFont"/>
    <w:link w:val="BalloonText"/>
    <w:uiPriority w:val="99"/>
    <w:semiHidden/>
    <w:rsid w:val="00C11937"/>
    <w:rPr>
      <w:kern w:val="2"/>
      <w:sz w:val="18"/>
      <w:szCs w:val="18"/>
    </w:rPr>
  </w:style>
  <w:style w:type="paragraph" w:styleId="FootnoteText">
    <w:name w:val="footnote text"/>
    <w:basedOn w:val="Normal"/>
    <w:link w:val="FootnoteTextChar"/>
    <w:uiPriority w:val="99"/>
    <w:rsid w:val="00C11937"/>
    <w:pPr>
      <w:widowControl w:val="0"/>
      <w:tabs>
        <w:tab w:val="clear" w:pos="1440"/>
        <w:tab w:val="clear" w:pos="4320"/>
        <w:tab w:val="clear" w:pos="9072"/>
      </w:tabs>
    </w:pPr>
    <w:rPr>
      <w:kern w:val="2"/>
      <w:sz w:val="18"/>
      <w:szCs w:val="18"/>
      <w:lang w:val="en-US"/>
    </w:rPr>
  </w:style>
  <w:style w:type="character" w:customStyle="1" w:styleId="FootnoteTextChar">
    <w:name w:val="Footnote Text Char"/>
    <w:basedOn w:val="DefaultParagraphFont"/>
    <w:link w:val="FootnoteText"/>
    <w:uiPriority w:val="99"/>
    <w:rsid w:val="00C11937"/>
    <w:rPr>
      <w:kern w:val="2"/>
      <w:sz w:val="18"/>
      <w:szCs w:val="18"/>
    </w:rPr>
  </w:style>
  <w:style w:type="character" w:styleId="FootnoteReference">
    <w:name w:val="footnote reference"/>
    <w:uiPriority w:val="99"/>
    <w:rsid w:val="00C11937"/>
    <w:rPr>
      <w:vertAlign w:val="superscript"/>
    </w:rPr>
  </w:style>
  <w:style w:type="paragraph" w:styleId="NormalWeb">
    <w:name w:val="Normal (Web)"/>
    <w:basedOn w:val="Normal"/>
    <w:uiPriority w:val="99"/>
    <w:rsid w:val="00C11937"/>
    <w:pPr>
      <w:tabs>
        <w:tab w:val="clear" w:pos="1440"/>
        <w:tab w:val="clear" w:pos="4320"/>
        <w:tab w:val="clear" w:pos="9072"/>
      </w:tabs>
      <w:snapToGrid/>
      <w:spacing w:before="100" w:beforeAutospacing="1" w:after="100" w:afterAutospacing="1"/>
    </w:pPr>
    <w:rPr>
      <w:rFonts w:ascii="宋体" w:hAnsi="宋体" w:cs="宋体"/>
      <w:sz w:val="24"/>
      <w:szCs w:val="24"/>
      <w:lang w:val="en-US"/>
    </w:rPr>
  </w:style>
  <w:style w:type="paragraph" w:styleId="HTMLPreformatted">
    <w:name w:val="HTML Preformatted"/>
    <w:basedOn w:val="Normal"/>
    <w:link w:val="HTMLPreformattedChar"/>
    <w:rsid w:val="00C11937"/>
    <w:pPr>
      <w:tabs>
        <w:tab w:val="clear" w:pos="1440"/>
        <w:tab w:val="clear" w:pos="4320"/>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sz w:val="24"/>
      <w:szCs w:val="24"/>
      <w:lang w:val="en-US"/>
    </w:rPr>
  </w:style>
  <w:style w:type="character" w:customStyle="1" w:styleId="HTMLPreformattedChar">
    <w:name w:val="HTML Preformatted Char"/>
    <w:basedOn w:val="DefaultParagraphFont"/>
    <w:link w:val="HTMLPreformatted"/>
    <w:rsid w:val="00C11937"/>
    <w:rPr>
      <w:rFonts w:ascii="宋体" w:hAnsi="宋体" w:cs="宋体"/>
      <w:sz w:val="24"/>
      <w:szCs w:val="24"/>
    </w:rPr>
  </w:style>
  <w:style w:type="character" w:styleId="Strong">
    <w:name w:val="Strong"/>
    <w:qFormat/>
    <w:rsid w:val="00C11937"/>
    <w:rPr>
      <w:b/>
      <w:bCs/>
    </w:rPr>
  </w:style>
  <w:style w:type="paragraph" w:styleId="Date">
    <w:name w:val="Date"/>
    <w:basedOn w:val="Normal"/>
    <w:next w:val="Normal"/>
    <w:link w:val="DateChar"/>
    <w:rsid w:val="00C11937"/>
    <w:pPr>
      <w:widowControl w:val="0"/>
      <w:tabs>
        <w:tab w:val="clear" w:pos="1440"/>
        <w:tab w:val="clear" w:pos="4320"/>
        <w:tab w:val="clear" w:pos="9072"/>
      </w:tabs>
      <w:snapToGrid/>
      <w:ind w:leftChars="2500" w:left="100"/>
      <w:jc w:val="both"/>
    </w:pPr>
    <w:rPr>
      <w:kern w:val="2"/>
      <w:sz w:val="21"/>
      <w:szCs w:val="24"/>
      <w:lang w:val="en-US"/>
    </w:rPr>
  </w:style>
  <w:style w:type="character" w:customStyle="1" w:styleId="DateChar">
    <w:name w:val="Date Char"/>
    <w:basedOn w:val="DefaultParagraphFont"/>
    <w:link w:val="Date"/>
    <w:rsid w:val="00C11937"/>
    <w:rPr>
      <w:kern w:val="2"/>
      <w:sz w:val="21"/>
      <w:szCs w:val="24"/>
    </w:rPr>
  </w:style>
  <w:style w:type="character" w:customStyle="1" w:styleId="searchterm">
    <w:name w:val="searchterm"/>
    <w:basedOn w:val="DefaultParagraphFont"/>
    <w:rsid w:val="00C11937"/>
  </w:style>
  <w:style w:type="paragraph" w:customStyle="1" w:styleId="Default">
    <w:name w:val="Default"/>
    <w:rsid w:val="00C11937"/>
    <w:pPr>
      <w:widowControl w:val="0"/>
      <w:autoSpaceDE w:val="0"/>
      <w:autoSpaceDN w:val="0"/>
      <w:adjustRightInd w:val="0"/>
    </w:pPr>
    <w:rPr>
      <w:color w:val="000000"/>
      <w:sz w:val="24"/>
      <w:szCs w:val="24"/>
    </w:rPr>
  </w:style>
  <w:style w:type="character" w:customStyle="1" w:styleId="Normal10">
    <w:name w:val="Normal1"/>
    <w:basedOn w:val="DefaultParagraphFont"/>
    <w:rsid w:val="00C11937"/>
  </w:style>
  <w:style w:type="character" w:customStyle="1" w:styleId="HeaderChar">
    <w:name w:val="Header Char"/>
    <w:basedOn w:val="DefaultParagraphFont"/>
    <w:link w:val="Header"/>
    <w:rsid w:val="00C11937"/>
    <w:rPr>
      <w:sz w:val="18"/>
      <w:lang w:val="en-GB"/>
    </w:rPr>
  </w:style>
  <w:style w:type="character" w:customStyle="1" w:styleId="FooterChar">
    <w:name w:val="Footer Char"/>
    <w:basedOn w:val="DefaultParagraphFont"/>
    <w:link w:val="Footer"/>
    <w:rsid w:val="00C11937"/>
    <w:rPr>
      <w:lang w:val="en-GB"/>
    </w:rPr>
  </w:style>
  <w:style w:type="paragraph" w:customStyle="1" w:styleId="Body">
    <w:name w:val="Body"/>
    <w:rsid w:val="0077632B"/>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heading0">
    <w:name w:val="heading"/>
    <w:basedOn w:val="Normal"/>
    <w:rsid w:val="00363A22"/>
    <w:pPr>
      <w:tabs>
        <w:tab w:val="clear" w:pos="1440"/>
        <w:tab w:val="clear" w:pos="4320"/>
        <w:tab w:val="clear" w:pos="9072"/>
      </w:tabs>
      <w:snapToGrid/>
      <w:spacing w:before="100" w:beforeAutospacing="1" w:after="100" w:afterAutospacing="1"/>
    </w:pPr>
    <w:rPr>
      <w:rFonts w:eastAsia="Times New Roman"/>
      <w:sz w:val="24"/>
      <w:szCs w:val="24"/>
      <w:lang w:val="en-US"/>
    </w:rPr>
  </w:style>
  <w:style w:type="paragraph" w:customStyle="1" w:styleId="Level1">
    <w:name w:val="Level 1"/>
    <w:basedOn w:val="Normal"/>
    <w:rsid w:val="00363A22"/>
    <w:pPr>
      <w:widowControl w:val="0"/>
      <w:tabs>
        <w:tab w:val="clear" w:pos="1440"/>
        <w:tab w:val="clear" w:pos="4320"/>
        <w:tab w:val="clear" w:pos="9072"/>
      </w:tabs>
      <w:suppressAutoHyphens/>
      <w:snapToGrid/>
    </w:pPr>
    <w:rPr>
      <w:rFonts w:eastAsia="PMingLiU"/>
      <w:sz w:val="24"/>
      <w:lang w:val="en-US" w:eastAsia="ar-SA"/>
    </w:rPr>
  </w:style>
  <w:style w:type="paragraph" w:customStyle="1" w:styleId="loose">
    <w:name w:val="loose"/>
    <w:basedOn w:val="Normal"/>
    <w:rsid w:val="00363A22"/>
    <w:pPr>
      <w:tabs>
        <w:tab w:val="clear" w:pos="1440"/>
        <w:tab w:val="clear" w:pos="4320"/>
        <w:tab w:val="clear" w:pos="9072"/>
      </w:tabs>
      <w:snapToGrid/>
      <w:spacing w:before="100" w:beforeAutospacing="1" w:after="100" w:afterAutospacing="1"/>
    </w:pPr>
    <w:rPr>
      <w:sz w:val="24"/>
      <w:szCs w:val="24"/>
      <w:lang w:eastAsia="zh-TW"/>
    </w:rPr>
  </w:style>
  <w:style w:type="character" w:customStyle="1" w:styleId="italic">
    <w:name w:val="italic"/>
    <w:rsid w:val="00363A22"/>
  </w:style>
  <w:style w:type="character" w:styleId="FollowedHyperlink">
    <w:name w:val="FollowedHyperlink"/>
    <w:uiPriority w:val="99"/>
    <w:semiHidden/>
    <w:unhideWhenUsed/>
    <w:rsid w:val="00363A22"/>
    <w:rPr>
      <w:color w:val="800080"/>
      <w:u w:val="single"/>
    </w:rPr>
  </w:style>
  <w:style w:type="character" w:styleId="PlaceholderText">
    <w:name w:val="Placeholder Text"/>
    <w:uiPriority w:val="99"/>
    <w:semiHidden/>
    <w:rsid w:val="000D0F73"/>
    <w:rPr>
      <w:color w:val="808080"/>
    </w:rPr>
  </w:style>
  <w:style w:type="character" w:customStyle="1" w:styleId="Bob1Char">
    <w:name w:val="Bob 1 Char"/>
    <w:basedOn w:val="DefaultParagraphFont"/>
    <w:link w:val="Bob1"/>
    <w:locked/>
    <w:rsid w:val="00811D76"/>
    <w:rPr>
      <w:lang w:val="en-GB"/>
    </w:rPr>
  </w:style>
  <w:style w:type="paragraph" w:customStyle="1" w:styleId="Bob1">
    <w:name w:val="Bob 1"/>
    <w:link w:val="Bob1Char"/>
    <w:qFormat/>
    <w:rsid w:val="00811D76"/>
    <w:pPr>
      <w:numPr>
        <w:numId w:val="5"/>
      </w:numPr>
      <w:kinsoku w:val="0"/>
      <w:autoSpaceDE w:val="0"/>
      <w:autoSpaceDN w:val="0"/>
      <w:snapToGrid w:val="0"/>
      <w:spacing w:after="240" w:line="360" w:lineRule="auto"/>
    </w:pPr>
    <w:rPr>
      <w:lang w:val="en-GB"/>
    </w:rPr>
  </w:style>
  <w:style w:type="character" w:customStyle="1" w:styleId="docmapheadingChar">
    <w:name w:val="doc map heading Char"/>
    <w:basedOn w:val="DefaultParagraphFont"/>
    <w:link w:val="docmapheading"/>
    <w:locked/>
    <w:rsid w:val="002C2483"/>
    <w:rPr>
      <w:rFonts w:ascii="PMingLiU" w:eastAsia="PMingLiU" w:hAnsi="PMingLiU"/>
      <w:i/>
      <w:spacing w:val="15"/>
      <w:szCs w:val="28"/>
      <w:lang w:val="en-GB"/>
    </w:rPr>
  </w:style>
  <w:style w:type="paragraph" w:customStyle="1" w:styleId="docmapheading">
    <w:name w:val="doc map heading"/>
    <w:basedOn w:val="DocumentMap"/>
    <w:link w:val="docmapheadingChar"/>
    <w:autoRedefine/>
    <w:qFormat/>
    <w:rsid w:val="002C2483"/>
    <w:pPr>
      <w:spacing w:line="360" w:lineRule="auto"/>
      <w:ind w:left="1440" w:right="746"/>
      <w:jc w:val="both"/>
      <w:outlineLvl w:val="1"/>
    </w:pPr>
    <w:rPr>
      <w:rFonts w:ascii="PMingLiU" w:eastAsia="PMingLiU" w:hAnsi="PMingLiU" w:cs="Times New Roman"/>
      <w:i/>
      <w:spacing w:val="15"/>
      <w:sz w:val="20"/>
      <w:szCs w:val="28"/>
      <w:lang w:val="en-GB" w:eastAsia="zh-CN"/>
    </w:rPr>
  </w:style>
  <w:style w:type="paragraph" w:styleId="DocumentMap">
    <w:name w:val="Document Map"/>
    <w:basedOn w:val="Normal"/>
    <w:link w:val="DocumentMapChar"/>
    <w:uiPriority w:val="99"/>
    <w:semiHidden/>
    <w:unhideWhenUsed/>
    <w:rsid w:val="00811D76"/>
    <w:pPr>
      <w:tabs>
        <w:tab w:val="clear" w:pos="1440"/>
        <w:tab w:val="clear" w:pos="4320"/>
        <w:tab w:val="clear" w:pos="9072"/>
      </w:tabs>
      <w:snapToGrid/>
    </w:pPr>
    <w:rPr>
      <w:rFonts w:ascii="Segoe UI" w:eastAsiaTheme="minorEastAsia" w:hAnsi="Segoe UI" w:cs="Segoe UI"/>
      <w:sz w:val="16"/>
      <w:szCs w:val="16"/>
      <w:lang w:val="en-HK" w:eastAsia="zh-TW"/>
    </w:rPr>
  </w:style>
  <w:style w:type="character" w:customStyle="1" w:styleId="DocumentMapChar">
    <w:name w:val="Document Map Char"/>
    <w:basedOn w:val="DefaultParagraphFont"/>
    <w:link w:val="DocumentMap"/>
    <w:uiPriority w:val="99"/>
    <w:semiHidden/>
    <w:rsid w:val="00811D76"/>
    <w:rPr>
      <w:rFonts w:ascii="Segoe UI" w:eastAsiaTheme="minorEastAsia" w:hAnsi="Segoe UI" w:cs="Segoe UI"/>
      <w:sz w:val="16"/>
      <w:szCs w:val="16"/>
      <w:lang w:val="en-HK" w:eastAsia="zh-TW"/>
    </w:rPr>
  </w:style>
  <w:style w:type="paragraph" w:styleId="Closing">
    <w:name w:val="Closing"/>
    <w:basedOn w:val="Normal"/>
    <w:link w:val="ClosingChar"/>
    <w:uiPriority w:val="99"/>
    <w:semiHidden/>
    <w:unhideWhenUsed/>
    <w:rsid w:val="00811D76"/>
    <w:pPr>
      <w:tabs>
        <w:tab w:val="clear" w:pos="1440"/>
        <w:tab w:val="clear" w:pos="4320"/>
        <w:tab w:val="clear" w:pos="9072"/>
      </w:tabs>
      <w:snapToGrid/>
      <w:ind w:left="4252"/>
    </w:pPr>
    <w:rPr>
      <w:rFonts w:asciiTheme="minorHAnsi" w:eastAsia="等线" w:hAnsiTheme="minorHAnsi" w:cstheme="minorBidi"/>
      <w:sz w:val="22"/>
      <w:szCs w:val="22"/>
      <w:lang w:val="en-HK"/>
    </w:rPr>
  </w:style>
  <w:style w:type="character" w:customStyle="1" w:styleId="ClosingChar">
    <w:name w:val="Closing Char"/>
    <w:basedOn w:val="DefaultParagraphFont"/>
    <w:link w:val="Closing"/>
    <w:uiPriority w:val="99"/>
    <w:semiHidden/>
    <w:rsid w:val="00811D76"/>
    <w:rPr>
      <w:rFonts w:asciiTheme="minorHAnsi" w:eastAsia="等线" w:hAnsiTheme="minorHAnsi" w:cstheme="minorBidi"/>
      <w:sz w:val="22"/>
      <w:szCs w:val="22"/>
      <w:lang w:val="en-HK"/>
    </w:rPr>
  </w:style>
  <w:style w:type="paragraph" w:styleId="Salutation">
    <w:name w:val="Salutation"/>
    <w:basedOn w:val="Normal"/>
    <w:next w:val="Normal"/>
    <w:link w:val="SalutationChar"/>
    <w:uiPriority w:val="99"/>
    <w:semiHidden/>
    <w:unhideWhenUsed/>
    <w:rsid w:val="00811D76"/>
    <w:pPr>
      <w:tabs>
        <w:tab w:val="clear" w:pos="1440"/>
        <w:tab w:val="clear" w:pos="4320"/>
        <w:tab w:val="clear" w:pos="9072"/>
      </w:tabs>
      <w:snapToGrid/>
      <w:spacing w:after="160" w:line="256" w:lineRule="auto"/>
    </w:pPr>
    <w:rPr>
      <w:rFonts w:asciiTheme="minorHAnsi" w:eastAsia="等线" w:hAnsiTheme="minorHAnsi" w:cstheme="minorBidi"/>
      <w:sz w:val="22"/>
      <w:szCs w:val="22"/>
      <w:lang w:val="en-HK"/>
    </w:rPr>
  </w:style>
  <w:style w:type="character" w:customStyle="1" w:styleId="SalutationChar">
    <w:name w:val="Salutation Char"/>
    <w:basedOn w:val="DefaultParagraphFont"/>
    <w:link w:val="Salutation"/>
    <w:uiPriority w:val="99"/>
    <w:semiHidden/>
    <w:rsid w:val="00811D76"/>
    <w:rPr>
      <w:rFonts w:asciiTheme="minorHAnsi" w:eastAsia="等线" w:hAnsiTheme="minorHAnsi" w:cstheme="minorBidi"/>
      <w:sz w:val="22"/>
      <w:szCs w:val="22"/>
      <w:lang w:val="en-HK"/>
    </w:rPr>
  </w:style>
  <w:style w:type="character" w:customStyle="1" w:styleId="Heading2Char">
    <w:name w:val="Heading 2 Char"/>
    <w:basedOn w:val="DefaultParagraphFont"/>
    <w:link w:val="Heading2"/>
    <w:rsid w:val="00383504"/>
    <w:rPr>
      <w:b/>
      <w:bCs/>
      <w:szCs w:val="24"/>
      <w:lang w:val="en-GB"/>
    </w:rPr>
  </w:style>
  <w:style w:type="character" w:customStyle="1" w:styleId="Heading3Char">
    <w:name w:val="Heading 3 Char"/>
    <w:basedOn w:val="DefaultParagraphFont"/>
    <w:link w:val="Heading3"/>
    <w:rsid w:val="00383504"/>
    <w:rPr>
      <w:b/>
      <w:bCs/>
      <w:szCs w:val="24"/>
      <w:lang w:val="en-GB"/>
    </w:rPr>
  </w:style>
  <w:style w:type="character" w:customStyle="1" w:styleId="Heading8Char">
    <w:name w:val="Heading 8 Char"/>
    <w:basedOn w:val="DefaultParagraphFont"/>
    <w:link w:val="Heading8"/>
    <w:rsid w:val="00383504"/>
    <w:rPr>
      <w:sz w:val="26"/>
      <w:u w:val="single"/>
      <w:lang w:val="en-GB"/>
    </w:rPr>
  </w:style>
  <w:style w:type="character" w:customStyle="1" w:styleId="Heading1Char">
    <w:name w:val="Heading 1 Char"/>
    <w:basedOn w:val="DefaultParagraphFont"/>
    <w:link w:val="Heading1"/>
    <w:uiPriority w:val="9"/>
    <w:rsid w:val="00383504"/>
    <w:rPr>
      <w:rFonts w:ascii="Arial" w:hAnsi="Arial"/>
      <w:b/>
      <w:kern w:val="28"/>
      <w:sz w:val="28"/>
      <w:lang w:val="en-GB"/>
    </w:rPr>
  </w:style>
  <w:style w:type="character" w:customStyle="1" w:styleId="case-para-label">
    <w:name w:val="case-para-label"/>
    <w:basedOn w:val="DefaultParagraphFont"/>
    <w:rsid w:val="00383504"/>
  </w:style>
  <w:style w:type="character" w:styleId="Emphasis">
    <w:name w:val="Emphasis"/>
    <w:basedOn w:val="DefaultParagraphFont"/>
    <w:uiPriority w:val="20"/>
    <w:qFormat/>
    <w:rsid w:val="00383504"/>
    <w:rPr>
      <w:i/>
      <w:iCs/>
    </w:rPr>
  </w:style>
  <w:style w:type="character" w:customStyle="1" w:styleId="n-highlight">
    <w:name w:val="n-highlight"/>
    <w:basedOn w:val="DefaultParagraphFont"/>
    <w:rsid w:val="00383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7193A24442483D8D34EAB321028030"/>
        <w:category>
          <w:name w:val="General"/>
          <w:gallery w:val="placeholder"/>
        </w:category>
        <w:types>
          <w:type w:val="bbPlcHdr"/>
        </w:types>
        <w:behaviors>
          <w:behavior w:val="content"/>
        </w:behaviors>
        <w:guid w:val="{2BE96775-1DB2-470F-B97A-EC5641AA6C8A}"/>
      </w:docPartPr>
      <w:docPartBody>
        <w:p w:rsidR="00775156" w:rsidRDefault="006214EF" w:rsidP="006214EF">
          <w:pPr>
            <w:pStyle w:val="4A7193A24442483D8D34EAB321028030"/>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TimesNewRomanPSMT">
    <w:altName w:val="宋体"/>
    <w:panose1 w:val="00000000000000000000"/>
    <w:charset w:val="00"/>
    <w:family w:val="roman"/>
    <w:notTrueType/>
    <w:pitch w:val="default"/>
    <w:sig w:usb0="00000003" w:usb1="00000000" w:usb2="00000000" w:usb3="00000000" w:csb0="00000001" w:csb1="00000000"/>
  </w:font>
  <w:font w:name="TimesNewRomanPS-BoldMT">
    <w:altName w:val="SimSun"/>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FKai-SB">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EF"/>
    <w:rsid w:val="000534F3"/>
    <w:rsid w:val="00097E27"/>
    <w:rsid w:val="000F1FE8"/>
    <w:rsid w:val="00141173"/>
    <w:rsid w:val="00184F60"/>
    <w:rsid w:val="00262626"/>
    <w:rsid w:val="00263910"/>
    <w:rsid w:val="002C3D4D"/>
    <w:rsid w:val="003D355A"/>
    <w:rsid w:val="003F7E9F"/>
    <w:rsid w:val="0042138D"/>
    <w:rsid w:val="004312BE"/>
    <w:rsid w:val="005F13D0"/>
    <w:rsid w:val="005F1E83"/>
    <w:rsid w:val="006214EF"/>
    <w:rsid w:val="006D50DC"/>
    <w:rsid w:val="006E7541"/>
    <w:rsid w:val="00775156"/>
    <w:rsid w:val="00A11F69"/>
    <w:rsid w:val="00A40889"/>
    <w:rsid w:val="00AC0F61"/>
    <w:rsid w:val="00AC2917"/>
    <w:rsid w:val="00B32D66"/>
    <w:rsid w:val="00BB005F"/>
    <w:rsid w:val="00CE224D"/>
    <w:rsid w:val="00D67154"/>
    <w:rsid w:val="00E34B4F"/>
    <w:rsid w:val="00E85212"/>
    <w:rsid w:val="00ED36E5"/>
    <w:rsid w:val="00F102F4"/>
    <w:rsid w:val="00F90D78"/>
    <w:rsid w:val="00FB7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214EF"/>
    <w:rPr>
      <w:color w:val="808080"/>
    </w:rPr>
  </w:style>
  <w:style w:type="paragraph" w:customStyle="1" w:styleId="4A7193A24442483D8D34EAB321028030">
    <w:name w:val="4A7193A24442483D8D34EAB321028030"/>
    <w:rsid w:val="00621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E5351-B4F2-4EB7-94B8-0602251FF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29</TotalTime>
  <Pages>25</Pages>
  <Words>4657</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15</cp:revision>
  <cp:lastPrinted>2020-05-21T07:36:00Z</cp:lastPrinted>
  <dcterms:created xsi:type="dcterms:W3CDTF">2020-05-21T09:26:00Z</dcterms:created>
  <dcterms:modified xsi:type="dcterms:W3CDTF">2020-05-29T06:35:00Z</dcterms:modified>
</cp:coreProperties>
</file>