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13739" w14:textId="77777777" w:rsidR="00D0454A" w:rsidRPr="003304E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C372BF">
        <w:rPr>
          <w:rFonts w:ascii="Times New Roman" w:eastAsia="PMingLiU" w:hAnsi="Times New Roman"/>
          <w:b w:val="0"/>
          <w:kern w:val="0"/>
          <w:szCs w:val="28"/>
          <w:lang w:eastAsia="zh-TW"/>
        </w:rPr>
        <w:t>3365/2020</w:t>
      </w:r>
    </w:p>
    <w:p w14:paraId="678F3DE2" w14:textId="63E51B33" w:rsidR="00D0454A" w:rsidRPr="003304EA" w:rsidRDefault="00CA3B7F" w:rsidP="00D412B1">
      <w:pPr>
        <w:jc w:val="right"/>
        <w:rPr>
          <w:rFonts w:eastAsia="PMingLiU"/>
          <w:szCs w:val="28"/>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D412B1" w:rsidRPr="00D412B1">
            <w:rPr>
              <w:rStyle w:val="PlaceholderText"/>
              <w:color w:val="auto"/>
            </w:rPr>
            <w:t>[2022] HKDC 276</w:t>
          </w:r>
        </w:sdtContent>
      </w:sdt>
    </w:p>
    <w:p w14:paraId="7D4603EE" w14:textId="3F910D80" w:rsidR="00D0454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pPr>
    </w:p>
    <w:p w14:paraId="3ABFCF34" w14:textId="77777777" w:rsidR="00D412B1" w:rsidRPr="003304EA" w:rsidRDefault="00D412B1"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412B1"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0211B2D5" w14:textId="77777777"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14:paraId="7C06421C" w14:textId="77777777"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14:paraId="172316E0" w14:textId="77777777"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 xml:space="preserve">PERSONAL INJURIES ACTION NO </w:t>
      </w:r>
      <w:r w:rsidR="00C372BF">
        <w:rPr>
          <w:rFonts w:ascii="Times New Roman" w:hAnsi="Times New Roman"/>
          <w:b w:val="0"/>
          <w:kern w:val="0"/>
          <w:szCs w:val="28"/>
          <w:lang w:val="en-US"/>
        </w:rPr>
        <w:t>3365 OF 2020</w:t>
      </w:r>
    </w:p>
    <w:p w14:paraId="38314CBE" w14:textId="77777777" w:rsidR="00D0454A" w:rsidRPr="006E39C1" w:rsidRDefault="00D0454A" w:rsidP="00D0454A">
      <w:pPr>
        <w:spacing w:line="360" w:lineRule="auto"/>
        <w:rPr>
          <w:szCs w:val="28"/>
          <w:lang w:val="en-GB" w:eastAsia="zh-TW"/>
        </w:rPr>
      </w:pPr>
    </w:p>
    <w:p w14:paraId="5659E5CC" w14:textId="77777777"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51D1959B" w14:textId="77777777"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14:paraId="7065349F" w14:textId="77777777" w:rsidR="00D0454A" w:rsidRPr="006E39C1" w:rsidRDefault="00D0454A" w:rsidP="00F74A1E">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C372BF" w:rsidRPr="00C372BF">
        <w:rPr>
          <w:bCs/>
          <w:szCs w:val="28"/>
        </w:rPr>
        <w:t xml:space="preserve">PIES, JOHN DAVID  </w:t>
      </w:r>
      <w:r w:rsidRPr="006E39C1">
        <w:rPr>
          <w:bCs/>
          <w:szCs w:val="28"/>
          <w:lang w:val="en-GB"/>
        </w:rPr>
        <w:tab/>
      </w:r>
      <w:r>
        <w:rPr>
          <w:bCs/>
          <w:szCs w:val="28"/>
          <w:lang w:val="en-GB"/>
        </w:rPr>
        <w:t>Plaintiff</w:t>
      </w:r>
    </w:p>
    <w:p w14:paraId="75A0A561" w14:textId="77777777" w:rsidR="00D0454A" w:rsidRPr="00265723" w:rsidRDefault="00D0454A" w:rsidP="00F74A1E">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14:paraId="2EF5708D" w14:textId="77777777" w:rsidR="00E50723" w:rsidRDefault="00052E23" w:rsidP="00C372BF">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C372BF" w:rsidRPr="00C372BF">
        <w:rPr>
          <w:bCs/>
          <w:szCs w:val="28"/>
        </w:rPr>
        <w:t>SIU SHIU KEUNG</w:t>
      </w:r>
      <w:r w:rsidR="00D0454A" w:rsidRPr="00C372BF">
        <w:rPr>
          <w:bCs/>
          <w:szCs w:val="28"/>
        </w:rPr>
        <w:tab/>
      </w:r>
      <w:r w:rsidR="00D0454A">
        <w:rPr>
          <w:bCs/>
          <w:szCs w:val="28"/>
          <w:lang w:val="en-GB"/>
        </w:rPr>
        <w:t>Defendant</w:t>
      </w:r>
    </w:p>
    <w:p w14:paraId="18EBA3DF" w14:textId="77777777" w:rsidR="00D0454A" w:rsidRPr="00A64F2D" w:rsidRDefault="00D0454A" w:rsidP="00F74A1E">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22FA62E7" w14:textId="77777777" w:rsidR="00DA0EE0" w:rsidRDefault="00DA0EE0" w:rsidP="007B1D44">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14:paraId="7AB0F6EE" w14:textId="77777777" w:rsidR="008A1C7A" w:rsidRPr="008A1C7A" w:rsidRDefault="008A1C7A" w:rsidP="007B1D44">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Before:  His Honour Judge Andrew Li in Chambers (Open to public)</w:t>
      </w:r>
    </w:p>
    <w:p w14:paraId="71FDFF72" w14:textId="77777777" w:rsidR="008A1C7A" w:rsidRPr="008A1C7A" w:rsidRDefault="008D24AD" w:rsidP="007B1D44">
      <w:pPr>
        <w:spacing w:line="360" w:lineRule="auto"/>
        <w:ind w:right="-720"/>
        <w:rPr>
          <w:bCs/>
          <w:szCs w:val="28"/>
          <w:lang w:val="en-GB"/>
        </w:rPr>
      </w:pPr>
      <w:r>
        <w:rPr>
          <w:bCs/>
          <w:szCs w:val="28"/>
          <w:lang w:val="en-GB"/>
        </w:rPr>
        <w:t xml:space="preserve">Date of Hearing:  </w:t>
      </w:r>
      <w:r w:rsidR="00C372BF">
        <w:rPr>
          <w:bCs/>
          <w:szCs w:val="28"/>
          <w:lang w:val="en-GB"/>
        </w:rPr>
        <w:t>18 February 2022</w:t>
      </w:r>
    </w:p>
    <w:p w14:paraId="383DA356" w14:textId="25B86378" w:rsidR="008A1C7A" w:rsidRPr="008A1C7A" w:rsidRDefault="00435CF0" w:rsidP="007B1D44">
      <w:pPr>
        <w:spacing w:line="360" w:lineRule="auto"/>
        <w:ind w:right="-720"/>
        <w:rPr>
          <w:bCs/>
          <w:szCs w:val="28"/>
          <w:lang w:val="en-GB"/>
        </w:rPr>
      </w:pPr>
      <w:r>
        <w:rPr>
          <w:bCs/>
          <w:szCs w:val="28"/>
          <w:lang w:val="en-GB"/>
        </w:rPr>
        <w:t>Date of Decision</w:t>
      </w:r>
      <w:r w:rsidR="008E6434">
        <w:rPr>
          <w:bCs/>
          <w:szCs w:val="28"/>
          <w:lang w:val="en-GB"/>
        </w:rPr>
        <w:t xml:space="preserve">: </w:t>
      </w:r>
      <w:r w:rsidR="005753AD">
        <w:rPr>
          <w:bCs/>
          <w:szCs w:val="28"/>
          <w:lang w:val="en-GB"/>
        </w:rPr>
        <w:t xml:space="preserve"> 30</w:t>
      </w:r>
      <w:r w:rsidR="00E40FCB">
        <w:rPr>
          <w:bCs/>
          <w:szCs w:val="28"/>
          <w:lang w:val="en-GB"/>
        </w:rPr>
        <w:t xml:space="preserve"> </w:t>
      </w:r>
      <w:r w:rsidR="00E00236">
        <w:rPr>
          <w:bCs/>
          <w:szCs w:val="28"/>
          <w:lang w:val="en-GB"/>
        </w:rPr>
        <w:t>March</w:t>
      </w:r>
      <w:r w:rsidR="00C372BF">
        <w:rPr>
          <w:bCs/>
          <w:szCs w:val="28"/>
          <w:lang w:val="en-GB"/>
        </w:rPr>
        <w:t xml:space="preserve"> 2022</w:t>
      </w:r>
    </w:p>
    <w:p w14:paraId="2FAFFBE0" w14:textId="77777777" w:rsidR="00657E0F" w:rsidRPr="00604CFB" w:rsidRDefault="00657E0F" w:rsidP="007B1D44">
      <w:pPr>
        <w:tabs>
          <w:tab w:val="clear" w:pos="4320"/>
          <w:tab w:val="clear" w:pos="9072"/>
        </w:tabs>
        <w:adjustRightInd w:val="0"/>
        <w:spacing w:line="360" w:lineRule="auto"/>
        <w:ind w:right="-720"/>
        <w:rPr>
          <w:szCs w:val="28"/>
          <w:lang w:val="en-GB"/>
        </w:rPr>
      </w:pPr>
    </w:p>
    <w:p w14:paraId="0D5E8DDB" w14:textId="77777777"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r w:rsidR="006A0726">
        <w:rPr>
          <w:rFonts w:hint="eastAsia"/>
          <w:szCs w:val="28"/>
        </w:rPr>
        <w:t>-----</w:t>
      </w:r>
    </w:p>
    <w:p w14:paraId="7F74B6FD" w14:textId="77777777" w:rsidR="00657E0F" w:rsidRPr="00A10BC0" w:rsidRDefault="00B9096E" w:rsidP="007B1D44">
      <w:pPr>
        <w:tabs>
          <w:tab w:val="clear" w:pos="4320"/>
          <w:tab w:val="clear" w:pos="9072"/>
          <w:tab w:val="left" w:pos="1620"/>
          <w:tab w:val="right" w:pos="8280"/>
        </w:tabs>
        <w:adjustRightInd w:val="0"/>
        <w:spacing w:line="360" w:lineRule="auto"/>
        <w:ind w:right="-720"/>
        <w:jc w:val="center"/>
        <w:rPr>
          <w:rFonts w:eastAsia="PMingLiU"/>
          <w:szCs w:val="28"/>
          <w:lang w:eastAsia="zh-TW"/>
        </w:rPr>
      </w:pPr>
      <w:r>
        <w:rPr>
          <w:rFonts w:hint="eastAsia"/>
          <w:szCs w:val="28"/>
        </w:rPr>
        <w:t>DECISION</w:t>
      </w:r>
    </w:p>
    <w:p w14:paraId="3B9CFD19" w14:textId="77777777"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p>
    <w:p w14:paraId="55A9FE5C" w14:textId="69BB6645" w:rsidR="00B37BC2" w:rsidRDefault="00B37BC2" w:rsidP="004404A9">
      <w:pPr>
        <w:pStyle w:val="ListParagraph"/>
        <w:spacing w:line="360" w:lineRule="auto"/>
        <w:ind w:left="0" w:right="29"/>
        <w:jc w:val="both"/>
        <w:rPr>
          <w:rFonts w:eastAsia="Times New Roman"/>
          <w:szCs w:val="28"/>
        </w:rPr>
      </w:pPr>
    </w:p>
    <w:p w14:paraId="7253CFAF" w14:textId="400362E0" w:rsidR="00C7052B" w:rsidRPr="00C7052B" w:rsidRDefault="000223FE" w:rsidP="004404A9">
      <w:pPr>
        <w:pStyle w:val="ListParagraph"/>
        <w:numPr>
          <w:ilvl w:val="0"/>
          <w:numId w:val="30"/>
        </w:numPr>
        <w:tabs>
          <w:tab w:val="clear" w:pos="9072"/>
        </w:tabs>
        <w:spacing w:line="360" w:lineRule="auto"/>
        <w:ind w:left="0" w:right="26" w:firstLine="0"/>
        <w:jc w:val="both"/>
        <w:rPr>
          <w:szCs w:val="28"/>
        </w:rPr>
      </w:pPr>
      <w:r>
        <w:rPr>
          <w:rFonts w:eastAsia="Times New Roman"/>
          <w:szCs w:val="28"/>
        </w:rPr>
        <w:t xml:space="preserve">This is a </w:t>
      </w:r>
      <w:r w:rsidR="0073635F">
        <w:rPr>
          <w:rFonts w:eastAsia="Times New Roman"/>
          <w:szCs w:val="28"/>
        </w:rPr>
        <w:t>personal injur</w:t>
      </w:r>
      <w:r w:rsidR="00AB5BF3">
        <w:rPr>
          <w:rFonts w:eastAsia="Times New Roman"/>
          <w:szCs w:val="28"/>
        </w:rPr>
        <w:t>y</w:t>
      </w:r>
      <w:r w:rsidR="0073635F">
        <w:rPr>
          <w:rFonts w:eastAsia="Times New Roman"/>
          <w:szCs w:val="28"/>
        </w:rPr>
        <w:t xml:space="preserve"> (“PI”) </w:t>
      </w:r>
      <w:r>
        <w:rPr>
          <w:rFonts w:eastAsia="Times New Roman"/>
          <w:szCs w:val="28"/>
        </w:rPr>
        <w:t xml:space="preserve">case where </w:t>
      </w:r>
      <w:r w:rsidR="00C7052B">
        <w:rPr>
          <w:rFonts w:eastAsia="Times New Roman"/>
          <w:szCs w:val="28"/>
        </w:rPr>
        <w:t xml:space="preserve">the </w:t>
      </w:r>
      <w:r>
        <w:rPr>
          <w:rFonts w:eastAsia="Times New Roman"/>
          <w:szCs w:val="28"/>
        </w:rPr>
        <w:t>solicitor</w:t>
      </w:r>
      <w:r w:rsidR="00C7052B">
        <w:rPr>
          <w:rFonts w:eastAsia="Times New Roman"/>
          <w:szCs w:val="28"/>
        </w:rPr>
        <w:t>s</w:t>
      </w:r>
      <w:r>
        <w:rPr>
          <w:rFonts w:eastAsia="Times New Roman"/>
          <w:szCs w:val="28"/>
        </w:rPr>
        <w:t xml:space="preserve"> </w:t>
      </w:r>
      <w:r w:rsidR="00734E50">
        <w:rPr>
          <w:rFonts w:eastAsia="Times New Roman"/>
          <w:szCs w:val="28"/>
        </w:rPr>
        <w:t>on both sides</w:t>
      </w:r>
      <w:r w:rsidR="00E00236">
        <w:rPr>
          <w:rFonts w:eastAsia="Times New Roman"/>
          <w:szCs w:val="28"/>
        </w:rPr>
        <w:t>, especially on the pa</w:t>
      </w:r>
      <w:r w:rsidR="0073635F">
        <w:rPr>
          <w:rFonts w:eastAsia="Times New Roman"/>
          <w:szCs w:val="28"/>
        </w:rPr>
        <w:t>rt of the plaintiff</w:t>
      </w:r>
      <w:r w:rsidR="00E00236">
        <w:rPr>
          <w:rFonts w:eastAsia="Times New Roman"/>
          <w:szCs w:val="28"/>
        </w:rPr>
        <w:t>,</w:t>
      </w:r>
      <w:r w:rsidR="00734E50">
        <w:rPr>
          <w:rFonts w:eastAsia="Times New Roman"/>
          <w:szCs w:val="28"/>
        </w:rPr>
        <w:t xml:space="preserve"> </w:t>
      </w:r>
      <w:r>
        <w:rPr>
          <w:rFonts w:eastAsia="Times New Roman"/>
          <w:szCs w:val="28"/>
        </w:rPr>
        <w:t>ha</w:t>
      </w:r>
      <w:r w:rsidR="00C7052B">
        <w:rPr>
          <w:rFonts w:eastAsia="Times New Roman"/>
          <w:szCs w:val="28"/>
        </w:rPr>
        <w:t>ve</w:t>
      </w:r>
      <w:r>
        <w:rPr>
          <w:rFonts w:eastAsia="Times New Roman"/>
          <w:szCs w:val="28"/>
        </w:rPr>
        <w:t xml:space="preserve"> flagrantly flouted </w:t>
      </w:r>
      <w:r w:rsidR="00FF3058">
        <w:rPr>
          <w:rFonts w:eastAsia="Times New Roman"/>
          <w:szCs w:val="28"/>
        </w:rPr>
        <w:t>the</w:t>
      </w:r>
      <w:r w:rsidR="0073635F">
        <w:rPr>
          <w:rFonts w:eastAsia="Times New Roman"/>
          <w:szCs w:val="28"/>
        </w:rPr>
        <w:t xml:space="preserve"> o</w:t>
      </w:r>
      <w:r>
        <w:rPr>
          <w:rFonts w:eastAsia="Times New Roman"/>
          <w:szCs w:val="28"/>
        </w:rPr>
        <w:t xml:space="preserve">rders </w:t>
      </w:r>
      <w:r w:rsidR="00C7052B">
        <w:rPr>
          <w:rFonts w:eastAsia="Times New Roman"/>
          <w:szCs w:val="28"/>
        </w:rPr>
        <w:t xml:space="preserve">of </w:t>
      </w:r>
      <w:r>
        <w:rPr>
          <w:rFonts w:eastAsia="Times New Roman"/>
          <w:szCs w:val="28"/>
        </w:rPr>
        <w:t xml:space="preserve">the </w:t>
      </w:r>
      <w:r w:rsidR="00C7052B">
        <w:rPr>
          <w:rFonts w:eastAsia="Times New Roman"/>
          <w:szCs w:val="28"/>
        </w:rPr>
        <w:t xml:space="preserve">Court in appointing a </w:t>
      </w:r>
      <w:r w:rsidR="000F2ECD">
        <w:rPr>
          <w:rFonts w:eastAsia="Times New Roman"/>
          <w:szCs w:val="28"/>
        </w:rPr>
        <w:t xml:space="preserve">new </w:t>
      </w:r>
      <w:r w:rsidR="00FF3058">
        <w:rPr>
          <w:rFonts w:eastAsia="Times New Roman"/>
          <w:szCs w:val="28"/>
        </w:rPr>
        <w:t>orthopaedic</w:t>
      </w:r>
      <w:r w:rsidR="00734E50">
        <w:rPr>
          <w:rFonts w:eastAsia="Times New Roman"/>
          <w:szCs w:val="28"/>
        </w:rPr>
        <w:t xml:space="preserve"> expert to prepare a </w:t>
      </w:r>
      <w:r w:rsidR="0073635F">
        <w:rPr>
          <w:rFonts w:eastAsia="Times New Roman"/>
          <w:szCs w:val="28"/>
        </w:rPr>
        <w:t xml:space="preserve">so-called </w:t>
      </w:r>
      <w:r w:rsidR="000F2ECD">
        <w:rPr>
          <w:rFonts w:eastAsia="Times New Roman"/>
          <w:szCs w:val="28"/>
        </w:rPr>
        <w:t>“</w:t>
      </w:r>
      <w:r w:rsidR="00734E50">
        <w:rPr>
          <w:rFonts w:eastAsia="Times New Roman"/>
          <w:szCs w:val="28"/>
        </w:rPr>
        <w:t>supplemental</w:t>
      </w:r>
      <w:r w:rsidR="000F2ECD">
        <w:rPr>
          <w:rFonts w:eastAsia="Times New Roman"/>
          <w:szCs w:val="28"/>
        </w:rPr>
        <w:t>”</w:t>
      </w:r>
      <w:r w:rsidR="00734E50">
        <w:rPr>
          <w:rFonts w:eastAsia="Times New Roman"/>
          <w:szCs w:val="28"/>
        </w:rPr>
        <w:t xml:space="preserve"> medica</w:t>
      </w:r>
      <w:r w:rsidR="000F2ECD">
        <w:rPr>
          <w:rFonts w:eastAsia="Times New Roman"/>
          <w:szCs w:val="28"/>
        </w:rPr>
        <w:t>l expert</w:t>
      </w:r>
      <w:r w:rsidR="00734E50">
        <w:rPr>
          <w:rFonts w:eastAsia="Times New Roman"/>
          <w:szCs w:val="28"/>
        </w:rPr>
        <w:t xml:space="preserve"> report</w:t>
      </w:r>
      <w:r w:rsidR="00FF3058">
        <w:rPr>
          <w:rFonts w:eastAsia="Times New Roman"/>
          <w:szCs w:val="28"/>
        </w:rPr>
        <w:t>. It was done</w:t>
      </w:r>
      <w:r w:rsidR="00734E50">
        <w:rPr>
          <w:rFonts w:eastAsia="Times New Roman"/>
          <w:szCs w:val="28"/>
        </w:rPr>
        <w:t xml:space="preserve"> </w:t>
      </w:r>
      <w:r w:rsidR="0073635F">
        <w:rPr>
          <w:rFonts w:eastAsia="Times New Roman"/>
          <w:szCs w:val="28"/>
        </w:rPr>
        <w:t xml:space="preserve">not only </w:t>
      </w:r>
      <w:r w:rsidR="00734E50">
        <w:rPr>
          <w:rFonts w:eastAsia="Times New Roman"/>
          <w:szCs w:val="28"/>
        </w:rPr>
        <w:t>without the leave of the Court</w:t>
      </w:r>
      <w:r w:rsidR="00A4135F">
        <w:rPr>
          <w:rFonts w:eastAsia="Times New Roman"/>
          <w:szCs w:val="28"/>
        </w:rPr>
        <w:t xml:space="preserve"> </w:t>
      </w:r>
      <w:r w:rsidR="00FF3058">
        <w:rPr>
          <w:rFonts w:eastAsia="Times New Roman"/>
          <w:szCs w:val="28"/>
        </w:rPr>
        <w:t xml:space="preserve">but </w:t>
      </w:r>
      <w:r w:rsidR="00E40FCB">
        <w:rPr>
          <w:rFonts w:eastAsia="Times New Roman"/>
          <w:szCs w:val="28"/>
        </w:rPr>
        <w:t>also</w:t>
      </w:r>
      <w:r w:rsidR="00933889">
        <w:rPr>
          <w:rFonts w:eastAsia="Times New Roman"/>
          <w:szCs w:val="28"/>
        </w:rPr>
        <w:t xml:space="preserve"> was</w:t>
      </w:r>
      <w:r w:rsidR="00E40FCB">
        <w:rPr>
          <w:rFonts w:eastAsia="Times New Roman"/>
          <w:szCs w:val="28"/>
        </w:rPr>
        <w:t xml:space="preserve"> </w:t>
      </w:r>
      <w:r w:rsidR="00FF3058">
        <w:rPr>
          <w:rFonts w:eastAsia="Times New Roman"/>
          <w:szCs w:val="28"/>
        </w:rPr>
        <w:t>in clear breach</w:t>
      </w:r>
      <w:r w:rsidR="0073635F">
        <w:rPr>
          <w:rFonts w:eastAsia="Times New Roman"/>
          <w:szCs w:val="28"/>
        </w:rPr>
        <w:t xml:space="preserve"> of 2 orders made by the </w:t>
      </w:r>
      <w:r w:rsidR="00265B3B">
        <w:rPr>
          <w:rFonts w:eastAsia="Times New Roman"/>
          <w:szCs w:val="28"/>
        </w:rPr>
        <w:t>Court</w:t>
      </w:r>
      <w:r w:rsidR="0076743F">
        <w:rPr>
          <w:rFonts w:eastAsia="Times New Roman"/>
          <w:szCs w:val="28"/>
        </w:rPr>
        <w:t>.</w:t>
      </w:r>
      <w:r w:rsidR="00A4135F">
        <w:rPr>
          <w:rFonts w:eastAsia="Times New Roman"/>
          <w:szCs w:val="28"/>
        </w:rPr>
        <w:t xml:space="preserve">  </w:t>
      </w:r>
    </w:p>
    <w:p w14:paraId="51AA4B05" w14:textId="77777777" w:rsidR="00C7052B" w:rsidRDefault="00C7052B" w:rsidP="004404A9">
      <w:pPr>
        <w:tabs>
          <w:tab w:val="clear" w:pos="4320"/>
          <w:tab w:val="clear" w:pos="9072"/>
        </w:tabs>
        <w:spacing w:line="360" w:lineRule="auto"/>
        <w:ind w:right="-720"/>
        <w:jc w:val="both"/>
        <w:rPr>
          <w:bCs/>
          <w:i/>
          <w:szCs w:val="28"/>
        </w:rPr>
      </w:pPr>
    </w:p>
    <w:p w14:paraId="270D9878" w14:textId="0D0CD1C4" w:rsidR="00C7052B" w:rsidRPr="00C7052B" w:rsidRDefault="00C7052B" w:rsidP="004404A9">
      <w:pPr>
        <w:tabs>
          <w:tab w:val="clear" w:pos="4320"/>
          <w:tab w:val="clear" w:pos="9072"/>
        </w:tabs>
        <w:spacing w:line="360" w:lineRule="auto"/>
        <w:ind w:right="-720"/>
        <w:jc w:val="both"/>
        <w:rPr>
          <w:bCs/>
          <w:i/>
          <w:szCs w:val="28"/>
        </w:rPr>
      </w:pPr>
      <w:r w:rsidRPr="00C7052B">
        <w:rPr>
          <w:bCs/>
          <w:i/>
          <w:szCs w:val="28"/>
        </w:rPr>
        <w:t>BACKGROUND</w:t>
      </w:r>
    </w:p>
    <w:p w14:paraId="5F75608E" w14:textId="77777777" w:rsidR="00C7052B" w:rsidRPr="00C7052B" w:rsidRDefault="00C7052B" w:rsidP="004404A9">
      <w:pPr>
        <w:pStyle w:val="ListParagraph"/>
        <w:tabs>
          <w:tab w:val="clear" w:pos="9072"/>
        </w:tabs>
        <w:spacing w:line="360" w:lineRule="auto"/>
        <w:ind w:left="0" w:right="26"/>
        <w:jc w:val="both"/>
        <w:rPr>
          <w:szCs w:val="28"/>
        </w:rPr>
      </w:pPr>
    </w:p>
    <w:p w14:paraId="5BDA71C1" w14:textId="6E3A170D" w:rsidR="008810A9" w:rsidRPr="008810A9" w:rsidRDefault="00734E50" w:rsidP="004404A9">
      <w:pPr>
        <w:pStyle w:val="ListParagraph"/>
        <w:numPr>
          <w:ilvl w:val="0"/>
          <w:numId w:val="30"/>
        </w:numPr>
        <w:tabs>
          <w:tab w:val="clear" w:pos="9072"/>
        </w:tabs>
        <w:spacing w:line="360" w:lineRule="auto"/>
        <w:ind w:left="0" w:right="26" w:firstLine="0"/>
        <w:jc w:val="both"/>
        <w:rPr>
          <w:szCs w:val="28"/>
        </w:rPr>
      </w:pPr>
      <w:r>
        <w:rPr>
          <w:rFonts w:eastAsia="Times New Roman"/>
          <w:szCs w:val="28"/>
        </w:rPr>
        <w:t>This case involved a t</w:t>
      </w:r>
      <w:r w:rsidR="00C372BF" w:rsidRPr="00C372BF">
        <w:rPr>
          <w:rFonts w:eastAsia="Times New Roman"/>
          <w:szCs w:val="28"/>
        </w:rPr>
        <w:t>raffic acci</w:t>
      </w:r>
      <w:r w:rsidR="007B5877">
        <w:rPr>
          <w:rFonts w:eastAsia="Times New Roman"/>
          <w:szCs w:val="28"/>
        </w:rPr>
        <w:t xml:space="preserve">dent </w:t>
      </w:r>
      <w:r>
        <w:rPr>
          <w:rFonts w:eastAsia="Times New Roman"/>
          <w:szCs w:val="28"/>
        </w:rPr>
        <w:t xml:space="preserve">which </w:t>
      </w:r>
      <w:r w:rsidR="007B5877">
        <w:rPr>
          <w:rFonts w:eastAsia="Times New Roman"/>
          <w:szCs w:val="28"/>
        </w:rPr>
        <w:t>happened on 24 August 2014</w:t>
      </w:r>
      <w:r w:rsidR="0076743F">
        <w:rPr>
          <w:rFonts w:eastAsia="Times New Roman"/>
          <w:szCs w:val="28"/>
        </w:rPr>
        <w:t xml:space="preserve"> </w:t>
      </w:r>
      <w:r w:rsidR="00745AF0">
        <w:rPr>
          <w:rFonts w:eastAsia="Times New Roman"/>
          <w:szCs w:val="28"/>
        </w:rPr>
        <w:t xml:space="preserve">in Pokfulam, Hong Kong </w:t>
      </w:r>
      <w:r w:rsidR="0076743F">
        <w:rPr>
          <w:rFonts w:eastAsia="Times New Roman"/>
          <w:szCs w:val="28"/>
        </w:rPr>
        <w:t>(“the Accident”)</w:t>
      </w:r>
      <w:r w:rsidR="007B5877">
        <w:rPr>
          <w:rFonts w:eastAsia="Times New Roman"/>
          <w:szCs w:val="28"/>
        </w:rPr>
        <w:t>.</w:t>
      </w:r>
      <w:r w:rsidR="00C372BF" w:rsidRPr="00C372BF">
        <w:rPr>
          <w:rFonts w:eastAsia="Times New Roman"/>
          <w:szCs w:val="28"/>
        </w:rPr>
        <w:t xml:space="preserve"> </w:t>
      </w:r>
      <w:r>
        <w:rPr>
          <w:rFonts w:eastAsia="Times New Roman"/>
          <w:szCs w:val="28"/>
        </w:rPr>
        <w:t xml:space="preserve"> </w:t>
      </w:r>
      <w:r w:rsidR="0073635F">
        <w:rPr>
          <w:rFonts w:eastAsia="Times New Roman"/>
          <w:szCs w:val="28"/>
        </w:rPr>
        <w:t>At the time of the Accident, t</w:t>
      </w:r>
      <w:r>
        <w:rPr>
          <w:rFonts w:eastAsia="Times New Roman"/>
          <w:szCs w:val="28"/>
        </w:rPr>
        <w:t xml:space="preserve">he plaintiff </w:t>
      </w:r>
      <w:r w:rsidR="008810A9">
        <w:rPr>
          <w:rFonts w:eastAsia="Times New Roman"/>
          <w:szCs w:val="28"/>
        </w:rPr>
        <w:t>wa</w:t>
      </w:r>
      <w:r>
        <w:rPr>
          <w:rFonts w:eastAsia="Times New Roman"/>
          <w:szCs w:val="28"/>
        </w:rPr>
        <w:t xml:space="preserve">s </w:t>
      </w:r>
      <w:r w:rsidR="00C372BF" w:rsidRPr="00C372BF">
        <w:rPr>
          <w:rFonts w:eastAsia="Times New Roman"/>
          <w:szCs w:val="28"/>
        </w:rPr>
        <w:t xml:space="preserve">a cyclist and </w:t>
      </w:r>
      <w:r>
        <w:rPr>
          <w:rFonts w:eastAsia="Times New Roman"/>
          <w:szCs w:val="28"/>
        </w:rPr>
        <w:t>the def</w:t>
      </w:r>
      <w:r w:rsidR="008810A9">
        <w:rPr>
          <w:rFonts w:eastAsia="Times New Roman"/>
          <w:szCs w:val="28"/>
        </w:rPr>
        <w:t>endant</w:t>
      </w:r>
      <w:r w:rsidR="00C372BF" w:rsidRPr="00C372BF">
        <w:rPr>
          <w:rFonts w:eastAsia="Times New Roman"/>
          <w:szCs w:val="28"/>
        </w:rPr>
        <w:t xml:space="preserve"> was the registered owner </w:t>
      </w:r>
      <w:r w:rsidR="008810A9">
        <w:rPr>
          <w:rFonts w:eastAsia="Times New Roman"/>
          <w:szCs w:val="28"/>
        </w:rPr>
        <w:t xml:space="preserve">and driver </w:t>
      </w:r>
      <w:r w:rsidR="00C372BF" w:rsidRPr="00C372BF">
        <w:rPr>
          <w:rFonts w:eastAsia="Times New Roman"/>
          <w:szCs w:val="28"/>
        </w:rPr>
        <w:t xml:space="preserve">of a </w:t>
      </w:r>
      <w:r w:rsidR="0076743F">
        <w:rPr>
          <w:rFonts w:eastAsia="Times New Roman"/>
          <w:szCs w:val="28"/>
        </w:rPr>
        <w:t>truck</w:t>
      </w:r>
      <w:r w:rsidR="008810A9">
        <w:rPr>
          <w:rFonts w:eastAsia="Times New Roman"/>
          <w:szCs w:val="28"/>
        </w:rPr>
        <w:t>/van.</w:t>
      </w:r>
      <w:r w:rsidR="0076743F">
        <w:rPr>
          <w:rFonts w:eastAsia="Times New Roman"/>
          <w:szCs w:val="28"/>
        </w:rPr>
        <w:t xml:space="preserve">  The plaintiff sustained </w:t>
      </w:r>
      <w:r w:rsidR="00554C3A">
        <w:rPr>
          <w:rFonts w:eastAsia="Times New Roman"/>
          <w:szCs w:val="28"/>
        </w:rPr>
        <w:t xml:space="preserve">serious </w:t>
      </w:r>
      <w:r w:rsidR="0076743F">
        <w:rPr>
          <w:rFonts w:eastAsia="Times New Roman"/>
          <w:szCs w:val="28"/>
        </w:rPr>
        <w:t xml:space="preserve">multiple injuries </w:t>
      </w:r>
      <w:r w:rsidR="0073635F">
        <w:rPr>
          <w:rFonts w:eastAsia="Times New Roman"/>
          <w:szCs w:val="28"/>
        </w:rPr>
        <w:t xml:space="preserve">as a result of being hit by the defendant’s vehicle </w:t>
      </w:r>
      <w:r w:rsidR="0059327E">
        <w:rPr>
          <w:rFonts w:eastAsia="Times New Roman"/>
          <w:szCs w:val="28"/>
        </w:rPr>
        <w:t xml:space="preserve">in </w:t>
      </w:r>
      <w:r w:rsidR="0076743F">
        <w:rPr>
          <w:rFonts w:eastAsia="Times New Roman"/>
          <w:szCs w:val="28"/>
        </w:rPr>
        <w:t>the Accident.</w:t>
      </w:r>
      <w:r w:rsidR="00C372BF">
        <w:rPr>
          <w:rFonts w:eastAsia="Times New Roman"/>
          <w:szCs w:val="28"/>
        </w:rPr>
        <w:t xml:space="preserve"> </w:t>
      </w:r>
    </w:p>
    <w:p w14:paraId="5FF8E765" w14:textId="77777777" w:rsidR="008810A9" w:rsidRPr="008810A9" w:rsidRDefault="008810A9" w:rsidP="004404A9">
      <w:pPr>
        <w:pStyle w:val="ListParagraph"/>
        <w:tabs>
          <w:tab w:val="clear" w:pos="9072"/>
        </w:tabs>
        <w:spacing w:line="360" w:lineRule="auto"/>
        <w:ind w:left="0" w:right="26"/>
        <w:jc w:val="both"/>
        <w:rPr>
          <w:szCs w:val="28"/>
        </w:rPr>
      </w:pPr>
    </w:p>
    <w:p w14:paraId="0D8E40F7" w14:textId="40346B64" w:rsidR="000257C1" w:rsidRPr="000257C1" w:rsidRDefault="008810A9" w:rsidP="004404A9">
      <w:pPr>
        <w:pStyle w:val="ListParagraph"/>
        <w:numPr>
          <w:ilvl w:val="0"/>
          <w:numId w:val="30"/>
        </w:numPr>
        <w:tabs>
          <w:tab w:val="clear" w:pos="9072"/>
        </w:tabs>
        <w:spacing w:line="360" w:lineRule="auto"/>
        <w:ind w:left="0" w:right="26" w:firstLine="0"/>
        <w:jc w:val="both"/>
        <w:rPr>
          <w:szCs w:val="28"/>
        </w:rPr>
      </w:pPr>
      <w:r>
        <w:rPr>
          <w:rFonts w:eastAsia="Times New Roman"/>
          <w:szCs w:val="28"/>
        </w:rPr>
        <w:t>This case was</w:t>
      </w:r>
      <w:r w:rsidR="00C372BF" w:rsidRPr="00C372BF">
        <w:rPr>
          <w:rFonts w:eastAsia="Times New Roman"/>
          <w:szCs w:val="28"/>
        </w:rPr>
        <w:t xml:space="preserve"> commenced</w:t>
      </w:r>
      <w:r w:rsidR="0073635F">
        <w:rPr>
          <w:rFonts w:eastAsia="Times New Roman"/>
          <w:szCs w:val="28"/>
        </w:rPr>
        <w:t xml:space="preserve"> by the plaintiff</w:t>
      </w:r>
      <w:r w:rsidR="00C372BF" w:rsidRPr="00C372BF">
        <w:rPr>
          <w:rFonts w:eastAsia="Times New Roman"/>
          <w:szCs w:val="28"/>
        </w:rPr>
        <w:t xml:space="preserve"> </w:t>
      </w:r>
      <w:r w:rsidR="00265B3B">
        <w:rPr>
          <w:rFonts w:eastAsia="Times New Roman"/>
          <w:szCs w:val="28"/>
        </w:rPr>
        <w:t>originally</w:t>
      </w:r>
      <w:r w:rsidR="00265B3B" w:rsidRPr="00C372BF">
        <w:rPr>
          <w:rFonts w:eastAsia="Times New Roman"/>
          <w:szCs w:val="28"/>
        </w:rPr>
        <w:t xml:space="preserve"> </w:t>
      </w:r>
      <w:r w:rsidR="00C372BF" w:rsidRPr="00C372BF">
        <w:rPr>
          <w:rFonts w:eastAsia="Times New Roman"/>
          <w:szCs w:val="28"/>
        </w:rPr>
        <w:t xml:space="preserve">in </w:t>
      </w:r>
      <w:r>
        <w:rPr>
          <w:rFonts w:eastAsia="Times New Roman"/>
          <w:szCs w:val="28"/>
        </w:rPr>
        <w:t xml:space="preserve">the </w:t>
      </w:r>
      <w:r w:rsidR="00C372BF" w:rsidRPr="00C372BF">
        <w:rPr>
          <w:rFonts w:eastAsia="Times New Roman"/>
          <w:szCs w:val="28"/>
        </w:rPr>
        <w:t>High Court</w:t>
      </w:r>
      <w:r w:rsidR="004404A9">
        <w:rPr>
          <w:rFonts w:eastAsia="Times New Roman"/>
          <w:szCs w:val="28"/>
        </w:rPr>
        <w:t xml:space="preserve"> under HCPI 1189/2016</w:t>
      </w:r>
      <w:r>
        <w:rPr>
          <w:rFonts w:eastAsia="Times New Roman"/>
          <w:szCs w:val="28"/>
        </w:rPr>
        <w:t>.  The</w:t>
      </w:r>
      <w:r w:rsidR="00C372BF" w:rsidRPr="00C372BF">
        <w:rPr>
          <w:rFonts w:eastAsia="Times New Roman"/>
          <w:szCs w:val="28"/>
        </w:rPr>
        <w:t xml:space="preserve"> writ </w:t>
      </w:r>
      <w:r>
        <w:rPr>
          <w:rFonts w:eastAsia="Times New Roman"/>
          <w:szCs w:val="28"/>
        </w:rPr>
        <w:t>was issued on</w:t>
      </w:r>
      <w:r w:rsidR="00C372BF" w:rsidRPr="00C372BF">
        <w:rPr>
          <w:rFonts w:eastAsia="Times New Roman"/>
          <w:szCs w:val="28"/>
        </w:rPr>
        <w:t xml:space="preserve"> 27 Oct</w:t>
      </w:r>
      <w:r w:rsidR="007B5877">
        <w:rPr>
          <w:rFonts w:eastAsia="Times New Roman"/>
          <w:szCs w:val="28"/>
        </w:rPr>
        <w:t>ober</w:t>
      </w:r>
      <w:r w:rsidR="00C372BF" w:rsidRPr="00C372BF">
        <w:rPr>
          <w:rFonts w:eastAsia="Times New Roman"/>
          <w:szCs w:val="28"/>
        </w:rPr>
        <w:t xml:space="preserve"> 2016</w:t>
      </w:r>
      <w:r w:rsidR="007B5877">
        <w:rPr>
          <w:rFonts w:eastAsia="Times New Roman"/>
          <w:szCs w:val="28"/>
        </w:rPr>
        <w:t xml:space="preserve">. </w:t>
      </w:r>
      <w:r w:rsidR="00C372BF" w:rsidRPr="007B5877">
        <w:rPr>
          <w:rFonts w:eastAsia="Times New Roman"/>
          <w:szCs w:val="28"/>
        </w:rPr>
        <w:t xml:space="preserve">Interlocutory </w:t>
      </w:r>
      <w:r w:rsidR="007B5877">
        <w:rPr>
          <w:rFonts w:eastAsia="Times New Roman"/>
          <w:szCs w:val="28"/>
        </w:rPr>
        <w:t>Judgment</w:t>
      </w:r>
      <w:r w:rsidR="00C372BF" w:rsidRPr="007B5877">
        <w:rPr>
          <w:rFonts w:eastAsia="Times New Roman"/>
          <w:szCs w:val="28"/>
        </w:rPr>
        <w:t xml:space="preserve"> on liability </w:t>
      </w:r>
      <w:r w:rsidR="000257C1">
        <w:rPr>
          <w:rFonts w:eastAsia="Times New Roman"/>
          <w:szCs w:val="28"/>
        </w:rPr>
        <w:t xml:space="preserve">was </w:t>
      </w:r>
      <w:r w:rsidR="00C372BF" w:rsidRPr="007B5877">
        <w:rPr>
          <w:rFonts w:eastAsia="Times New Roman"/>
          <w:szCs w:val="28"/>
        </w:rPr>
        <w:t xml:space="preserve">entered against the </w:t>
      </w:r>
      <w:r w:rsidR="000257C1">
        <w:rPr>
          <w:rFonts w:eastAsia="Times New Roman"/>
          <w:szCs w:val="28"/>
        </w:rPr>
        <w:t>defendant</w:t>
      </w:r>
      <w:r w:rsidR="007B5877">
        <w:rPr>
          <w:rFonts w:eastAsia="Times New Roman"/>
          <w:szCs w:val="28"/>
        </w:rPr>
        <w:t xml:space="preserve"> </w:t>
      </w:r>
      <w:r w:rsidR="0073635F">
        <w:rPr>
          <w:rFonts w:eastAsia="Times New Roman"/>
          <w:szCs w:val="28"/>
        </w:rPr>
        <w:t xml:space="preserve">pursuant to </w:t>
      </w:r>
      <w:r w:rsidR="000257C1">
        <w:rPr>
          <w:rFonts w:eastAsia="Times New Roman"/>
          <w:szCs w:val="28"/>
        </w:rPr>
        <w:t xml:space="preserve">a </w:t>
      </w:r>
      <w:r w:rsidR="00745AF0">
        <w:rPr>
          <w:rFonts w:eastAsia="Times New Roman"/>
          <w:szCs w:val="28"/>
        </w:rPr>
        <w:t>c</w:t>
      </w:r>
      <w:r w:rsidR="00C372BF" w:rsidRPr="007B5877">
        <w:rPr>
          <w:rFonts w:eastAsia="Times New Roman"/>
          <w:szCs w:val="28"/>
        </w:rPr>
        <w:t xml:space="preserve">onsent </w:t>
      </w:r>
      <w:r w:rsidR="00745AF0">
        <w:rPr>
          <w:rFonts w:eastAsia="Times New Roman"/>
          <w:szCs w:val="28"/>
        </w:rPr>
        <w:t>o</w:t>
      </w:r>
      <w:r w:rsidR="00C372BF" w:rsidRPr="007B5877">
        <w:rPr>
          <w:rFonts w:eastAsia="Times New Roman"/>
          <w:szCs w:val="28"/>
        </w:rPr>
        <w:t xml:space="preserve">rder </w:t>
      </w:r>
      <w:r w:rsidR="0073635F">
        <w:rPr>
          <w:rFonts w:eastAsia="Times New Roman"/>
          <w:szCs w:val="28"/>
        </w:rPr>
        <w:t xml:space="preserve">filed </w:t>
      </w:r>
      <w:r w:rsidR="00745AF0">
        <w:rPr>
          <w:rFonts w:eastAsia="Times New Roman"/>
          <w:szCs w:val="28"/>
        </w:rPr>
        <w:t xml:space="preserve">by the parties </w:t>
      </w:r>
      <w:r w:rsidR="0073635F">
        <w:rPr>
          <w:rFonts w:eastAsia="Times New Roman"/>
          <w:szCs w:val="28"/>
        </w:rPr>
        <w:t>on</w:t>
      </w:r>
      <w:r w:rsidR="00C372BF" w:rsidRPr="007B5877">
        <w:rPr>
          <w:rFonts w:eastAsia="Times New Roman"/>
          <w:szCs w:val="28"/>
        </w:rPr>
        <w:t xml:space="preserve"> 10 Mar</w:t>
      </w:r>
      <w:r w:rsidR="007B5877">
        <w:rPr>
          <w:rFonts w:eastAsia="Times New Roman"/>
          <w:szCs w:val="28"/>
        </w:rPr>
        <w:t>ch</w:t>
      </w:r>
      <w:r w:rsidR="00C372BF" w:rsidRPr="007B5877">
        <w:rPr>
          <w:rFonts w:eastAsia="Times New Roman"/>
          <w:szCs w:val="28"/>
        </w:rPr>
        <w:t xml:space="preserve"> 2017</w:t>
      </w:r>
      <w:r w:rsidR="005753AD">
        <w:rPr>
          <w:rFonts w:eastAsia="Times New Roman"/>
          <w:szCs w:val="28"/>
        </w:rPr>
        <w:t>, leav</w:t>
      </w:r>
      <w:r w:rsidR="00E40FCB">
        <w:rPr>
          <w:rFonts w:eastAsia="Times New Roman"/>
          <w:szCs w:val="28"/>
        </w:rPr>
        <w:t xml:space="preserve">ing damages to be assessed. </w:t>
      </w:r>
    </w:p>
    <w:p w14:paraId="255F01B3" w14:textId="77777777" w:rsidR="000257C1" w:rsidRPr="000257C1" w:rsidRDefault="000257C1" w:rsidP="004404A9">
      <w:pPr>
        <w:pStyle w:val="ListParagraph"/>
        <w:spacing w:line="360" w:lineRule="auto"/>
        <w:rPr>
          <w:rFonts w:eastAsia="Times New Roman"/>
          <w:szCs w:val="28"/>
        </w:rPr>
      </w:pPr>
    </w:p>
    <w:p w14:paraId="758FEE21" w14:textId="0C3CB30E" w:rsidR="00C372BF" w:rsidRPr="00485D7B" w:rsidRDefault="00C372BF" w:rsidP="004404A9">
      <w:pPr>
        <w:pStyle w:val="ListParagraph"/>
        <w:numPr>
          <w:ilvl w:val="0"/>
          <w:numId w:val="30"/>
        </w:numPr>
        <w:tabs>
          <w:tab w:val="clear" w:pos="9072"/>
        </w:tabs>
        <w:spacing w:line="360" w:lineRule="auto"/>
        <w:ind w:left="0" w:right="26" w:firstLine="0"/>
        <w:jc w:val="both"/>
        <w:rPr>
          <w:szCs w:val="28"/>
        </w:rPr>
      </w:pPr>
      <w:r w:rsidRPr="007B5877">
        <w:rPr>
          <w:rFonts w:eastAsia="Times New Roman"/>
          <w:szCs w:val="28"/>
        </w:rPr>
        <w:t xml:space="preserve">6 experts in different specialties </w:t>
      </w:r>
      <w:r w:rsidR="00E40FCB">
        <w:rPr>
          <w:rFonts w:eastAsia="Times New Roman"/>
          <w:szCs w:val="28"/>
        </w:rPr>
        <w:t>were ordered by</w:t>
      </w:r>
      <w:r w:rsidR="00485D7B">
        <w:rPr>
          <w:rFonts w:eastAsia="Times New Roman"/>
          <w:szCs w:val="28"/>
        </w:rPr>
        <w:t xml:space="preserve"> Master Roy Yu of the High Court</w:t>
      </w:r>
      <w:r w:rsidR="00E40FCB">
        <w:rPr>
          <w:rFonts w:eastAsia="Times New Roman"/>
          <w:szCs w:val="28"/>
        </w:rPr>
        <w:t xml:space="preserve"> on </w:t>
      </w:r>
      <w:r w:rsidR="007B5877">
        <w:rPr>
          <w:rFonts w:eastAsia="Times New Roman"/>
          <w:szCs w:val="28"/>
        </w:rPr>
        <w:t>21 September 2017</w:t>
      </w:r>
      <w:r w:rsidRPr="007B5877">
        <w:rPr>
          <w:rFonts w:eastAsia="Times New Roman"/>
          <w:szCs w:val="28"/>
        </w:rPr>
        <w:t xml:space="preserve"> </w:t>
      </w:r>
      <w:r w:rsidR="00E40FCB">
        <w:rPr>
          <w:rFonts w:eastAsia="Times New Roman"/>
          <w:szCs w:val="28"/>
        </w:rPr>
        <w:t xml:space="preserve">to arrange </w:t>
      </w:r>
      <w:r w:rsidR="00933889">
        <w:rPr>
          <w:rFonts w:eastAsia="Times New Roman"/>
          <w:szCs w:val="28"/>
        </w:rPr>
        <w:t>examination on the plaintiff. T</w:t>
      </w:r>
      <w:r w:rsidR="00E40FCB">
        <w:rPr>
          <w:rFonts w:eastAsia="Times New Roman"/>
          <w:szCs w:val="28"/>
        </w:rPr>
        <w:t xml:space="preserve">he parties </w:t>
      </w:r>
      <w:r w:rsidR="00933889">
        <w:rPr>
          <w:rFonts w:eastAsia="Times New Roman"/>
          <w:szCs w:val="28"/>
        </w:rPr>
        <w:t xml:space="preserve">were ordered </w:t>
      </w:r>
      <w:r w:rsidR="00E40FCB">
        <w:rPr>
          <w:rFonts w:eastAsia="Times New Roman"/>
          <w:szCs w:val="28"/>
        </w:rPr>
        <w:t>to jointly report to t</w:t>
      </w:r>
      <w:r w:rsidR="00933889">
        <w:rPr>
          <w:rFonts w:eastAsia="Times New Roman"/>
          <w:szCs w:val="28"/>
        </w:rPr>
        <w:t>he Court within 28 days to advis</w:t>
      </w:r>
      <w:r w:rsidR="00E40FCB">
        <w:rPr>
          <w:rFonts w:eastAsia="Times New Roman"/>
          <w:szCs w:val="28"/>
        </w:rPr>
        <w:t>e on the dates of the</w:t>
      </w:r>
      <w:r w:rsidR="00431013">
        <w:rPr>
          <w:rFonts w:eastAsia="Times New Roman"/>
          <w:szCs w:val="28"/>
        </w:rPr>
        <w:t xml:space="preserve"> examination and the dates for</w:t>
      </w:r>
      <w:r w:rsidR="00933889">
        <w:rPr>
          <w:rFonts w:eastAsia="Times New Roman"/>
          <w:szCs w:val="28"/>
        </w:rPr>
        <w:t xml:space="preserve"> the</w:t>
      </w:r>
      <w:r w:rsidR="00431013">
        <w:rPr>
          <w:rFonts w:eastAsia="Times New Roman"/>
          <w:szCs w:val="28"/>
        </w:rPr>
        <w:t xml:space="preserve"> completion of the expert reports. </w:t>
      </w:r>
      <w:r w:rsidR="00933889">
        <w:rPr>
          <w:rFonts w:eastAsia="Times New Roman"/>
          <w:szCs w:val="28"/>
        </w:rPr>
        <w:t>B</w:t>
      </w:r>
      <w:r w:rsidR="00485D7B">
        <w:rPr>
          <w:rFonts w:eastAsia="Times New Roman"/>
          <w:szCs w:val="28"/>
        </w:rPr>
        <w:t>y</w:t>
      </w:r>
      <w:r w:rsidR="007B5877">
        <w:rPr>
          <w:rFonts w:eastAsia="Times New Roman"/>
          <w:szCs w:val="28"/>
        </w:rPr>
        <w:t xml:space="preserve"> another</w:t>
      </w:r>
      <w:r w:rsidRPr="007B5877">
        <w:rPr>
          <w:rFonts w:eastAsia="Times New Roman"/>
          <w:szCs w:val="28"/>
        </w:rPr>
        <w:t xml:space="preserve"> </w:t>
      </w:r>
      <w:r w:rsidR="00485D7B">
        <w:rPr>
          <w:rFonts w:eastAsia="Times New Roman"/>
          <w:szCs w:val="28"/>
        </w:rPr>
        <w:t xml:space="preserve">Order of Master Roy Yu </w:t>
      </w:r>
      <w:r w:rsidR="00933889">
        <w:rPr>
          <w:rFonts w:eastAsia="Times New Roman"/>
          <w:szCs w:val="28"/>
        </w:rPr>
        <w:t xml:space="preserve">dated 12 October 2020, </w:t>
      </w:r>
      <w:r w:rsidR="00933889" w:rsidRPr="007B5877">
        <w:rPr>
          <w:rFonts w:eastAsia="Times New Roman"/>
          <w:szCs w:val="28"/>
        </w:rPr>
        <w:t xml:space="preserve">4 </w:t>
      </w:r>
      <w:r w:rsidR="00933889">
        <w:rPr>
          <w:rFonts w:eastAsia="Times New Roman"/>
          <w:szCs w:val="28"/>
        </w:rPr>
        <w:t xml:space="preserve">expert </w:t>
      </w:r>
      <w:r w:rsidR="00933889" w:rsidRPr="007B5877">
        <w:rPr>
          <w:rFonts w:eastAsia="Times New Roman"/>
          <w:szCs w:val="28"/>
        </w:rPr>
        <w:t>reports were agreed to be adduc</w:t>
      </w:r>
      <w:r w:rsidR="00933889">
        <w:rPr>
          <w:rFonts w:eastAsia="Times New Roman"/>
          <w:szCs w:val="28"/>
        </w:rPr>
        <w:t>ed without oral evidence.</w:t>
      </w:r>
    </w:p>
    <w:p w14:paraId="55B14D67" w14:textId="77777777" w:rsidR="00485D7B" w:rsidRPr="00485D7B" w:rsidRDefault="00485D7B" w:rsidP="004404A9">
      <w:pPr>
        <w:pStyle w:val="ListParagraph"/>
        <w:spacing w:line="360" w:lineRule="auto"/>
        <w:rPr>
          <w:szCs w:val="28"/>
        </w:rPr>
      </w:pPr>
    </w:p>
    <w:p w14:paraId="124AABE6" w14:textId="23E4FE6D" w:rsidR="00485D7B" w:rsidRDefault="00431013" w:rsidP="004404A9">
      <w:pPr>
        <w:pStyle w:val="ListParagraph"/>
        <w:numPr>
          <w:ilvl w:val="0"/>
          <w:numId w:val="30"/>
        </w:numPr>
        <w:tabs>
          <w:tab w:val="clear" w:pos="9072"/>
        </w:tabs>
        <w:spacing w:line="360" w:lineRule="auto"/>
        <w:ind w:left="0" w:right="26" w:firstLine="0"/>
        <w:jc w:val="both"/>
        <w:rPr>
          <w:szCs w:val="28"/>
        </w:rPr>
      </w:pPr>
      <w:r>
        <w:rPr>
          <w:szCs w:val="28"/>
        </w:rPr>
        <w:t>Thus, t</w:t>
      </w:r>
      <w:r w:rsidR="00485D7B">
        <w:rPr>
          <w:szCs w:val="28"/>
        </w:rPr>
        <w:t xml:space="preserve">he </w:t>
      </w:r>
      <w:r w:rsidR="00D36C0D">
        <w:rPr>
          <w:szCs w:val="28"/>
        </w:rPr>
        <w:t xml:space="preserve">status of the </w:t>
      </w:r>
      <w:r w:rsidR="004A37B6">
        <w:rPr>
          <w:szCs w:val="28"/>
        </w:rPr>
        <w:t xml:space="preserve">expert reports </w:t>
      </w:r>
      <w:r w:rsidR="0002243D">
        <w:rPr>
          <w:szCs w:val="28"/>
        </w:rPr>
        <w:t xml:space="preserve">as of the date of the hearing before me on 18 </w:t>
      </w:r>
      <w:r w:rsidR="00CA609A">
        <w:rPr>
          <w:szCs w:val="28"/>
        </w:rPr>
        <w:t>February</w:t>
      </w:r>
      <w:r w:rsidR="0002243D">
        <w:rPr>
          <w:szCs w:val="28"/>
        </w:rPr>
        <w:t xml:space="preserve"> 2022</w:t>
      </w:r>
      <w:r w:rsidR="004A55C7">
        <w:rPr>
          <w:szCs w:val="28"/>
        </w:rPr>
        <w:t xml:space="preserve"> is as follows</w:t>
      </w:r>
      <w:r w:rsidR="0002243D">
        <w:rPr>
          <w:szCs w:val="28"/>
        </w:rPr>
        <w:t>:</w:t>
      </w:r>
    </w:p>
    <w:p w14:paraId="0F9FC174" w14:textId="24C1B561" w:rsidR="0002243D" w:rsidRDefault="0002243D" w:rsidP="004404A9">
      <w:pPr>
        <w:pStyle w:val="ListParagraph"/>
        <w:spacing w:line="360" w:lineRule="auto"/>
        <w:rPr>
          <w:szCs w:val="28"/>
        </w:rPr>
      </w:pPr>
    </w:p>
    <w:p w14:paraId="365805A8" w14:textId="69315B3B" w:rsidR="00337E7D" w:rsidRDefault="00337E7D" w:rsidP="004404A9">
      <w:pPr>
        <w:pStyle w:val="ListParagraph"/>
        <w:spacing w:line="360" w:lineRule="auto"/>
        <w:rPr>
          <w:szCs w:val="28"/>
        </w:rPr>
      </w:pPr>
    </w:p>
    <w:p w14:paraId="2585D6C1" w14:textId="77777777" w:rsidR="00337E7D" w:rsidRPr="0002243D" w:rsidRDefault="00337E7D" w:rsidP="004404A9">
      <w:pPr>
        <w:pStyle w:val="ListParagraph"/>
        <w:spacing w:line="360" w:lineRule="auto"/>
        <w:rPr>
          <w:szCs w:val="28"/>
        </w:rPr>
      </w:pPr>
    </w:p>
    <w:tbl>
      <w:tblPr>
        <w:tblStyle w:val="TableGrid"/>
        <w:tblW w:w="0" w:type="auto"/>
        <w:tblLook w:val="04A0" w:firstRow="1" w:lastRow="0" w:firstColumn="1" w:lastColumn="0" w:noHBand="0" w:noVBand="1"/>
      </w:tblPr>
      <w:tblGrid>
        <w:gridCol w:w="2125"/>
        <w:gridCol w:w="2275"/>
        <w:gridCol w:w="1575"/>
        <w:gridCol w:w="2321"/>
      </w:tblGrid>
      <w:tr w:rsidR="006443B4" w14:paraId="5AFEF6C5" w14:textId="77777777" w:rsidTr="000C3E1A">
        <w:tc>
          <w:tcPr>
            <w:tcW w:w="2125" w:type="dxa"/>
          </w:tcPr>
          <w:p w14:paraId="4FC6158C" w14:textId="3B68EBEA" w:rsidR="006443B4" w:rsidRDefault="006443B4" w:rsidP="00431013">
            <w:pPr>
              <w:pStyle w:val="ListParagraph"/>
              <w:tabs>
                <w:tab w:val="clear" w:pos="9072"/>
              </w:tabs>
              <w:ind w:left="0" w:right="26"/>
              <w:jc w:val="both"/>
              <w:rPr>
                <w:szCs w:val="28"/>
              </w:rPr>
            </w:pPr>
            <w:r>
              <w:rPr>
                <w:szCs w:val="28"/>
              </w:rPr>
              <w:lastRenderedPageBreak/>
              <w:t>Special</w:t>
            </w:r>
            <w:r w:rsidR="00745AF0">
              <w:rPr>
                <w:szCs w:val="28"/>
              </w:rPr>
              <w:t>ty</w:t>
            </w:r>
          </w:p>
        </w:tc>
        <w:tc>
          <w:tcPr>
            <w:tcW w:w="2275" w:type="dxa"/>
          </w:tcPr>
          <w:p w14:paraId="7D357240" w14:textId="3D4FFFF2" w:rsidR="006443B4" w:rsidRDefault="004A55C7" w:rsidP="00431013">
            <w:pPr>
              <w:pStyle w:val="ListParagraph"/>
              <w:tabs>
                <w:tab w:val="clear" w:pos="9072"/>
              </w:tabs>
              <w:ind w:left="0" w:right="26"/>
              <w:jc w:val="both"/>
              <w:rPr>
                <w:szCs w:val="28"/>
              </w:rPr>
            </w:pPr>
            <w:r>
              <w:rPr>
                <w:szCs w:val="28"/>
              </w:rPr>
              <w:t>Expert</w:t>
            </w:r>
          </w:p>
        </w:tc>
        <w:tc>
          <w:tcPr>
            <w:tcW w:w="1575" w:type="dxa"/>
          </w:tcPr>
          <w:p w14:paraId="066CEBA7" w14:textId="7394470C" w:rsidR="006443B4" w:rsidRDefault="006443B4" w:rsidP="00431013">
            <w:pPr>
              <w:pStyle w:val="ListParagraph"/>
              <w:tabs>
                <w:tab w:val="clear" w:pos="9072"/>
              </w:tabs>
              <w:ind w:left="0" w:right="26"/>
              <w:jc w:val="both"/>
              <w:rPr>
                <w:szCs w:val="28"/>
              </w:rPr>
            </w:pPr>
            <w:r>
              <w:rPr>
                <w:szCs w:val="28"/>
              </w:rPr>
              <w:t>Report</w:t>
            </w:r>
            <w:r w:rsidR="004A55C7">
              <w:rPr>
                <w:szCs w:val="28"/>
              </w:rPr>
              <w:t xml:space="preserve"> date</w:t>
            </w:r>
          </w:p>
        </w:tc>
        <w:tc>
          <w:tcPr>
            <w:tcW w:w="2321" w:type="dxa"/>
          </w:tcPr>
          <w:p w14:paraId="1B991673" w14:textId="4FB6EEA6" w:rsidR="006443B4" w:rsidRDefault="006443B4" w:rsidP="00431013">
            <w:pPr>
              <w:pStyle w:val="ListParagraph"/>
              <w:tabs>
                <w:tab w:val="clear" w:pos="9072"/>
              </w:tabs>
              <w:ind w:left="0" w:right="26"/>
              <w:jc w:val="both"/>
              <w:rPr>
                <w:szCs w:val="28"/>
              </w:rPr>
            </w:pPr>
            <w:r>
              <w:rPr>
                <w:szCs w:val="28"/>
              </w:rPr>
              <w:t>Remarks</w:t>
            </w:r>
          </w:p>
        </w:tc>
      </w:tr>
      <w:tr w:rsidR="006443B4" w14:paraId="696AFD61" w14:textId="77777777" w:rsidTr="000C3E1A">
        <w:trPr>
          <w:trHeight w:val="863"/>
        </w:trPr>
        <w:tc>
          <w:tcPr>
            <w:tcW w:w="2125" w:type="dxa"/>
          </w:tcPr>
          <w:p w14:paraId="430DD9DA" w14:textId="52CBC13D" w:rsidR="006443B4" w:rsidRDefault="006443B4" w:rsidP="00431013">
            <w:pPr>
              <w:pStyle w:val="ListParagraph"/>
              <w:tabs>
                <w:tab w:val="clear" w:pos="9072"/>
              </w:tabs>
              <w:ind w:left="0" w:right="26"/>
              <w:jc w:val="both"/>
              <w:rPr>
                <w:szCs w:val="28"/>
              </w:rPr>
            </w:pPr>
            <w:r>
              <w:rPr>
                <w:szCs w:val="28"/>
              </w:rPr>
              <w:t>ENT</w:t>
            </w:r>
          </w:p>
        </w:tc>
        <w:tc>
          <w:tcPr>
            <w:tcW w:w="2275" w:type="dxa"/>
          </w:tcPr>
          <w:p w14:paraId="056B6415" w14:textId="69AE2D1F" w:rsidR="006443B4" w:rsidRDefault="006443B4" w:rsidP="00431013">
            <w:pPr>
              <w:pStyle w:val="ListParagraph"/>
              <w:tabs>
                <w:tab w:val="clear" w:pos="9072"/>
              </w:tabs>
              <w:ind w:left="0" w:right="26"/>
              <w:jc w:val="both"/>
              <w:rPr>
                <w:szCs w:val="28"/>
              </w:rPr>
            </w:pPr>
            <w:r>
              <w:rPr>
                <w:szCs w:val="28"/>
              </w:rPr>
              <w:t>Prof Michael Tong, single joint expert</w:t>
            </w:r>
          </w:p>
        </w:tc>
        <w:tc>
          <w:tcPr>
            <w:tcW w:w="1575" w:type="dxa"/>
          </w:tcPr>
          <w:p w14:paraId="03EB229E" w14:textId="222247F3" w:rsidR="006443B4" w:rsidRDefault="006443B4" w:rsidP="00431013">
            <w:pPr>
              <w:pStyle w:val="ListParagraph"/>
              <w:tabs>
                <w:tab w:val="clear" w:pos="9072"/>
              </w:tabs>
              <w:ind w:left="0" w:right="26"/>
              <w:jc w:val="both"/>
              <w:rPr>
                <w:szCs w:val="28"/>
              </w:rPr>
            </w:pPr>
            <w:r>
              <w:rPr>
                <w:szCs w:val="28"/>
              </w:rPr>
              <w:t>7</w:t>
            </w:r>
            <w:r w:rsidR="0073635F">
              <w:rPr>
                <w:szCs w:val="28"/>
              </w:rPr>
              <w:t xml:space="preserve"> Feb </w:t>
            </w:r>
            <w:r>
              <w:rPr>
                <w:szCs w:val="28"/>
              </w:rPr>
              <w:t>2022</w:t>
            </w:r>
          </w:p>
        </w:tc>
        <w:tc>
          <w:tcPr>
            <w:tcW w:w="2321" w:type="dxa"/>
          </w:tcPr>
          <w:p w14:paraId="6E9BC895" w14:textId="3BC664E5" w:rsidR="006443B4" w:rsidRDefault="00431013" w:rsidP="003F06D9">
            <w:pPr>
              <w:pStyle w:val="ListParagraph"/>
              <w:tabs>
                <w:tab w:val="clear" w:pos="9072"/>
              </w:tabs>
              <w:ind w:left="0" w:right="26"/>
              <w:jc w:val="both"/>
              <w:rPr>
                <w:szCs w:val="28"/>
              </w:rPr>
            </w:pPr>
            <w:r>
              <w:rPr>
                <w:szCs w:val="28"/>
              </w:rPr>
              <w:t xml:space="preserve">The parties </w:t>
            </w:r>
            <w:r w:rsidR="003F06D9">
              <w:rPr>
                <w:szCs w:val="28"/>
              </w:rPr>
              <w:t xml:space="preserve">were </w:t>
            </w:r>
            <w:r>
              <w:rPr>
                <w:szCs w:val="28"/>
              </w:rPr>
              <w:t xml:space="preserve">supposed to arrange the </w:t>
            </w:r>
            <w:r w:rsidR="00547BC6">
              <w:rPr>
                <w:szCs w:val="28"/>
              </w:rPr>
              <w:t>plaintiff</w:t>
            </w:r>
            <w:r>
              <w:rPr>
                <w:szCs w:val="28"/>
              </w:rPr>
              <w:t xml:space="preserve"> to be examined by the ENT expert </w:t>
            </w:r>
            <w:r w:rsidR="00933889">
              <w:rPr>
                <w:szCs w:val="28"/>
              </w:rPr>
              <w:t>under the</w:t>
            </w:r>
            <w:r>
              <w:rPr>
                <w:szCs w:val="28"/>
              </w:rPr>
              <w:t xml:space="preserve"> Order of Master Roy Yu dated </w:t>
            </w:r>
            <w:r w:rsidR="00933889">
              <w:rPr>
                <w:szCs w:val="28"/>
              </w:rPr>
              <w:t>21 September 2017</w:t>
            </w:r>
            <w:r>
              <w:rPr>
                <w:szCs w:val="28"/>
              </w:rPr>
              <w:t xml:space="preserve"> and to </w:t>
            </w:r>
            <w:r w:rsidR="005753AD">
              <w:rPr>
                <w:szCs w:val="28"/>
              </w:rPr>
              <w:t>report to the Court within 28</w:t>
            </w:r>
            <w:r w:rsidR="00144D71">
              <w:rPr>
                <w:szCs w:val="28"/>
              </w:rPr>
              <w:t xml:space="preserve"> days </w:t>
            </w:r>
            <w:r w:rsidR="005753AD">
              <w:rPr>
                <w:szCs w:val="28"/>
              </w:rPr>
              <w:t xml:space="preserve">to advise </w:t>
            </w:r>
            <w:r w:rsidR="00144D71">
              <w:rPr>
                <w:szCs w:val="28"/>
              </w:rPr>
              <w:t xml:space="preserve">on the date of the examination and the date of completion of the report. However, </w:t>
            </w:r>
            <w:r w:rsidR="00547BC6">
              <w:rPr>
                <w:szCs w:val="28"/>
              </w:rPr>
              <w:t xml:space="preserve">the report </w:t>
            </w:r>
            <w:r w:rsidR="00E00236">
              <w:rPr>
                <w:szCs w:val="28"/>
              </w:rPr>
              <w:t>was not</w:t>
            </w:r>
            <w:r w:rsidR="00DF6990">
              <w:rPr>
                <w:szCs w:val="28"/>
              </w:rPr>
              <w:t xml:space="preserve"> </w:t>
            </w:r>
            <w:r w:rsidR="00547BC6">
              <w:rPr>
                <w:szCs w:val="28"/>
              </w:rPr>
              <w:t>compiled</w:t>
            </w:r>
            <w:r w:rsidR="007854CF">
              <w:rPr>
                <w:szCs w:val="28"/>
              </w:rPr>
              <w:t xml:space="preserve"> </w:t>
            </w:r>
            <w:r w:rsidR="00DF6990">
              <w:rPr>
                <w:szCs w:val="28"/>
              </w:rPr>
              <w:t xml:space="preserve">until </w:t>
            </w:r>
            <w:r w:rsidR="00DF6990" w:rsidRPr="0073635F">
              <w:rPr>
                <w:szCs w:val="28"/>
              </w:rPr>
              <w:t>7 February</w:t>
            </w:r>
            <w:r w:rsidR="004A55C7" w:rsidRPr="0073635F">
              <w:rPr>
                <w:szCs w:val="28"/>
              </w:rPr>
              <w:t xml:space="preserve">       </w:t>
            </w:r>
            <w:r w:rsidR="00DF6990" w:rsidRPr="0073635F">
              <w:rPr>
                <w:szCs w:val="28"/>
              </w:rPr>
              <w:t>2022</w:t>
            </w:r>
            <w:r w:rsidR="004A55C7">
              <w:rPr>
                <w:szCs w:val="28"/>
              </w:rPr>
              <w:t xml:space="preserve"> with no explanation</w:t>
            </w:r>
            <w:r w:rsidR="007854CF">
              <w:rPr>
                <w:szCs w:val="28"/>
              </w:rPr>
              <w:t>s</w:t>
            </w:r>
            <w:r w:rsidR="004A55C7">
              <w:rPr>
                <w:szCs w:val="28"/>
              </w:rPr>
              <w:t xml:space="preserve"> given</w:t>
            </w:r>
            <w:r w:rsidR="00144D71">
              <w:rPr>
                <w:szCs w:val="28"/>
              </w:rPr>
              <w:t>. Hence, there was</w:t>
            </w:r>
            <w:r w:rsidR="009E0914">
              <w:rPr>
                <w:szCs w:val="28"/>
              </w:rPr>
              <w:t xml:space="preserve"> </w:t>
            </w:r>
            <w:r w:rsidR="005753AD">
              <w:rPr>
                <w:szCs w:val="28"/>
              </w:rPr>
              <w:t>a delay of almost 4</w:t>
            </w:r>
            <w:r w:rsidR="00547BC6">
              <w:rPr>
                <w:szCs w:val="28"/>
              </w:rPr>
              <w:t xml:space="preserve"> years</w:t>
            </w:r>
          </w:p>
        </w:tc>
      </w:tr>
      <w:tr w:rsidR="006443B4" w14:paraId="1C7987DF" w14:textId="77777777" w:rsidTr="000C3E1A">
        <w:trPr>
          <w:trHeight w:val="683"/>
        </w:trPr>
        <w:tc>
          <w:tcPr>
            <w:tcW w:w="2125" w:type="dxa"/>
          </w:tcPr>
          <w:p w14:paraId="3731F9FC" w14:textId="46504C08" w:rsidR="006443B4" w:rsidRDefault="006443B4" w:rsidP="00431013">
            <w:pPr>
              <w:pStyle w:val="ListParagraph"/>
              <w:tabs>
                <w:tab w:val="clear" w:pos="9072"/>
              </w:tabs>
              <w:ind w:left="0" w:right="26"/>
              <w:jc w:val="both"/>
              <w:rPr>
                <w:szCs w:val="28"/>
              </w:rPr>
            </w:pPr>
            <w:r>
              <w:rPr>
                <w:szCs w:val="28"/>
              </w:rPr>
              <w:t>Ophthalmologist</w:t>
            </w:r>
          </w:p>
        </w:tc>
        <w:tc>
          <w:tcPr>
            <w:tcW w:w="2275" w:type="dxa"/>
          </w:tcPr>
          <w:p w14:paraId="13501B61" w14:textId="7DA49666" w:rsidR="006443B4" w:rsidRDefault="00DF6990" w:rsidP="00431013">
            <w:pPr>
              <w:pStyle w:val="ListParagraph"/>
              <w:tabs>
                <w:tab w:val="clear" w:pos="9072"/>
              </w:tabs>
              <w:ind w:left="0" w:right="26"/>
              <w:jc w:val="both"/>
              <w:rPr>
                <w:szCs w:val="28"/>
              </w:rPr>
            </w:pPr>
            <w:r>
              <w:rPr>
                <w:szCs w:val="28"/>
              </w:rPr>
              <w:t>Dr</w:t>
            </w:r>
            <w:r w:rsidR="006443B4">
              <w:rPr>
                <w:szCs w:val="28"/>
              </w:rPr>
              <w:t xml:space="preserve"> Kenneth Ng Wing Ho, single joint expert</w:t>
            </w:r>
          </w:p>
        </w:tc>
        <w:tc>
          <w:tcPr>
            <w:tcW w:w="1575" w:type="dxa"/>
          </w:tcPr>
          <w:p w14:paraId="0337221F" w14:textId="2AFEBF7C" w:rsidR="006443B4" w:rsidRDefault="0073635F" w:rsidP="00431013">
            <w:pPr>
              <w:pStyle w:val="ListParagraph"/>
              <w:tabs>
                <w:tab w:val="clear" w:pos="9072"/>
              </w:tabs>
              <w:ind w:left="0" w:right="26"/>
              <w:jc w:val="both"/>
              <w:rPr>
                <w:szCs w:val="28"/>
              </w:rPr>
            </w:pPr>
            <w:r>
              <w:rPr>
                <w:szCs w:val="28"/>
              </w:rPr>
              <w:t xml:space="preserve">24 Jul </w:t>
            </w:r>
            <w:r w:rsidR="006443B4">
              <w:rPr>
                <w:szCs w:val="28"/>
              </w:rPr>
              <w:t>2018</w:t>
            </w:r>
          </w:p>
        </w:tc>
        <w:tc>
          <w:tcPr>
            <w:tcW w:w="2321" w:type="dxa"/>
          </w:tcPr>
          <w:p w14:paraId="7524B67B" w14:textId="4B4A35E5" w:rsidR="006443B4" w:rsidRDefault="00265B3B" w:rsidP="00431013">
            <w:pPr>
              <w:pStyle w:val="ListParagraph"/>
              <w:tabs>
                <w:tab w:val="clear" w:pos="9072"/>
              </w:tabs>
              <w:ind w:left="0" w:right="26"/>
              <w:jc w:val="both"/>
              <w:rPr>
                <w:szCs w:val="28"/>
              </w:rPr>
            </w:pPr>
            <w:r>
              <w:rPr>
                <w:szCs w:val="28"/>
              </w:rPr>
              <w:t>This report was compiled in time.</w:t>
            </w:r>
          </w:p>
        </w:tc>
      </w:tr>
      <w:tr w:rsidR="006443B4" w14:paraId="60BCE2FA" w14:textId="77777777" w:rsidTr="000C3E1A">
        <w:trPr>
          <w:trHeight w:val="683"/>
        </w:trPr>
        <w:tc>
          <w:tcPr>
            <w:tcW w:w="2125" w:type="dxa"/>
          </w:tcPr>
          <w:p w14:paraId="7AAD04FD" w14:textId="2FC6A02B" w:rsidR="006443B4" w:rsidRDefault="000C3E1A" w:rsidP="00431013">
            <w:pPr>
              <w:pStyle w:val="ListParagraph"/>
              <w:tabs>
                <w:tab w:val="clear" w:pos="9072"/>
              </w:tabs>
              <w:ind w:left="0" w:right="26"/>
              <w:jc w:val="both"/>
              <w:rPr>
                <w:szCs w:val="28"/>
              </w:rPr>
            </w:pPr>
            <w:r>
              <w:rPr>
                <w:szCs w:val="28"/>
              </w:rPr>
              <w:t xml:space="preserve">Orthopaedic </w:t>
            </w:r>
          </w:p>
        </w:tc>
        <w:tc>
          <w:tcPr>
            <w:tcW w:w="2275" w:type="dxa"/>
          </w:tcPr>
          <w:p w14:paraId="5AA55425" w14:textId="51A29346" w:rsidR="006443B4" w:rsidRDefault="00DF6990" w:rsidP="00431013">
            <w:pPr>
              <w:pStyle w:val="ListParagraph"/>
              <w:tabs>
                <w:tab w:val="clear" w:pos="9072"/>
              </w:tabs>
              <w:ind w:left="0" w:right="26"/>
              <w:jc w:val="both"/>
              <w:rPr>
                <w:szCs w:val="28"/>
              </w:rPr>
            </w:pPr>
            <w:r>
              <w:rPr>
                <w:szCs w:val="28"/>
              </w:rPr>
              <w:t>Dr</w:t>
            </w:r>
            <w:r w:rsidR="000C3E1A">
              <w:rPr>
                <w:szCs w:val="28"/>
              </w:rPr>
              <w:t xml:space="preserve"> Li Wing Kin, single joint expert</w:t>
            </w:r>
          </w:p>
        </w:tc>
        <w:tc>
          <w:tcPr>
            <w:tcW w:w="1575" w:type="dxa"/>
          </w:tcPr>
          <w:p w14:paraId="139A018F" w14:textId="1911FD95" w:rsidR="006443B4" w:rsidRDefault="000C3E1A" w:rsidP="00431013">
            <w:pPr>
              <w:pStyle w:val="ListParagraph"/>
              <w:tabs>
                <w:tab w:val="clear" w:pos="9072"/>
              </w:tabs>
              <w:ind w:left="0" w:right="26"/>
              <w:jc w:val="both"/>
              <w:rPr>
                <w:szCs w:val="28"/>
              </w:rPr>
            </w:pPr>
            <w:r>
              <w:rPr>
                <w:szCs w:val="28"/>
              </w:rPr>
              <w:t>9</w:t>
            </w:r>
            <w:r w:rsidR="0073635F">
              <w:rPr>
                <w:szCs w:val="28"/>
              </w:rPr>
              <w:t xml:space="preserve"> Jan </w:t>
            </w:r>
            <w:r>
              <w:rPr>
                <w:szCs w:val="28"/>
              </w:rPr>
              <w:t>2018</w:t>
            </w:r>
          </w:p>
        </w:tc>
        <w:tc>
          <w:tcPr>
            <w:tcW w:w="2321" w:type="dxa"/>
          </w:tcPr>
          <w:p w14:paraId="163A96EE" w14:textId="0EB0E87C" w:rsidR="006443B4" w:rsidRDefault="00265B3B" w:rsidP="00547BC6">
            <w:pPr>
              <w:pStyle w:val="ListParagraph"/>
              <w:tabs>
                <w:tab w:val="clear" w:pos="9072"/>
              </w:tabs>
              <w:ind w:left="0" w:right="26"/>
              <w:jc w:val="both"/>
              <w:rPr>
                <w:szCs w:val="28"/>
              </w:rPr>
            </w:pPr>
            <w:r>
              <w:rPr>
                <w:szCs w:val="28"/>
              </w:rPr>
              <w:t>This report was compiled in time. However, i</w:t>
            </w:r>
            <w:r w:rsidR="000C3E1A">
              <w:rPr>
                <w:szCs w:val="28"/>
              </w:rPr>
              <w:t>n the plaintiff’s letter dated 5 J</w:t>
            </w:r>
            <w:r w:rsidR="007854CF">
              <w:rPr>
                <w:szCs w:val="28"/>
              </w:rPr>
              <w:t>anuary 2022</w:t>
            </w:r>
            <w:r w:rsidR="00547BC6">
              <w:rPr>
                <w:szCs w:val="28"/>
              </w:rPr>
              <w:t xml:space="preserve"> to the C</w:t>
            </w:r>
            <w:r w:rsidR="00745AF0">
              <w:rPr>
                <w:szCs w:val="28"/>
              </w:rPr>
              <w:t>ourt</w:t>
            </w:r>
            <w:r w:rsidR="007854CF">
              <w:rPr>
                <w:szCs w:val="28"/>
              </w:rPr>
              <w:t>,</w:t>
            </w:r>
            <w:r w:rsidR="000C3E1A">
              <w:rPr>
                <w:szCs w:val="28"/>
              </w:rPr>
              <w:t xml:space="preserve"> the plaintiff </w:t>
            </w:r>
            <w:r w:rsidR="00144D71">
              <w:rPr>
                <w:szCs w:val="28"/>
              </w:rPr>
              <w:t>for the first time informed the Court that he had decided</w:t>
            </w:r>
            <w:r w:rsidR="00DF6990">
              <w:rPr>
                <w:szCs w:val="28"/>
              </w:rPr>
              <w:t xml:space="preserve"> to introduce Dr Peter Tio in place of Dr</w:t>
            </w:r>
            <w:r w:rsidR="00144D71">
              <w:rPr>
                <w:szCs w:val="28"/>
              </w:rPr>
              <w:t xml:space="preserve"> </w:t>
            </w:r>
            <w:r w:rsidR="00144D71">
              <w:rPr>
                <w:szCs w:val="28"/>
              </w:rPr>
              <w:lastRenderedPageBreak/>
              <w:t>Li</w:t>
            </w:r>
            <w:r w:rsidR="007854CF">
              <w:rPr>
                <w:szCs w:val="28"/>
              </w:rPr>
              <w:t xml:space="preserve"> </w:t>
            </w:r>
            <w:r w:rsidR="00547BC6">
              <w:rPr>
                <w:szCs w:val="28"/>
              </w:rPr>
              <w:t>as the single orthop</w:t>
            </w:r>
            <w:r w:rsidR="009E0914">
              <w:rPr>
                <w:szCs w:val="28"/>
              </w:rPr>
              <w:t>a</w:t>
            </w:r>
            <w:r w:rsidR="00547BC6">
              <w:rPr>
                <w:szCs w:val="28"/>
              </w:rPr>
              <w:t>edic expert in this case</w:t>
            </w:r>
          </w:p>
        </w:tc>
      </w:tr>
      <w:tr w:rsidR="000C3E1A" w14:paraId="6A2E2B08" w14:textId="77777777" w:rsidTr="000C3E1A">
        <w:trPr>
          <w:trHeight w:val="683"/>
        </w:trPr>
        <w:tc>
          <w:tcPr>
            <w:tcW w:w="2125" w:type="dxa"/>
          </w:tcPr>
          <w:p w14:paraId="2F23973F" w14:textId="2FE899A0" w:rsidR="000C3E1A" w:rsidRDefault="000C3E1A" w:rsidP="00431013">
            <w:pPr>
              <w:pStyle w:val="ListParagraph"/>
              <w:tabs>
                <w:tab w:val="clear" w:pos="9072"/>
              </w:tabs>
              <w:ind w:left="0" w:right="26"/>
              <w:jc w:val="both"/>
              <w:rPr>
                <w:szCs w:val="28"/>
              </w:rPr>
            </w:pPr>
            <w:r>
              <w:rPr>
                <w:szCs w:val="28"/>
              </w:rPr>
              <w:lastRenderedPageBreak/>
              <w:t>Neurologist</w:t>
            </w:r>
          </w:p>
        </w:tc>
        <w:tc>
          <w:tcPr>
            <w:tcW w:w="2275" w:type="dxa"/>
          </w:tcPr>
          <w:p w14:paraId="3FC57926" w14:textId="375BF8E5" w:rsidR="000C3E1A" w:rsidRDefault="000C3E1A" w:rsidP="00431013">
            <w:pPr>
              <w:pStyle w:val="ListParagraph"/>
              <w:tabs>
                <w:tab w:val="clear" w:pos="9072"/>
              </w:tabs>
              <w:ind w:left="0" w:right="26"/>
              <w:jc w:val="both"/>
              <w:rPr>
                <w:szCs w:val="28"/>
              </w:rPr>
            </w:pPr>
            <w:r>
              <w:rPr>
                <w:szCs w:val="28"/>
              </w:rPr>
              <w:t>Dr Kan Yiu Ting (for the plaintiff)</w:t>
            </w:r>
          </w:p>
          <w:p w14:paraId="036E1AF1" w14:textId="562B32E5" w:rsidR="000C3E1A" w:rsidRDefault="00DF6990" w:rsidP="00431013">
            <w:pPr>
              <w:pStyle w:val="ListParagraph"/>
              <w:tabs>
                <w:tab w:val="clear" w:pos="9072"/>
              </w:tabs>
              <w:ind w:left="0" w:right="26"/>
              <w:jc w:val="both"/>
              <w:rPr>
                <w:szCs w:val="28"/>
              </w:rPr>
            </w:pPr>
            <w:r>
              <w:rPr>
                <w:szCs w:val="28"/>
              </w:rPr>
              <w:t>Dr</w:t>
            </w:r>
            <w:r w:rsidR="000C3E1A">
              <w:rPr>
                <w:szCs w:val="28"/>
              </w:rPr>
              <w:t xml:space="preserve"> Edmund Wood (for the defendant)</w:t>
            </w:r>
            <w:r w:rsidR="00547BC6">
              <w:rPr>
                <w:szCs w:val="28"/>
              </w:rPr>
              <w:t>, joint expert</w:t>
            </w:r>
          </w:p>
        </w:tc>
        <w:tc>
          <w:tcPr>
            <w:tcW w:w="1575" w:type="dxa"/>
          </w:tcPr>
          <w:p w14:paraId="320C34DE" w14:textId="55D80A1F" w:rsidR="000C3E1A" w:rsidRDefault="000C3E1A" w:rsidP="00431013">
            <w:pPr>
              <w:pStyle w:val="ListParagraph"/>
              <w:tabs>
                <w:tab w:val="clear" w:pos="9072"/>
              </w:tabs>
              <w:ind w:left="0" w:right="26"/>
              <w:jc w:val="both"/>
              <w:rPr>
                <w:szCs w:val="28"/>
              </w:rPr>
            </w:pPr>
            <w:r>
              <w:rPr>
                <w:szCs w:val="28"/>
              </w:rPr>
              <w:t>22</w:t>
            </w:r>
            <w:r w:rsidR="0073635F">
              <w:rPr>
                <w:szCs w:val="28"/>
              </w:rPr>
              <w:t xml:space="preserve"> Jan </w:t>
            </w:r>
            <w:r>
              <w:rPr>
                <w:szCs w:val="28"/>
              </w:rPr>
              <w:t>2018</w:t>
            </w:r>
          </w:p>
        </w:tc>
        <w:tc>
          <w:tcPr>
            <w:tcW w:w="2321" w:type="dxa"/>
          </w:tcPr>
          <w:p w14:paraId="1954EDA9" w14:textId="069EECF9" w:rsidR="000C3E1A" w:rsidRDefault="00265B3B" w:rsidP="00144D71">
            <w:pPr>
              <w:pStyle w:val="ListParagraph"/>
              <w:tabs>
                <w:tab w:val="clear" w:pos="9072"/>
              </w:tabs>
              <w:ind w:left="0" w:right="26"/>
              <w:jc w:val="both"/>
              <w:rPr>
                <w:szCs w:val="28"/>
              </w:rPr>
            </w:pPr>
            <w:r>
              <w:rPr>
                <w:szCs w:val="28"/>
              </w:rPr>
              <w:t>This joint report was compiled in time.</w:t>
            </w:r>
          </w:p>
        </w:tc>
      </w:tr>
      <w:tr w:rsidR="000C3E1A" w14:paraId="77412EF4" w14:textId="77777777" w:rsidTr="000C3E1A">
        <w:trPr>
          <w:trHeight w:val="683"/>
        </w:trPr>
        <w:tc>
          <w:tcPr>
            <w:tcW w:w="2125" w:type="dxa"/>
          </w:tcPr>
          <w:p w14:paraId="23801495" w14:textId="17B02CCB" w:rsidR="000C3E1A" w:rsidRDefault="000C3E1A" w:rsidP="00431013">
            <w:pPr>
              <w:pStyle w:val="ListParagraph"/>
              <w:tabs>
                <w:tab w:val="clear" w:pos="9072"/>
              </w:tabs>
              <w:ind w:left="0" w:right="26"/>
              <w:jc w:val="both"/>
              <w:rPr>
                <w:szCs w:val="28"/>
              </w:rPr>
            </w:pPr>
            <w:r>
              <w:rPr>
                <w:szCs w:val="28"/>
              </w:rPr>
              <w:t>Psychologist</w:t>
            </w:r>
          </w:p>
        </w:tc>
        <w:tc>
          <w:tcPr>
            <w:tcW w:w="2275" w:type="dxa"/>
          </w:tcPr>
          <w:p w14:paraId="03A26F93" w14:textId="0E41682B" w:rsidR="000C3E1A" w:rsidRDefault="000C3E1A" w:rsidP="00431013">
            <w:pPr>
              <w:pStyle w:val="ListParagraph"/>
              <w:tabs>
                <w:tab w:val="clear" w:pos="9072"/>
              </w:tabs>
              <w:ind w:left="0" w:right="26"/>
              <w:jc w:val="both"/>
              <w:rPr>
                <w:szCs w:val="28"/>
              </w:rPr>
            </w:pPr>
            <w:r>
              <w:rPr>
                <w:szCs w:val="28"/>
              </w:rPr>
              <w:t>Prof Peter Lee Wing Ho, single joint expert</w:t>
            </w:r>
          </w:p>
        </w:tc>
        <w:tc>
          <w:tcPr>
            <w:tcW w:w="1575" w:type="dxa"/>
          </w:tcPr>
          <w:p w14:paraId="099F0CE8" w14:textId="446D3B9E" w:rsidR="000C3E1A" w:rsidRDefault="000C3E1A" w:rsidP="00431013">
            <w:pPr>
              <w:pStyle w:val="ListParagraph"/>
              <w:tabs>
                <w:tab w:val="clear" w:pos="9072"/>
              </w:tabs>
              <w:ind w:left="0" w:right="26"/>
              <w:jc w:val="both"/>
              <w:rPr>
                <w:szCs w:val="28"/>
              </w:rPr>
            </w:pPr>
            <w:r>
              <w:rPr>
                <w:szCs w:val="28"/>
              </w:rPr>
              <w:t>20</w:t>
            </w:r>
            <w:r w:rsidR="007854CF">
              <w:rPr>
                <w:szCs w:val="28"/>
              </w:rPr>
              <w:t xml:space="preserve"> Jul </w:t>
            </w:r>
            <w:r>
              <w:rPr>
                <w:szCs w:val="28"/>
              </w:rPr>
              <w:t>2021</w:t>
            </w:r>
          </w:p>
        </w:tc>
        <w:tc>
          <w:tcPr>
            <w:tcW w:w="2321" w:type="dxa"/>
          </w:tcPr>
          <w:p w14:paraId="35BEE418" w14:textId="7E58AEF4" w:rsidR="000C3E1A" w:rsidRDefault="003F06D9" w:rsidP="005753AD">
            <w:pPr>
              <w:pStyle w:val="ListParagraph"/>
              <w:tabs>
                <w:tab w:val="clear" w:pos="9072"/>
              </w:tabs>
              <w:ind w:left="0" w:right="26"/>
              <w:jc w:val="both"/>
              <w:rPr>
                <w:szCs w:val="28"/>
              </w:rPr>
            </w:pPr>
            <w:r>
              <w:rPr>
                <w:szCs w:val="28"/>
              </w:rPr>
              <w:t xml:space="preserve">The parties were </w:t>
            </w:r>
            <w:r w:rsidR="009E0914">
              <w:rPr>
                <w:szCs w:val="28"/>
              </w:rPr>
              <w:t xml:space="preserve">supposed to arrange the plaintiff to be examined by the psychological expert </w:t>
            </w:r>
            <w:r w:rsidR="00144D71">
              <w:rPr>
                <w:szCs w:val="28"/>
              </w:rPr>
              <w:t>under</w:t>
            </w:r>
            <w:r w:rsidR="009E0914">
              <w:rPr>
                <w:szCs w:val="28"/>
              </w:rPr>
              <w:t xml:space="preserve"> the Order of Master Roy Yu dated </w:t>
            </w:r>
            <w:r w:rsidR="00144D71">
              <w:rPr>
                <w:szCs w:val="28"/>
              </w:rPr>
              <w:t>21 September 2017</w:t>
            </w:r>
            <w:r w:rsidR="009E0914">
              <w:rPr>
                <w:szCs w:val="28"/>
              </w:rPr>
              <w:t xml:space="preserve"> and to </w:t>
            </w:r>
            <w:r w:rsidR="00144D71">
              <w:rPr>
                <w:szCs w:val="28"/>
              </w:rPr>
              <w:t xml:space="preserve">report to the Court within 28 days on the date of the examination and the date of the completion of the report. However, </w:t>
            </w:r>
            <w:r w:rsidR="009E0914">
              <w:rPr>
                <w:szCs w:val="28"/>
              </w:rPr>
              <w:t xml:space="preserve">the report was not compiled until </w:t>
            </w:r>
            <w:r w:rsidR="005753AD">
              <w:rPr>
                <w:szCs w:val="28"/>
              </w:rPr>
              <w:t xml:space="preserve">July </w:t>
            </w:r>
            <w:r w:rsidR="00265B3B">
              <w:rPr>
                <w:szCs w:val="28"/>
              </w:rPr>
              <w:t>2021</w:t>
            </w:r>
            <w:r w:rsidR="00144D71">
              <w:rPr>
                <w:szCs w:val="28"/>
              </w:rPr>
              <w:t xml:space="preserve"> with no explanations given. A</w:t>
            </w:r>
            <w:r w:rsidR="004B1077">
              <w:rPr>
                <w:szCs w:val="28"/>
              </w:rPr>
              <w:t xml:space="preserve"> delay of almost 4</w:t>
            </w:r>
            <w:r w:rsidR="009E0914">
              <w:rPr>
                <w:szCs w:val="28"/>
              </w:rPr>
              <w:t xml:space="preserve"> years</w:t>
            </w:r>
            <w:r w:rsidR="005753AD">
              <w:rPr>
                <w:szCs w:val="28"/>
              </w:rPr>
              <w:t>.</w:t>
            </w:r>
          </w:p>
        </w:tc>
      </w:tr>
      <w:tr w:rsidR="000C3E1A" w14:paraId="4725E908" w14:textId="77777777" w:rsidTr="000C3E1A">
        <w:trPr>
          <w:trHeight w:val="683"/>
        </w:trPr>
        <w:tc>
          <w:tcPr>
            <w:tcW w:w="2125" w:type="dxa"/>
          </w:tcPr>
          <w:p w14:paraId="5072F0ED" w14:textId="40678957" w:rsidR="000C3E1A" w:rsidRDefault="000C3E1A" w:rsidP="00431013">
            <w:pPr>
              <w:pStyle w:val="ListParagraph"/>
              <w:tabs>
                <w:tab w:val="clear" w:pos="9072"/>
              </w:tabs>
              <w:ind w:left="0" w:right="26"/>
              <w:jc w:val="both"/>
              <w:rPr>
                <w:szCs w:val="28"/>
              </w:rPr>
            </w:pPr>
            <w:r>
              <w:rPr>
                <w:szCs w:val="28"/>
              </w:rPr>
              <w:t>Maxillofacial</w:t>
            </w:r>
          </w:p>
        </w:tc>
        <w:tc>
          <w:tcPr>
            <w:tcW w:w="2275" w:type="dxa"/>
          </w:tcPr>
          <w:p w14:paraId="64919C9F" w14:textId="6E765133" w:rsidR="000C3E1A" w:rsidRDefault="000C3E1A" w:rsidP="00431013">
            <w:pPr>
              <w:pStyle w:val="ListParagraph"/>
              <w:tabs>
                <w:tab w:val="clear" w:pos="9072"/>
              </w:tabs>
              <w:ind w:left="0" w:right="26"/>
              <w:jc w:val="both"/>
              <w:rPr>
                <w:szCs w:val="28"/>
              </w:rPr>
            </w:pPr>
            <w:r>
              <w:rPr>
                <w:szCs w:val="28"/>
              </w:rPr>
              <w:t>Prof Cheung Lim Kwong, single joint expert</w:t>
            </w:r>
          </w:p>
        </w:tc>
        <w:tc>
          <w:tcPr>
            <w:tcW w:w="1575" w:type="dxa"/>
          </w:tcPr>
          <w:p w14:paraId="41326883" w14:textId="6CD8C8AA" w:rsidR="000C3E1A" w:rsidRDefault="000C3E1A" w:rsidP="00431013">
            <w:pPr>
              <w:pStyle w:val="ListParagraph"/>
              <w:tabs>
                <w:tab w:val="clear" w:pos="9072"/>
              </w:tabs>
              <w:ind w:left="0" w:right="26"/>
              <w:jc w:val="both"/>
              <w:rPr>
                <w:szCs w:val="28"/>
              </w:rPr>
            </w:pPr>
            <w:r>
              <w:rPr>
                <w:szCs w:val="28"/>
              </w:rPr>
              <w:t>24</w:t>
            </w:r>
            <w:r w:rsidR="007854CF">
              <w:rPr>
                <w:szCs w:val="28"/>
              </w:rPr>
              <w:t xml:space="preserve"> Nov 2</w:t>
            </w:r>
            <w:r>
              <w:rPr>
                <w:szCs w:val="28"/>
              </w:rPr>
              <w:t>017</w:t>
            </w:r>
          </w:p>
        </w:tc>
        <w:tc>
          <w:tcPr>
            <w:tcW w:w="2321" w:type="dxa"/>
          </w:tcPr>
          <w:p w14:paraId="45E040E2" w14:textId="4D735DAF" w:rsidR="000C3E1A" w:rsidRDefault="00547BC6" w:rsidP="004B1077">
            <w:pPr>
              <w:pStyle w:val="ListParagraph"/>
              <w:tabs>
                <w:tab w:val="clear" w:pos="9072"/>
              </w:tabs>
              <w:ind w:left="0" w:right="26"/>
              <w:jc w:val="both"/>
              <w:rPr>
                <w:szCs w:val="28"/>
              </w:rPr>
            </w:pPr>
            <w:r>
              <w:rPr>
                <w:szCs w:val="28"/>
              </w:rPr>
              <w:t>Although the report</w:t>
            </w:r>
            <w:r w:rsidR="004B1077">
              <w:rPr>
                <w:szCs w:val="28"/>
              </w:rPr>
              <w:t xml:space="preserve"> was dated 24 November 2017,</w:t>
            </w:r>
            <w:r>
              <w:rPr>
                <w:szCs w:val="28"/>
              </w:rPr>
              <w:t xml:space="preserve"> it was filed</w:t>
            </w:r>
            <w:r w:rsidR="004B1077">
              <w:rPr>
                <w:szCs w:val="28"/>
              </w:rPr>
              <w:t xml:space="preserve"> with the Court</w:t>
            </w:r>
            <w:r>
              <w:rPr>
                <w:szCs w:val="28"/>
              </w:rPr>
              <w:t xml:space="preserve"> on 9 February 2022</w:t>
            </w:r>
            <w:r w:rsidR="004B1077">
              <w:rPr>
                <w:szCs w:val="28"/>
              </w:rPr>
              <w:t xml:space="preserve"> only.</w:t>
            </w:r>
            <w:r w:rsidR="005753AD">
              <w:rPr>
                <w:szCs w:val="28"/>
              </w:rPr>
              <w:t xml:space="preserve"> A delay of over 4 years.</w:t>
            </w:r>
          </w:p>
        </w:tc>
      </w:tr>
    </w:tbl>
    <w:p w14:paraId="1B9B27D0" w14:textId="6B91F41A" w:rsidR="007B5877" w:rsidRDefault="007B5877" w:rsidP="003F06D9">
      <w:pPr>
        <w:tabs>
          <w:tab w:val="clear" w:pos="9072"/>
        </w:tabs>
        <w:spacing w:line="360" w:lineRule="auto"/>
        <w:ind w:right="26"/>
        <w:jc w:val="both"/>
        <w:rPr>
          <w:i/>
          <w:szCs w:val="28"/>
        </w:rPr>
      </w:pPr>
    </w:p>
    <w:p w14:paraId="594E7412" w14:textId="77777777" w:rsidR="00B9190F" w:rsidRPr="004B1077" w:rsidRDefault="00B9190F" w:rsidP="003F06D9">
      <w:pPr>
        <w:tabs>
          <w:tab w:val="clear" w:pos="9072"/>
        </w:tabs>
        <w:spacing w:line="360" w:lineRule="auto"/>
        <w:ind w:right="26"/>
        <w:jc w:val="both"/>
        <w:rPr>
          <w:i/>
          <w:szCs w:val="28"/>
        </w:rPr>
      </w:pPr>
    </w:p>
    <w:p w14:paraId="1C11D104" w14:textId="2949AD25" w:rsidR="004B1077" w:rsidRDefault="004B1077" w:rsidP="003F06D9">
      <w:pPr>
        <w:tabs>
          <w:tab w:val="clear" w:pos="9072"/>
        </w:tabs>
        <w:spacing w:line="360" w:lineRule="auto"/>
        <w:ind w:right="26"/>
        <w:jc w:val="both"/>
        <w:rPr>
          <w:i/>
          <w:szCs w:val="28"/>
        </w:rPr>
      </w:pPr>
      <w:r w:rsidRPr="004B1077">
        <w:rPr>
          <w:i/>
          <w:szCs w:val="28"/>
        </w:rPr>
        <w:lastRenderedPageBreak/>
        <w:t>DISCUSSION</w:t>
      </w:r>
    </w:p>
    <w:p w14:paraId="0A841D9E" w14:textId="77777777" w:rsidR="005753AD" w:rsidRPr="004B1077" w:rsidRDefault="005753AD" w:rsidP="003F06D9">
      <w:pPr>
        <w:tabs>
          <w:tab w:val="clear" w:pos="9072"/>
        </w:tabs>
        <w:spacing w:line="360" w:lineRule="auto"/>
        <w:ind w:right="26"/>
        <w:jc w:val="both"/>
        <w:rPr>
          <w:i/>
          <w:szCs w:val="28"/>
        </w:rPr>
      </w:pPr>
    </w:p>
    <w:p w14:paraId="2D0CA3BB" w14:textId="0B52A090" w:rsidR="00FF3058" w:rsidRDefault="00B9190F" w:rsidP="003F06D9">
      <w:pPr>
        <w:spacing w:line="360" w:lineRule="auto"/>
        <w:ind w:right="105"/>
        <w:jc w:val="both"/>
        <w:rPr>
          <w:rFonts w:eastAsia="Times New Roman"/>
          <w:i/>
          <w:szCs w:val="28"/>
        </w:rPr>
      </w:pPr>
      <w:r>
        <w:rPr>
          <w:rFonts w:eastAsia="Times New Roman"/>
          <w:i/>
          <w:szCs w:val="28"/>
        </w:rPr>
        <w:t>(A</w:t>
      </w:r>
      <w:r w:rsidR="004B1077">
        <w:rPr>
          <w:rFonts w:eastAsia="Times New Roman"/>
          <w:i/>
          <w:szCs w:val="28"/>
        </w:rPr>
        <w:t xml:space="preserve">) </w:t>
      </w:r>
      <w:r w:rsidR="00CA609A">
        <w:rPr>
          <w:rFonts w:eastAsia="Times New Roman"/>
          <w:i/>
          <w:szCs w:val="28"/>
        </w:rPr>
        <w:t xml:space="preserve">History </w:t>
      </w:r>
      <w:r w:rsidR="007B5877" w:rsidRPr="007B5877">
        <w:rPr>
          <w:rFonts w:eastAsia="Times New Roman"/>
          <w:i/>
          <w:szCs w:val="28"/>
        </w:rPr>
        <w:t xml:space="preserve">of </w:t>
      </w:r>
      <w:r w:rsidR="00CA609A">
        <w:rPr>
          <w:rFonts w:eastAsia="Times New Roman"/>
          <w:i/>
          <w:szCs w:val="28"/>
        </w:rPr>
        <w:t xml:space="preserve">the case </w:t>
      </w:r>
    </w:p>
    <w:p w14:paraId="2A5318BA" w14:textId="3321DD6A" w:rsidR="007B5877" w:rsidRDefault="007B5877" w:rsidP="003F06D9">
      <w:pPr>
        <w:spacing w:line="360" w:lineRule="auto"/>
        <w:ind w:right="105"/>
        <w:jc w:val="both"/>
        <w:rPr>
          <w:rFonts w:eastAsia="Times New Roman"/>
          <w:i/>
          <w:szCs w:val="28"/>
        </w:rPr>
      </w:pPr>
    </w:p>
    <w:p w14:paraId="3537EDF8" w14:textId="597B419A" w:rsidR="00FF3058" w:rsidRDefault="00547BC6" w:rsidP="003F06D9">
      <w:pPr>
        <w:spacing w:line="360" w:lineRule="auto"/>
        <w:ind w:right="105"/>
        <w:jc w:val="both"/>
        <w:rPr>
          <w:rFonts w:eastAsia="Times New Roman"/>
          <w:i/>
          <w:szCs w:val="28"/>
        </w:rPr>
      </w:pPr>
      <w:r>
        <w:rPr>
          <w:rFonts w:eastAsia="Times New Roman"/>
          <w:i/>
          <w:szCs w:val="28"/>
        </w:rPr>
        <w:t>Case management d</w:t>
      </w:r>
      <w:r w:rsidR="00FF3058">
        <w:rPr>
          <w:rFonts w:eastAsia="Times New Roman"/>
          <w:i/>
          <w:szCs w:val="28"/>
        </w:rPr>
        <w:t>irections given in the High Court</w:t>
      </w:r>
    </w:p>
    <w:p w14:paraId="50E859F5" w14:textId="77777777" w:rsidR="007B5877" w:rsidRPr="007B5877" w:rsidRDefault="007B5877" w:rsidP="003F06D9">
      <w:pPr>
        <w:spacing w:line="360" w:lineRule="auto"/>
        <w:ind w:right="105"/>
        <w:jc w:val="both"/>
        <w:rPr>
          <w:i/>
          <w:szCs w:val="28"/>
        </w:rPr>
      </w:pPr>
    </w:p>
    <w:p w14:paraId="759DC1A4" w14:textId="29A4EC84" w:rsidR="00B16E1F" w:rsidRPr="00B16E1F" w:rsidRDefault="007B5877" w:rsidP="003F06D9">
      <w:pPr>
        <w:pStyle w:val="ListParagraph"/>
        <w:numPr>
          <w:ilvl w:val="0"/>
          <w:numId w:val="30"/>
        </w:numPr>
        <w:spacing w:line="360" w:lineRule="auto"/>
        <w:ind w:left="0" w:right="-64" w:firstLine="0"/>
        <w:jc w:val="both"/>
        <w:rPr>
          <w:szCs w:val="28"/>
        </w:rPr>
      </w:pPr>
      <w:r w:rsidRPr="002B62B2">
        <w:rPr>
          <w:rFonts w:eastAsia="Times New Roman"/>
          <w:szCs w:val="28"/>
        </w:rPr>
        <w:t xml:space="preserve">This case was transferred from </w:t>
      </w:r>
      <w:r w:rsidR="00CA609A" w:rsidRPr="002B62B2">
        <w:rPr>
          <w:rFonts w:eastAsia="Times New Roman"/>
          <w:szCs w:val="28"/>
        </w:rPr>
        <w:t xml:space="preserve">the </w:t>
      </w:r>
      <w:r w:rsidRPr="002B62B2">
        <w:rPr>
          <w:rFonts w:eastAsia="Times New Roman"/>
          <w:szCs w:val="28"/>
        </w:rPr>
        <w:t xml:space="preserve">High Court to </w:t>
      </w:r>
      <w:r w:rsidR="00CA609A" w:rsidRPr="002B62B2">
        <w:rPr>
          <w:rFonts w:eastAsia="Times New Roman"/>
          <w:szCs w:val="28"/>
        </w:rPr>
        <w:t xml:space="preserve">the </w:t>
      </w:r>
      <w:r w:rsidRPr="002B62B2">
        <w:rPr>
          <w:rFonts w:eastAsia="Times New Roman"/>
          <w:szCs w:val="28"/>
        </w:rPr>
        <w:t xml:space="preserve">District Court </w:t>
      </w:r>
      <w:r w:rsidR="000F2ECD" w:rsidRPr="002B62B2">
        <w:rPr>
          <w:rFonts w:eastAsia="Times New Roman"/>
          <w:szCs w:val="28"/>
        </w:rPr>
        <w:t>by</w:t>
      </w:r>
      <w:r w:rsidR="00B305BD">
        <w:rPr>
          <w:rFonts w:eastAsia="Times New Roman"/>
          <w:szCs w:val="28"/>
        </w:rPr>
        <w:t xml:space="preserve"> Master Roy Yu</w:t>
      </w:r>
      <w:r w:rsidR="000F2ECD" w:rsidRPr="002B62B2">
        <w:rPr>
          <w:rFonts w:eastAsia="Times New Roman"/>
          <w:szCs w:val="28"/>
        </w:rPr>
        <w:t xml:space="preserve"> </w:t>
      </w:r>
      <w:r w:rsidRPr="002B62B2">
        <w:rPr>
          <w:rFonts w:eastAsia="Times New Roman"/>
          <w:szCs w:val="28"/>
        </w:rPr>
        <w:t xml:space="preserve">pursuant to his Order dated 12 October 2020. </w:t>
      </w:r>
      <w:r w:rsidR="00B835B6">
        <w:rPr>
          <w:rFonts w:eastAsia="Times New Roman"/>
          <w:szCs w:val="28"/>
        </w:rPr>
        <w:t xml:space="preserve">It is important to bear in mind that </w:t>
      </w:r>
      <w:r w:rsidR="00554C3A">
        <w:rPr>
          <w:rFonts w:eastAsia="Times New Roman"/>
          <w:szCs w:val="28"/>
        </w:rPr>
        <w:t xml:space="preserve">when the case was transferred to the District Court, it </w:t>
      </w:r>
      <w:r w:rsidR="00547BC6">
        <w:rPr>
          <w:rFonts w:eastAsia="Times New Roman"/>
          <w:szCs w:val="28"/>
        </w:rPr>
        <w:t>had</w:t>
      </w:r>
      <w:r w:rsidR="00B835B6">
        <w:rPr>
          <w:rFonts w:eastAsia="Times New Roman"/>
          <w:szCs w:val="28"/>
        </w:rPr>
        <w:t xml:space="preserve"> </w:t>
      </w:r>
      <w:r w:rsidR="00554C3A">
        <w:rPr>
          <w:rFonts w:eastAsia="Times New Roman"/>
          <w:szCs w:val="28"/>
        </w:rPr>
        <w:t xml:space="preserve">already </w:t>
      </w:r>
      <w:r w:rsidR="00547BC6">
        <w:rPr>
          <w:rFonts w:eastAsia="Times New Roman"/>
          <w:szCs w:val="28"/>
        </w:rPr>
        <w:t xml:space="preserve">been </w:t>
      </w:r>
      <w:r w:rsidR="00B835B6">
        <w:rPr>
          <w:rFonts w:eastAsia="Times New Roman"/>
          <w:szCs w:val="28"/>
        </w:rPr>
        <w:t xml:space="preserve">more than 6 years after the Accident and 3.5 years after interlocutory judgment </w:t>
      </w:r>
      <w:r w:rsidR="00554C3A">
        <w:rPr>
          <w:rFonts w:eastAsia="Times New Roman"/>
          <w:szCs w:val="28"/>
        </w:rPr>
        <w:t>had been</w:t>
      </w:r>
      <w:r w:rsidR="00B835B6">
        <w:rPr>
          <w:rFonts w:eastAsia="Times New Roman"/>
          <w:szCs w:val="28"/>
        </w:rPr>
        <w:t xml:space="preserve"> entered against the defendant.</w:t>
      </w:r>
      <w:r w:rsidR="00B305BD">
        <w:rPr>
          <w:rFonts w:eastAsia="Times New Roman"/>
          <w:szCs w:val="28"/>
        </w:rPr>
        <w:t xml:space="preserve">  There was no explanation offered by the plaintiff as to why it had taken him </w:t>
      </w:r>
      <w:r w:rsidR="00DC47C1">
        <w:rPr>
          <w:rFonts w:eastAsia="Times New Roman"/>
          <w:szCs w:val="28"/>
        </w:rPr>
        <w:t xml:space="preserve">3.5 </w:t>
      </w:r>
      <w:r w:rsidR="00B305BD">
        <w:rPr>
          <w:rFonts w:eastAsia="Times New Roman"/>
          <w:szCs w:val="28"/>
        </w:rPr>
        <w:t xml:space="preserve">years </w:t>
      </w:r>
      <w:r w:rsidR="0092449C">
        <w:rPr>
          <w:rFonts w:eastAsia="Times New Roman"/>
          <w:szCs w:val="28"/>
        </w:rPr>
        <w:t>to</w:t>
      </w:r>
      <w:r w:rsidR="00B305BD">
        <w:rPr>
          <w:rFonts w:eastAsia="Times New Roman"/>
          <w:szCs w:val="28"/>
        </w:rPr>
        <w:t xml:space="preserve"> have the case transferred to the District Court as the increase of jurisdiction of the District Court took place in December 2018.   </w:t>
      </w:r>
      <w:r w:rsidR="00B835B6">
        <w:rPr>
          <w:rFonts w:eastAsia="Times New Roman"/>
          <w:szCs w:val="28"/>
        </w:rPr>
        <w:t xml:space="preserve">  </w:t>
      </w:r>
    </w:p>
    <w:p w14:paraId="5AAC3E06" w14:textId="77777777" w:rsidR="00B16E1F" w:rsidRPr="00B16E1F" w:rsidRDefault="00B16E1F" w:rsidP="003F06D9">
      <w:pPr>
        <w:spacing w:line="360" w:lineRule="auto"/>
        <w:ind w:right="-64"/>
        <w:jc w:val="both"/>
        <w:rPr>
          <w:szCs w:val="28"/>
        </w:rPr>
      </w:pPr>
    </w:p>
    <w:p w14:paraId="3707EED2" w14:textId="4F95D071" w:rsidR="00B16E1F" w:rsidRDefault="00554C3A" w:rsidP="003F06D9">
      <w:pPr>
        <w:pStyle w:val="ListParagraph"/>
        <w:numPr>
          <w:ilvl w:val="0"/>
          <w:numId w:val="30"/>
        </w:numPr>
        <w:tabs>
          <w:tab w:val="clear" w:pos="4320"/>
          <w:tab w:val="clear" w:pos="9072"/>
        </w:tabs>
        <w:snapToGrid/>
        <w:spacing w:line="360" w:lineRule="auto"/>
        <w:ind w:left="0" w:right="-64" w:firstLine="0"/>
        <w:jc w:val="both"/>
        <w:rPr>
          <w:rFonts w:eastAsia="Times New Roman"/>
          <w:szCs w:val="28"/>
        </w:rPr>
      </w:pPr>
      <w:r w:rsidRPr="00336776">
        <w:rPr>
          <w:rFonts w:eastAsia="Times New Roman"/>
          <w:szCs w:val="28"/>
        </w:rPr>
        <w:t>Despit</w:t>
      </w:r>
      <w:r w:rsidR="0059327E" w:rsidRPr="00336776">
        <w:rPr>
          <w:rFonts w:eastAsia="Times New Roman"/>
          <w:szCs w:val="28"/>
        </w:rPr>
        <w:t>e</w:t>
      </w:r>
      <w:r w:rsidRPr="00336776">
        <w:rPr>
          <w:rFonts w:eastAsia="Times New Roman"/>
          <w:szCs w:val="28"/>
        </w:rPr>
        <w:t xml:space="preserve"> the fact that </w:t>
      </w:r>
      <w:r w:rsidR="0059327E" w:rsidRPr="00336776">
        <w:rPr>
          <w:rFonts w:eastAsia="Times New Roman"/>
          <w:szCs w:val="28"/>
        </w:rPr>
        <w:t>the plaintiff ha</w:t>
      </w:r>
      <w:r w:rsidR="001C7743" w:rsidRPr="00336776">
        <w:rPr>
          <w:rFonts w:eastAsia="Times New Roman"/>
          <w:szCs w:val="28"/>
        </w:rPr>
        <w:t>s</w:t>
      </w:r>
      <w:r w:rsidR="0059327E" w:rsidRPr="00336776">
        <w:rPr>
          <w:rFonts w:eastAsia="Times New Roman"/>
          <w:szCs w:val="28"/>
        </w:rPr>
        <w:t xml:space="preserve"> sustained </w:t>
      </w:r>
      <w:r w:rsidR="00B305BD">
        <w:rPr>
          <w:rFonts w:eastAsia="Times New Roman"/>
          <w:szCs w:val="28"/>
        </w:rPr>
        <w:t xml:space="preserve">serious </w:t>
      </w:r>
      <w:r w:rsidR="0059327E" w:rsidRPr="00336776">
        <w:rPr>
          <w:rFonts w:eastAsia="Times New Roman"/>
          <w:szCs w:val="28"/>
        </w:rPr>
        <w:t>multiple injuries in the Accident, t</w:t>
      </w:r>
      <w:r w:rsidR="00B16E1F" w:rsidRPr="00336776">
        <w:rPr>
          <w:rFonts w:eastAsia="Times New Roman"/>
          <w:szCs w:val="28"/>
        </w:rPr>
        <w:t xml:space="preserve">his is </w:t>
      </w:r>
      <w:r w:rsidR="001C7743" w:rsidRPr="00336776">
        <w:rPr>
          <w:rFonts w:eastAsia="Times New Roman"/>
          <w:szCs w:val="28"/>
        </w:rPr>
        <w:t xml:space="preserve">still </w:t>
      </w:r>
      <w:r w:rsidR="00B16E1F" w:rsidRPr="00336776">
        <w:rPr>
          <w:rFonts w:eastAsia="Times New Roman"/>
          <w:szCs w:val="28"/>
        </w:rPr>
        <w:t xml:space="preserve">a </w:t>
      </w:r>
      <w:r w:rsidR="0059327E" w:rsidRPr="00336776">
        <w:rPr>
          <w:rFonts w:eastAsia="Times New Roman"/>
          <w:szCs w:val="28"/>
        </w:rPr>
        <w:t xml:space="preserve">relatively </w:t>
      </w:r>
      <w:r w:rsidR="00B16E1F" w:rsidRPr="00336776">
        <w:rPr>
          <w:rFonts w:eastAsia="Times New Roman"/>
          <w:szCs w:val="28"/>
        </w:rPr>
        <w:t xml:space="preserve">simple </w:t>
      </w:r>
      <w:r w:rsidR="0059327E" w:rsidRPr="00336776">
        <w:rPr>
          <w:rFonts w:eastAsia="Times New Roman"/>
          <w:szCs w:val="28"/>
        </w:rPr>
        <w:t xml:space="preserve">and straightforward </w:t>
      </w:r>
      <w:r w:rsidR="001C7743" w:rsidRPr="00336776">
        <w:rPr>
          <w:rFonts w:eastAsia="Times New Roman"/>
          <w:szCs w:val="28"/>
        </w:rPr>
        <w:t>PI claim</w:t>
      </w:r>
      <w:r w:rsidR="00B16E1F" w:rsidRPr="00336776">
        <w:rPr>
          <w:rFonts w:eastAsia="Times New Roman"/>
          <w:szCs w:val="28"/>
        </w:rPr>
        <w:t xml:space="preserve"> </w:t>
      </w:r>
      <w:r w:rsidR="00C67C2D">
        <w:rPr>
          <w:rFonts w:eastAsia="Times New Roman"/>
          <w:szCs w:val="28"/>
        </w:rPr>
        <w:t>for the following reasons. First, this case</w:t>
      </w:r>
      <w:r w:rsidR="0059327E" w:rsidRPr="00336776">
        <w:rPr>
          <w:rFonts w:eastAsia="Times New Roman"/>
          <w:szCs w:val="28"/>
        </w:rPr>
        <w:t xml:space="preserve"> </w:t>
      </w:r>
      <w:r w:rsidR="00B16E1F" w:rsidRPr="00336776">
        <w:rPr>
          <w:rFonts w:eastAsia="Times New Roman"/>
          <w:szCs w:val="28"/>
        </w:rPr>
        <w:t>only involves with the issue of quantum</w:t>
      </w:r>
      <w:r w:rsidR="002D54EF">
        <w:rPr>
          <w:rFonts w:eastAsia="Times New Roman"/>
          <w:szCs w:val="28"/>
        </w:rPr>
        <w:t xml:space="preserve"> as liability had been admitted at </w:t>
      </w:r>
      <w:r w:rsidR="00B9190F">
        <w:rPr>
          <w:rFonts w:eastAsia="Times New Roman"/>
          <w:szCs w:val="28"/>
        </w:rPr>
        <w:t xml:space="preserve">an early </w:t>
      </w:r>
      <w:r w:rsidR="002D54EF">
        <w:rPr>
          <w:rFonts w:eastAsia="Times New Roman"/>
          <w:szCs w:val="28"/>
        </w:rPr>
        <w:t>stage of the proceedings</w:t>
      </w:r>
      <w:r w:rsidR="00D01AC4">
        <w:rPr>
          <w:rFonts w:eastAsia="Times New Roman"/>
          <w:szCs w:val="28"/>
        </w:rPr>
        <w:t xml:space="preserve">.  </w:t>
      </w:r>
      <w:r w:rsidR="00C67C2D">
        <w:rPr>
          <w:rFonts w:eastAsia="Times New Roman"/>
          <w:szCs w:val="28"/>
        </w:rPr>
        <w:t xml:space="preserve">Second, </w:t>
      </w:r>
      <w:r w:rsidR="00B16E1F" w:rsidRPr="00336776">
        <w:rPr>
          <w:rFonts w:eastAsia="Times New Roman"/>
          <w:szCs w:val="28"/>
        </w:rPr>
        <w:t xml:space="preserve">most </w:t>
      </w:r>
      <w:r w:rsidR="00B305BD">
        <w:rPr>
          <w:rFonts w:eastAsia="Times New Roman"/>
          <w:szCs w:val="28"/>
        </w:rPr>
        <w:t xml:space="preserve">of the </w:t>
      </w:r>
      <w:r w:rsidR="004D02AE" w:rsidRPr="00336776">
        <w:rPr>
          <w:rFonts w:eastAsia="Times New Roman"/>
          <w:szCs w:val="28"/>
        </w:rPr>
        <w:t xml:space="preserve">expert </w:t>
      </w:r>
      <w:r w:rsidR="00B16E1F" w:rsidRPr="00336776">
        <w:rPr>
          <w:rFonts w:eastAsia="Times New Roman"/>
          <w:szCs w:val="28"/>
        </w:rPr>
        <w:t xml:space="preserve">reports </w:t>
      </w:r>
      <w:r w:rsidR="002D54EF">
        <w:rPr>
          <w:rFonts w:eastAsia="Times New Roman"/>
          <w:szCs w:val="28"/>
        </w:rPr>
        <w:t>prepared</w:t>
      </w:r>
      <w:r w:rsidR="0059327E" w:rsidRPr="00336776">
        <w:rPr>
          <w:rFonts w:eastAsia="Times New Roman"/>
          <w:szCs w:val="28"/>
        </w:rPr>
        <w:t xml:space="preserve"> by </w:t>
      </w:r>
      <w:r w:rsidR="00B305BD">
        <w:rPr>
          <w:rFonts w:eastAsia="Times New Roman"/>
          <w:szCs w:val="28"/>
        </w:rPr>
        <w:t xml:space="preserve">the </w:t>
      </w:r>
      <w:r w:rsidR="007F3A62">
        <w:rPr>
          <w:rFonts w:eastAsia="Times New Roman"/>
          <w:szCs w:val="28"/>
        </w:rPr>
        <w:t xml:space="preserve">agreed single </w:t>
      </w:r>
      <w:r w:rsidR="00B305BD">
        <w:rPr>
          <w:rFonts w:eastAsia="Times New Roman"/>
          <w:szCs w:val="28"/>
        </w:rPr>
        <w:t xml:space="preserve">medical </w:t>
      </w:r>
      <w:r w:rsidR="0059327E" w:rsidRPr="00336776">
        <w:rPr>
          <w:rFonts w:eastAsia="Times New Roman"/>
          <w:szCs w:val="28"/>
        </w:rPr>
        <w:t xml:space="preserve">experts </w:t>
      </w:r>
      <w:r w:rsidR="007F3A62">
        <w:rPr>
          <w:rFonts w:eastAsia="Times New Roman"/>
          <w:szCs w:val="28"/>
        </w:rPr>
        <w:t xml:space="preserve">have been </w:t>
      </w:r>
      <w:r w:rsidR="001C7743" w:rsidRPr="00336776">
        <w:rPr>
          <w:rFonts w:eastAsia="Times New Roman"/>
          <w:szCs w:val="28"/>
        </w:rPr>
        <w:t xml:space="preserve">ready </w:t>
      </w:r>
      <w:r w:rsidR="0059327E" w:rsidRPr="00336776">
        <w:rPr>
          <w:rFonts w:eastAsia="Times New Roman"/>
          <w:szCs w:val="28"/>
        </w:rPr>
        <w:t xml:space="preserve">since </w:t>
      </w:r>
      <w:r w:rsidR="00B16E1F" w:rsidRPr="00336776">
        <w:rPr>
          <w:rFonts w:eastAsia="Times New Roman"/>
          <w:szCs w:val="28"/>
        </w:rPr>
        <w:t xml:space="preserve">2018.  </w:t>
      </w:r>
      <w:r w:rsidR="00C67C2D">
        <w:rPr>
          <w:rFonts w:eastAsia="Times New Roman"/>
          <w:szCs w:val="28"/>
        </w:rPr>
        <w:t>Third</w:t>
      </w:r>
      <w:r w:rsidR="007F3A62">
        <w:rPr>
          <w:rFonts w:eastAsia="Times New Roman"/>
          <w:szCs w:val="28"/>
        </w:rPr>
        <w:t>, it</w:t>
      </w:r>
      <w:r w:rsidR="001C7743" w:rsidRPr="00336776">
        <w:rPr>
          <w:rFonts w:eastAsia="Times New Roman"/>
          <w:szCs w:val="28"/>
        </w:rPr>
        <w:t xml:space="preserve"> in</w:t>
      </w:r>
      <w:r w:rsidR="00B305BD">
        <w:rPr>
          <w:rFonts w:eastAsia="Times New Roman"/>
          <w:szCs w:val="28"/>
        </w:rPr>
        <w:t>volves a relative</w:t>
      </w:r>
      <w:r w:rsidR="007F3A62">
        <w:rPr>
          <w:rFonts w:eastAsia="Times New Roman"/>
          <w:szCs w:val="28"/>
        </w:rPr>
        <w:t>ly modest amount of damages</w:t>
      </w:r>
      <w:r w:rsidR="001C7743" w:rsidRPr="00336776">
        <w:rPr>
          <w:rFonts w:eastAsia="Times New Roman"/>
          <w:szCs w:val="28"/>
        </w:rPr>
        <w:t xml:space="preserve">. </w:t>
      </w:r>
      <w:r w:rsidR="00B305BD">
        <w:rPr>
          <w:rFonts w:eastAsia="Times New Roman"/>
          <w:szCs w:val="28"/>
        </w:rPr>
        <w:t xml:space="preserve"> </w:t>
      </w:r>
      <w:r w:rsidR="0059327E" w:rsidRPr="00336776">
        <w:rPr>
          <w:rFonts w:eastAsia="Times New Roman"/>
          <w:szCs w:val="28"/>
        </w:rPr>
        <w:t xml:space="preserve">The fact that the case was transferred to the District Court </w:t>
      </w:r>
      <w:r w:rsidR="001C7743" w:rsidRPr="00336776">
        <w:rPr>
          <w:rFonts w:eastAsia="Times New Roman"/>
          <w:szCs w:val="28"/>
        </w:rPr>
        <w:t xml:space="preserve">back in October 2020 </w:t>
      </w:r>
      <w:r w:rsidR="0059327E" w:rsidRPr="00336776">
        <w:rPr>
          <w:rFonts w:eastAsia="Times New Roman"/>
          <w:szCs w:val="28"/>
        </w:rPr>
        <w:t>where it has a</w:t>
      </w:r>
      <w:r w:rsidR="003D6168">
        <w:rPr>
          <w:rFonts w:eastAsia="Times New Roman"/>
          <w:szCs w:val="28"/>
        </w:rPr>
        <w:t>n</w:t>
      </w:r>
      <w:r w:rsidR="0059327E" w:rsidRPr="00336776">
        <w:rPr>
          <w:rFonts w:eastAsia="Times New Roman"/>
          <w:szCs w:val="28"/>
        </w:rPr>
        <w:t xml:space="preserve"> </w:t>
      </w:r>
      <w:r w:rsidR="00B305BD">
        <w:rPr>
          <w:rFonts w:eastAsia="Times New Roman"/>
          <w:szCs w:val="28"/>
        </w:rPr>
        <w:t xml:space="preserve">upper </w:t>
      </w:r>
      <w:r w:rsidR="0059327E" w:rsidRPr="00336776">
        <w:rPr>
          <w:rFonts w:eastAsia="Times New Roman"/>
          <w:szCs w:val="28"/>
        </w:rPr>
        <w:t>jurisdiction</w:t>
      </w:r>
      <w:r w:rsidR="00CA7769">
        <w:rPr>
          <w:rFonts w:eastAsia="Times New Roman"/>
          <w:szCs w:val="28"/>
        </w:rPr>
        <w:t>al limit</w:t>
      </w:r>
      <w:r w:rsidR="0059327E" w:rsidRPr="00336776">
        <w:rPr>
          <w:rFonts w:eastAsia="Times New Roman"/>
          <w:szCs w:val="28"/>
        </w:rPr>
        <w:t xml:space="preserve"> of HK$3 million</w:t>
      </w:r>
      <w:r w:rsidR="003D6168">
        <w:rPr>
          <w:rFonts w:eastAsia="Times New Roman"/>
          <w:szCs w:val="28"/>
        </w:rPr>
        <w:t xml:space="preserve"> really </w:t>
      </w:r>
      <w:r w:rsidR="0059327E" w:rsidRPr="00336776">
        <w:rPr>
          <w:rFonts w:eastAsia="Times New Roman"/>
          <w:szCs w:val="28"/>
        </w:rPr>
        <w:t xml:space="preserve">speaks for itself.  </w:t>
      </w:r>
      <w:r w:rsidR="00C67C2D">
        <w:rPr>
          <w:rFonts w:eastAsia="Times New Roman"/>
          <w:szCs w:val="28"/>
        </w:rPr>
        <w:t>However</w:t>
      </w:r>
      <w:r w:rsidR="003D6168">
        <w:rPr>
          <w:rFonts w:eastAsia="Times New Roman"/>
          <w:szCs w:val="28"/>
        </w:rPr>
        <w:t>, f</w:t>
      </w:r>
      <w:r w:rsidR="00B16E1F" w:rsidRPr="00336776">
        <w:rPr>
          <w:rFonts w:eastAsia="Times New Roman"/>
          <w:szCs w:val="28"/>
        </w:rPr>
        <w:t>or reasons unknown to this Court,</w:t>
      </w:r>
      <w:r w:rsidR="00C67C2D">
        <w:rPr>
          <w:rFonts w:eastAsia="Times New Roman"/>
          <w:szCs w:val="28"/>
        </w:rPr>
        <w:t xml:space="preserve"> the case went</w:t>
      </w:r>
      <w:r w:rsidR="002D54EF">
        <w:rPr>
          <w:rFonts w:eastAsia="Times New Roman"/>
          <w:szCs w:val="28"/>
        </w:rPr>
        <w:t xml:space="preserve"> idle between 2017 and 2019.</w:t>
      </w:r>
      <w:r w:rsidR="00B16E1F" w:rsidRPr="00336776">
        <w:rPr>
          <w:rFonts w:eastAsia="Times New Roman"/>
          <w:szCs w:val="28"/>
        </w:rPr>
        <w:t xml:space="preserve"> </w:t>
      </w:r>
      <w:r w:rsidR="005753AD">
        <w:rPr>
          <w:rFonts w:eastAsia="Times New Roman"/>
          <w:szCs w:val="28"/>
        </w:rPr>
        <w:t xml:space="preserve">A </w:t>
      </w:r>
      <w:r w:rsidR="00B16E1F" w:rsidRPr="00336776">
        <w:rPr>
          <w:rFonts w:eastAsia="Times New Roman"/>
          <w:szCs w:val="28"/>
        </w:rPr>
        <w:t>“Notice of Intention to Proceed after a Year’s Delay” was filed by the plaintiff in August 2019.</w:t>
      </w:r>
      <w:r w:rsidR="00C67C2D">
        <w:rPr>
          <w:rFonts w:eastAsia="Times New Roman"/>
          <w:szCs w:val="28"/>
        </w:rPr>
        <w:t xml:space="preserve">  Incredibly,</w:t>
      </w:r>
      <w:r w:rsidR="003D6168">
        <w:rPr>
          <w:rFonts w:eastAsia="Times New Roman"/>
          <w:szCs w:val="28"/>
        </w:rPr>
        <w:t xml:space="preserve"> it to</w:t>
      </w:r>
      <w:r w:rsidR="007F3A62">
        <w:rPr>
          <w:rFonts w:eastAsia="Times New Roman"/>
          <w:szCs w:val="28"/>
        </w:rPr>
        <w:t xml:space="preserve">ok </w:t>
      </w:r>
      <w:r w:rsidR="009868EC">
        <w:rPr>
          <w:rFonts w:eastAsia="Times New Roman"/>
          <w:szCs w:val="28"/>
        </w:rPr>
        <w:t>a</w:t>
      </w:r>
      <w:r w:rsidR="007F3A62">
        <w:rPr>
          <w:rFonts w:eastAsia="Times New Roman"/>
          <w:szCs w:val="28"/>
        </w:rPr>
        <w:t xml:space="preserve">nother </w:t>
      </w:r>
      <w:r w:rsidR="00CA7769">
        <w:rPr>
          <w:rFonts w:eastAsia="Times New Roman"/>
          <w:szCs w:val="28"/>
        </w:rPr>
        <w:t xml:space="preserve">14 months </w:t>
      </w:r>
      <w:r w:rsidR="007F3A62">
        <w:rPr>
          <w:rFonts w:eastAsia="Times New Roman"/>
          <w:szCs w:val="28"/>
        </w:rPr>
        <w:t>before the case was transferred to the District Court.</w:t>
      </w:r>
      <w:r w:rsidR="001C7743" w:rsidRPr="00336776">
        <w:rPr>
          <w:rFonts w:eastAsia="Times New Roman"/>
          <w:szCs w:val="28"/>
        </w:rPr>
        <w:t xml:space="preserve"> </w:t>
      </w:r>
    </w:p>
    <w:p w14:paraId="34B4A826" w14:textId="77777777" w:rsidR="00336776" w:rsidRPr="00B16E1F" w:rsidRDefault="00336776" w:rsidP="003F06D9">
      <w:pPr>
        <w:pStyle w:val="ListParagraph"/>
        <w:tabs>
          <w:tab w:val="clear" w:pos="4320"/>
          <w:tab w:val="clear" w:pos="9072"/>
        </w:tabs>
        <w:snapToGrid/>
        <w:spacing w:line="360" w:lineRule="auto"/>
        <w:ind w:left="0" w:right="-64"/>
        <w:jc w:val="both"/>
        <w:rPr>
          <w:rFonts w:eastAsia="Times New Roman"/>
          <w:szCs w:val="28"/>
        </w:rPr>
      </w:pPr>
    </w:p>
    <w:p w14:paraId="52871687" w14:textId="791E655F" w:rsidR="00B835B6" w:rsidRPr="009868EC" w:rsidRDefault="00684171" w:rsidP="003F06D9">
      <w:pPr>
        <w:pStyle w:val="ListParagraph"/>
        <w:numPr>
          <w:ilvl w:val="0"/>
          <w:numId w:val="30"/>
        </w:numPr>
        <w:spacing w:line="360" w:lineRule="auto"/>
        <w:ind w:left="0" w:right="-64" w:firstLine="0"/>
        <w:jc w:val="both"/>
        <w:rPr>
          <w:szCs w:val="28"/>
        </w:rPr>
      </w:pPr>
      <w:r>
        <w:rPr>
          <w:rFonts w:eastAsia="Times New Roman"/>
          <w:szCs w:val="28"/>
        </w:rPr>
        <w:lastRenderedPageBreak/>
        <w:t>Judging from the above history</w:t>
      </w:r>
      <w:r w:rsidR="00F24C3D" w:rsidRPr="007F3A62">
        <w:rPr>
          <w:rFonts w:eastAsia="Times New Roman"/>
          <w:szCs w:val="28"/>
        </w:rPr>
        <w:t xml:space="preserve">, one can say that </w:t>
      </w:r>
      <w:r w:rsidR="00C67C2D">
        <w:rPr>
          <w:rFonts w:eastAsia="Times New Roman"/>
          <w:szCs w:val="28"/>
        </w:rPr>
        <w:t xml:space="preserve">from the date of the interlocutory judgment </w:t>
      </w:r>
      <w:r w:rsidR="00B9190F">
        <w:rPr>
          <w:rFonts w:eastAsia="Times New Roman"/>
          <w:szCs w:val="28"/>
        </w:rPr>
        <w:t>was</w:t>
      </w:r>
      <w:r w:rsidR="00C67C2D">
        <w:rPr>
          <w:rFonts w:eastAsia="Times New Roman"/>
          <w:szCs w:val="28"/>
        </w:rPr>
        <w:t xml:space="preserve"> entered in March 2017 to the date when </w:t>
      </w:r>
      <w:r w:rsidR="007F3A62">
        <w:rPr>
          <w:rFonts w:eastAsia="Times New Roman"/>
          <w:szCs w:val="28"/>
        </w:rPr>
        <w:t xml:space="preserve">the case was transferred to the District Court in October 2020, </w:t>
      </w:r>
      <w:r w:rsidR="00F24C3D" w:rsidRPr="007F3A62">
        <w:rPr>
          <w:rFonts w:eastAsia="Times New Roman"/>
          <w:szCs w:val="28"/>
        </w:rPr>
        <w:t xml:space="preserve">there had already been inordinate </w:t>
      </w:r>
      <w:r w:rsidR="00336776" w:rsidRPr="007F3A62">
        <w:rPr>
          <w:rFonts w:eastAsia="Times New Roman"/>
          <w:szCs w:val="28"/>
        </w:rPr>
        <w:t xml:space="preserve">and unexplained </w:t>
      </w:r>
      <w:r w:rsidR="00F24C3D" w:rsidRPr="007F3A62">
        <w:rPr>
          <w:rFonts w:eastAsia="Times New Roman"/>
          <w:szCs w:val="28"/>
        </w:rPr>
        <w:t xml:space="preserve">delays </w:t>
      </w:r>
      <w:r w:rsidR="007F3A62">
        <w:rPr>
          <w:rFonts w:eastAsia="Times New Roman"/>
          <w:szCs w:val="28"/>
        </w:rPr>
        <w:t xml:space="preserve">on the part of the plaintiff </w:t>
      </w:r>
      <w:r w:rsidR="00F24C3D" w:rsidRPr="007F3A62">
        <w:rPr>
          <w:rFonts w:eastAsia="Times New Roman"/>
          <w:szCs w:val="28"/>
        </w:rPr>
        <w:t xml:space="preserve">to bring this case </w:t>
      </w:r>
      <w:r w:rsidR="007F3A62">
        <w:rPr>
          <w:rFonts w:eastAsia="Times New Roman"/>
          <w:szCs w:val="28"/>
        </w:rPr>
        <w:t>to</w:t>
      </w:r>
      <w:r w:rsidR="00B9190F">
        <w:rPr>
          <w:rFonts w:eastAsia="Times New Roman"/>
          <w:szCs w:val="28"/>
        </w:rPr>
        <w:t xml:space="preserve"> the</w:t>
      </w:r>
      <w:r w:rsidR="00F24C3D" w:rsidRPr="007F3A62">
        <w:rPr>
          <w:rFonts w:eastAsia="Times New Roman"/>
          <w:szCs w:val="28"/>
        </w:rPr>
        <w:t xml:space="preserve"> assessment of damages</w:t>
      </w:r>
      <w:r w:rsidR="007F3A62">
        <w:rPr>
          <w:rFonts w:eastAsia="Times New Roman"/>
          <w:szCs w:val="28"/>
        </w:rPr>
        <w:t>.</w:t>
      </w:r>
    </w:p>
    <w:p w14:paraId="735D1DDC" w14:textId="77777777" w:rsidR="009868EC" w:rsidRPr="009868EC" w:rsidRDefault="009868EC" w:rsidP="003F06D9">
      <w:pPr>
        <w:pStyle w:val="ListParagraph"/>
        <w:spacing w:line="360" w:lineRule="auto"/>
        <w:rPr>
          <w:szCs w:val="28"/>
        </w:rPr>
      </w:pPr>
    </w:p>
    <w:p w14:paraId="4897D580" w14:textId="58920323" w:rsidR="009868EC" w:rsidRPr="004616D1" w:rsidRDefault="009868EC" w:rsidP="003F06D9">
      <w:pPr>
        <w:pStyle w:val="ListParagraph"/>
        <w:spacing w:line="360" w:lineRule="auto"/>
        <w:ind w:left="0" w:right="-64"/>
        <w:jc w:val="both"/>
        <w:rPr>
          <w:i/>
          <w:szCs w:val="28"/>
        </w:rPr>
      </w:pPr>
      <w:r w:rsidRPr="004616D1">
        <w:rPr>
          <w:i/>
          <w:szCs w:val="28"/>
        </w:rPr>
        <w:t xml:space="preserve">Case management directions </w:t>
      </w:r>
      <w:r w:rsidR="00FF3058" w:rsidRPr="004616D1">
        <w:rPr>
          <w:i/>
          <w:szCs w:val="28"/>
        </w:rPr>
        <w:t>given in</w:t>
      </w:r>
      <w:r w:rsidRPr="004616D1">
        <w:rPr>
          <w:i/>
          <w:szCs w:val="28"/>
        </w:rPr>
        <w:t xml:space="preserve"> the</w:t>
      </w:r>
      <w:r w:rsidR="00FF3058" w:rsidRPr="004616D1">
        <w:rPr>
          <w:i/>
          <w:szCs w:val="28"/>
        </w:rPr>
        <w:t xml:space="preserve"> District Court</w:t>
      </w:r>
      <w:r w:rsidRPr="004616D1">
        <w:rPr>
          <w:i/>
          <w:szCs w:val="28"/>
        </w:rPr>
        <w:t xml:space="preserve"> </w:t>
      </w:r>
    </w:p>
    <w:p w14:paraId="0FAC20D6" w14:textId="77777777" w:rsidR="007F3A62" w:rsidRPr="007F3A62" w:rsidRDefault="007F3A62" w:rsidP="003F06D9">
      <w:pPr>
        <w:pStyle w:val="ListParagraph"/>
        <w:spacing w:line="360" w:lineRule="auto"/>
        <w:rPr>
          <w:szCs w:val="28"/>
        </w:rPr>
      </w:pPr>
    </w:p>
    <w:p w14:paraId="651A5CC8" w14:textId="2FFE79A1" w:rsidR="002B62B2" w:rsidRPr="002B62B2" w:rsidRDefault="00CA609A" w:rsidP="003F06D9">
      <w:pPr>
        <w:pStyle w:val="ListParagraph"/>
        <w:numPr>
          <w:ilvl w:val="0"/>
          <w:numId w:val="30"/>
        </w:numPr>
        <w:spacing w:line="360" w:lineRule="auto"/>
        <w:ind w:left="0" w:right="-64" w:firstLine="0"/>
        <w:jc w:val="both"/>
        <w:rPr>
          <w:szCs w:val="28"/>
        </w:rPr>
      </w:pPr>
      <w:r w:rsidRPr="002B62B2">
        <w:rPr>
          <w:rFonts w:eastAsia="Times New Roman"/>
          <w:szCs w:val="28"/>
        </w:rPr>
        <w:t>The f</w:t>
      </w:r>
      <w:r w:rsidR="007B5877" w:rsidRPr="002B62B2">
        <w:rPr>
          <w:rFonts w:eastAsia="Times New Roman"/>
          <w:szCs w:val="28"/>
        </w:rPr>
        <w:t xml:space="preserve">irst Checklist Review </w:t>
      </w:r>
      <w:r w:rsidR="00D927F1">
        <w:rPr>
          <w:rFonts w:eastAsia="Times New Roman"/>
          <w:szCs w:val="28"/>
        </w:rPr>
        <w:t>(“</w:t>
      </w:r>
      <w:r w:rsidR="003473EB">
        <w:rPr>
          <w:rFonts w:eastAsia="Times New Roman"/>
          <w:szCs w:val="28"/>
        </w:rPr>
        <w:t>the 1</w:t>
      </w:r>
      <w:r w:rsidR="003473EB" w:rsidRPr="003473EB">
        <w:rPr>
          <w:rFonts w:eastAsia="Times New Roman"/>
          <w:szCs w:val="28"/>
          <w:vertAlign w:val="superscript"/>
        </w:rPr>
        <w:t>st</w:t>
      </w:r>
      <w:r w:rsidR="003473EB">
        <w:rPr>
          <w:rFonts w:eastAsia="Times New Roman"/>
          <w:szCs w:val="28"/>
        </w:rPr>
        <w:t xml:space="preserve"> </w:t>
      </w:r>
      <w:r w:rsidR="00D927F1">
        <w:rPr>
          <w:rFonts w:eastAsia="Times New Roman"/>
          <w:szCs w:val="28"/>
        </w:rPr>
        <w:t xml:space="preserve">CLR”) </w:t>
      </w:r>
      <w:r w:rsidR="007B5877" w:rsidRPr="002B62B2">
        <w:rPr>
          <w:rFonts w:eastAsia="Times New Roman"/>
          <w:szCs w:val="28"/>
        </w:rPr>
        <w:t xml:space="preserve">hearing at </w:t>
      </w:r>
      <w:r w:rsidR="000F2ECD" w:rsidRPr="002B62B2">
        <w:rPr>
          <w:rFonts w:eastAsia="Times New Roman"/>
          <w:szCs w:val="28"/>
        </w:rPr>
        <w:t xml:space="preserve">the </w:t>
      </w:r>
      <w:r w:rsidR="007B5877" w:rsidRPr="002B62B2">
        <w:rPr>
          <w:rFonts w:eastAsia="Times New Roman"/>
          <w:szCs w:val="28"/>
        </w:rPr>
        <w:t xml:space="preserve">District Court was scheduled on 4 March 2021 but </w:t>
      </w:r>
      <w:r w:rsidR="007D2BC9">
        <w:rPr>
          <w:rFonts w:eastAsia="Times New Roman"/>
          <w:szCs w:val="28"/>
        </w:rPr>
        <w:t xml:space="preserve">was </w:t>
      </w:r>
      <w:r w:rsidR="007B5877" w:rsidRPr="002B62B2">
        <w:rPr>
          <w:rFonts w:eastAsia="Times New Roman"/>
          <w:szCs w:val="28"/>
        </w:rPr>
        <w:t xml:space="preserve">vacated by way of </w:t>
      </w:r>
      <w:r w:rsidR="000F2ECD" w:rsidRPr="002B62B2">
        <w:rPr>
          <w:rFonts w:eastAsia="Times New Roman"/>
          <w:szCs w:val="28"/>
        </w:rPr>
        <w:t xml:space="preserve">a </w:t>
      </w:r>
      <w:r w:rsidR="007D2BC9">
        <w:rPr>
          <w:rFonts w:eastAsia="Times New Roman"/>
          <w:szCs w:val="28"/>
        </w:rPr>
        <w:t>c</w:t>
      </w:r>
      <w:r w:rsidR="007B5877" w:rsidRPr="002B62B2">
        <w:rPr>
          <w:rFonts w:eastAsia="Times New Roman"/>
          <w:szCs w:val="28"/>
        </w:rPr>
        <w:t xml:space="preserve">onsent </w:t>
      </w:r>
      <w:r w:rsidR="007D2BC9">
        <w:rPr>
          <w:rFonts w:eastAsia="Times New Roman"/>
          <w:szCs w:val="28"/>
        </w:rPr>
        <w:t>s</w:t>
      </w:r>
      <w:r w:rsidR="007B5877" w:rsidRPr="002B62B2">
        <w:rPr>
          <w:rFonts w:eastAsia="Times New Roman"/>
          <w:szCs w:val="28"/>
        </w:rPr>
        <w:t xml:space="preserve">ummons </w:t>
      </w:r>
      <w:r w:rsidR="002B62B2" w:rsidRPr="002B62B2">
        <w:rPr>
          <w:rFonts w:eastAsia="Times New Roman"/>
          <w:szCs w:val="28"/>
        </w:rPr>
        <w:t>filed by the partie</w:t>
      </w:r>
      <w:r w:rsidR="005753AD">
        <w:rPr>
          <w:rFonts w:eastAsia="Times New Roman"/>
          <w:szCs w:val="28"/>
        </w:rPr>
        <w:t>s</w:t>
      </w:r>
      <w:r w:rsidR="003473EB">
        <w:rPr>
          <w:rFonts w:eastAsia="Times New Roman"/>
          <w:szCs w:val="28"/>
        </w:rPr>
        <w:t xml:space="preserve"> a few days before the hearing </w:t>
      </w:r>
      <w:r w:rsidR="007B5877" w:rsidRPr="002B62B2">
        <w:rPr>
          <w:rFonts w:eastAsia="Times New Roman"/>
          <w:szCs w:val="28"/>
        </w:rPr>
        <w:t xml:space="preserve">with </w:t>
      </w:r>
      <w:r w:rsidR="00AA5045">
        <w:rPr>
          <w:rFonts w:eastAsia="Times New Roman"/>
          <w:szCs w:val="28"/>
        </w:rPr>
        <w:t xml:space="preserve">subsequent </w:t>
      </w:r>
      <w:r w:rsidR="002B62B2" w:rsidRPr="002B62B2">
        <w:rPr>
          <w:rFonts w:eastAsia="Times New Roman"/>
          <w:szCs w:val="28"/>
        </w:rPr>
        <w:t>case management directions</w:t>
      </w:r>
      <w:r w:rsidR="007B5877" w:rsidRPr="002B62B2">
        <w:rPr>
          <w:rFonts w:eastAsia="Times New Roman"/>
          <w:szCs w:val="28"/>
        </w:rPr>
        <w:t xml:space="preserve"> made </w:t>
      </w:r>
      <w:r w:rsidR="002B62B2" w:rsidRPr="002B62B2">
        <w:rPr>
          <w:rFonts w:eastAsia="Times New Roman"/>
          <w:szCs w:val="28"/>
        </w:rPr>
        <w:t xml:space="preserve">by Master </w:t>
      </w:r>
      <w:r w:rsidR="007D2BC9">
        <w:rPr>
          <w:rFonts w:eastAsia="Times New Roman"/>
          <w:szCs w:val="28"/>
        </w:rPr>
        <w:t>Louise Ch</w:t>
      </w:r>
      <w:r w:rsidR="006E59AB">
        <w:rPr>
          <w:rFonts w:eastAsia="Times New Roman"/>
          <w:szCs w:val="28"/>
        </w:rPr>
        <w:t>a</w:t>
      </w:r>
      <w:r w:rsidR="007D2BC9">
        <w:rPr>
          <w:rFonts w:eastAsia="Times New Roman"/>
          <w:szCs w:val="28"/>
        </w:rPr>
        <w:t>n</w:t>
      </w:r>
      <w:r w:rsidR="00197F74">
        <w:rPr>
          <w:rFonts w:eastAsia="Times New Roman"/>
          <w:szCs w:val="28"/>
        </w:rPr>
        <w:t xml:space="preserve"> (“the Master”)</w:t>
      </w:r>
      <w:r w:rsidR="007D2BC9">
        <w:rPr>
          <w:rFonts w:eastAsia="Times New Roman"/>
          <w:szCs w:val="28"/>
        </w:rPr>
        <w:t>, one of the PI Masters,</w:t>
      </w:r>
      <w:r w:rsidR="002B62B2" w:rsidRPr="002B62B2">
        <w:rPr>
          <w:rFonts w:eastAsia="Times New Roman"/>
          <w:szCs w:val="28"/>
        </w:rPr>
        <w:t xml:space="preserve"> </w:t>
      </w:r>
      <w:r w:rsidR="004616D1">
        <w:rPr>
          <w:rFonts w:eastAsia="Times New Roman"/>
          <w:szCs w:val="28"/>
        </w:rPr>
        <w:t>under an Order dated</w:t>
      </w:r>
      <w:r w:rsidR="007B5877" w:rsidRPr="002B62B2">
        <w:rPr>
          <w:rFonts w:eastAsia="Times New Roman"/>
          <w:szCs w:val="28"/>
        </w:rPr>
        <w:t xml:space="preserve"> 3 March 2021 (“the March </w:t>
      </w:r>
      <w:r w:rsidR="002B62B2">
        <w:rPr>
          <w:rFonts w:eastAsia="Times New Roman"/>
          <w:szCs w:val="28"/>
        </w:rPr>
        <w:t xml:space="preserve">2021 </w:t>
      </w:r>
      <w:r w:rsidR="007B5877" w:rsidRPr="002B62B2">
        <w:rPr>
          <w:rFonts w:eastAsia="Times New Roman"/>
          <w:szCs w:val="28"/>
        </w:rPr>
        <w:t>Order”).</w:t>
      </w:r>
      <w:r w:rsidR="007B5877" w:rsidRPr="002B62B2">
        <w:rPr>
          <w:noProof/>
          <w:szCs w:val="28"/>
        </w:rPr>
        <w:t xml:space="preserve"> </w:t>
      </w:r>
      <w:r w:rsidR="007D2BC9">
        <w:rPr>
          <w:noProof/>
          <w:szCs w:val="28"/>
        </w:rPr>
        <w:t>On that occasion, t</w:t>
      </w:r>
      <w:r w:rsidR="000F2ECD" w:rsidRPr="002B62B2">
        <w:rPr>
          <w:noProof/>
          <w:szCs w:val="28"/>
        </w:rPr>
        <w:t>he</w:t>
      </w:r>
      <w:r w:rsidR="00F31AFB">
        <w:rPr>
          <w:noProof/>
          <w:szCs w:val="28"/>
        </w:rPr>
        <w:t xml:space="preserve"> plaintiff informed the Court of his </w:t>
      </w:r>
      <w:r w:rsidR="000F2ECD" w:rsidRPr="002B62B2">
        <w:rPr>
          <w:noProof/>
          <w:szCs w:val="28"/>
        </w:rPr>
        <w:t>intention</w:t>
      </w:r>
      <w:r w:rsidR="00F31AFB">
        <w:rPr>
          <w:noProof/>
          <w:szCs w:val="28"/>
        </w:rPr>
        <w:t xml:space="preserve"> to</w:t>
      </w:r>
      <w:r w:rsidR="005753AD">
        <w:rPr>
          <w:noProof/>
          <w:szCs w:val="28"/>
        </w:rPr>
        <w:t xml:space="preserve"> under</w:t>
      </w:r>
      <w:r w:rsidR="000F2ECD" w:rsidRPr="002B62B2">
        <w:rPr>
          <w:noProof/>
          <w:szCs w:val="28"/>
        </w:rPr>
        <w:t>g</w:t>
      </w:r>
      <w:r w:rsidR="00F31AFB">
        <w:rPr>
          <w:noProof/>
          <w:szCs w:val="28"/>
        </w:rPr>
        <w:t>o</w:t>
      </w:r>
      <w:r w:rsidR="000F2ECD" w:rsidRPr="002B62B2">
        <w:rPr>
          <w:noProof/>
          <w:szCs w:val="28"/>
        </w:rPr>
        <w:t xml:space="preserve"> </w:t>
      </w:r>
      <w:r w:rsidR="004616D1">
        <w:rPr>
          <w:noProof/>
          <w:szCs w:val="28"/>
        </w:rPr>
        <w:t>a</w:t>
      </w:r>
      <w:r w:rsidR="000F2ECD" w:rsidRPr="002B62B2">
        <w:rPr>
          <w:noProof/>
          <w:szCs w:val="28"/>
        </w:rPr>
        <w:t xml:space="preserve"> </w:t>
      </w:r>
      <w:r w:rsidR="004616D1">
        <w:rPr>
          <w:noProof/>
          <w:szCs w:val="28"/>
        </w:rPr>
        <w:t xml:space="preserve">propsoed </w:t>
      </w:r>
      <w:r w:rsidR="000F2ECD" w:rsidRPr="002B62B2">
        <w:rPr>
          <w:noProof/>
          <w:szCs w:val="28"/>
        </w:rPr>
        <w:t xml:space="preserve">nose </w:t>
      </w:r>
      <w:r w:rsidR="002B62B2" w:rsidRPr="002B62B2">
        <w:rPr>
          <w:rFonts w:eastAsia="Times New Roman"/>
          <w:szCs w:val="28"/>
        </w:rPr>
        <w:t>o</w:t>
      </w:r>
      <w:r w:rsidR="001979B0" w:rsidRPr="002B62B2">
        <w:rPr>
          <w:rFonts w:eastAsia="Times New Roman"/>
          <w:szCs w:val="28"/>
        </w:rPr>
        <w:t>peration</w:t>
      </w:r>
      <w:r w:rsidR="002B62B2" w:rsidRPr="002B62B2">
        <w:rPr>
          <w:rFonts w:eastAsia="Times New Roman"/>
          <w:szCs w:val="28"/>
        </w:rPr>
        <w:t xml:space="preserve"> </w:t>
      </w:r>
      <w:r w:rsidR="002B62B2">
        <w:rPr>
          <w:rFonts w:eastAsia="Times New Roman"/>
          <w:szCs w:val="28"/>
        </w:rPr>
        <w:t xml:space="preserve">and why </w:t>
      </w:r>
      <w:r w:rsidR="004616D1">
        <w:rPr>
          <w:rFonts w:eastAsia="Times New Roman"/>
          <w:szCs w:val="28"/>
        </w:rPr>
        <w:t xml:space="preserve">in his view </w:t>
      </w:r>
      <w:r w:rsidR="002B62B2">
        <w:rPr>
          <w:rFonts w:eastAsia="Times New Roman"/>
          <w:szCs w:val="28"/>
        </w:rPr>
        <w:t xml:space="preserve">the </w:t>
      </w:r>
      <w:r w:rsidR="002B62B2" w:rsidRPr="001979B0">
        <w:rPr>
          <w:rFonts w:eastAsia="Times New Roman"/>
          <w:szCs w:val="28"/>
        </w:rPr>
        <w:t>ENT expert examination c</w:t>
      </w:r>
      <w:r w:rsidR="00F31AFB">
        <w:rPr>
          <w:rFonts w:eastAsia="Times New Roman"/>
          <w:szCs w:val="28"/>
        </w:rPr>
        <w:t>ou</w:t>
      </w:r>
      <w:r w:rsidR="006E0DA1">
        <w:rPr>
          <w:rFonts w:eastAsia="Times New Roman"/>
          <w:szCs w:val="28"/>
        </w:rPr>
        <w:t>ld</w:t>
      </w:r>
      <w:r w:rsidR="002B62B2" w:rsidRPr="001979B0">
        <w:rPr>
          <w:rFonts w:eastAsia="Times New Roman"/>
          <w:szCs w:val="28"/>
        </w:rPr>
        <w:t xml:space="preserve"> only be done after the nose operation</w:t>
      </w:r>
      <w:r w:rsidR="002B62B2">
        <w:rPr>
          <w:rFonts w:eastAsia="Times New Roman"/>
          <w:szCs w:val="28"/>
        </w:rPr>
        <w:t xml:space="preserve">: </w:t>
      </w:r>
      <w:r w:rsidR="00D927F1">
        <w:rPr>
          <w:rFonts w:eastAsia="Times New Roman"/>
          <w:szCs w:val="28"/>
        </w:rPr>
        <w:t>(</w:t>
      </w:r>
      <w:r w:rsidR="002B62B2">
        <w:rPr>
          <w:rFonts w:eastAsia="Times New Roman"/>
          <w:szCs w:val="28"/>
        </w:rPr>
        <w:t xml:space="preserve">See </w:t>
      </w:r>
      <w:r w:rsidR="001979B0" w:rsidRPr="002B62B2">
        <w:rPr>
          <w:rFonts w:eastAsia="Times New Roman"/>
          <w:szCs w:val="28"/>
        </w:rPr>
        <w:t xml:space="preserve">the </w:t>
      </w:r>
      <w:r w:rsidR="002B62B2">
        <w:rPr>
          <w:rFonts w:eastAsia="Times New Roman"/>
          <w:szCs w:val="28"/>
        </w:rPr>
        <w:t>plaint</w:t>
      </w:r>
      <w:r w:rsidR="003C7493">
        <w:rPr>
          <w:rFonts w:eastAsia="Times New Roman"/>
          <w:szCs w:val="28"/>
        </w:rPr>
        <w:t>i</w:t>
      </w:r>
      <w:r w:rsidR="002B62B2">
        <w:rPr>
          <w:rFonts w:eastAsia="Times New Roman"/>
          <w:szCs w:val="28"/>
        </w:rPr>
        <w:t>ff’</w:t>
      </w:r>
      <w:r w:rsidR="001979B0" w:rsidRPr="002B62B2">
        <w:rPr>
          <w:rFonts w:eastAsia="Times New Roman"/>
          <w:szCs w:val="28"/>
        </w:rPr>
        <w:t xml:space="preserve">s letter </w:t>
      </w:r>
      <w:r w:rsidR="00D927F1">
        <w:rPr>
          <w:rFonts w:eastAsia="Times New Roman"/>
          <w:szCs w:val="28"/>
        </w:rPr>
        <w:t xml:space="preserve">to the </w:t>
      </w:r>
      <w:r w:rsidR="00C67C2D">
        <w:rPr>
          <w:rFonts w:eastAsia="Times New Roman"/>
          <w:szCs w:val="28"/>
        </w:rPr>
        <w:t>C</w:t>
      </w:r>
      <w:r w:rsidR="00D927F1">
        <w:rPr>
          <w:rFonts w:eastAsia="Times New Roman"/>
          <w:szCs w:val="28"/>
        </w:rPr>
        <w:t xml:space="preserve">ourt </w:t>
      </w:r>
      <w:r w:rsidR="001979B0" w:rsidRPr="002B62B2">
        <w:rPr>
          <w:rFonts w:eastAsia="Times New Roman"/>
          <w:szCs w:val="28"/>
        </w:rPr>
        <w:t>dated 2 M</w:t>
      </w:r>
      <w:r w:rsidR="002B62B2" w:rsidRPr="002B62B2">
        <w:rPr>
          <w:rFonts w:eastAsia="Times New Roman"/>
          <w:szCs w:val="28"/>
        </w:rPr>
        <w:t>arch 2021</w:t>
      </w:r>
      <w:r w:rsidR="002B62B2">
        <w:rPr>
          <w:rFonts w:eastAsia="Times New Roman"/>
          <w:szCs w:val="28"/>
        </w:rPr>
        <w:t>).</w:t>
      </w:r>
    </w:p>
    <w:p w14:paraId="4E4FA58A" w14:textId="5DA02E3A" w:rsidR="001979B0" w:rsidRPr="002B62B2" w:rsidRDefault="002B62B2" w:rsidP="003F06D9">
      <w:pPr>
        <w:pStyle w:val="ListParagraph"/>
        <w:spacing w:line="360" w:lineRule="auto"/>
        <w:ind w:left="0" w:right="-64"/>
        <w:jc w:val="both"/>
        <w:rPr>
          <w:szCs w:val="28"/>
        </w:rPr>
      </w:pPr>
      <w:r w:rsidRPr="002B62B2">
        <w:rPr>
          <w:rFonts w:eastAsia="Times New Roman"/>
          <w:szCs w:val="28"/>
        </w:rPr>
        <w:t xml:space="preserve"> </w:t>
      </w:r>
      <w:r w:rsidR="001979B0" w:rsidRPr="002B62B2">
        <w:rPr>
          <w:rFonts w:eastAsia="Times New Roman"/>
          <w:szCs w:val="28"/>
        </w:rPr>
        <w:t xml:space="preserve"> </w:t>
      </w:r>
    </w:p>
    <w:p w14:paraId="55C8DE08" w14:textId="43DC5DAA" w:rsidR="00D927F1" w:rsidRPr="00D927F1" w:rsidRDefault="001979B0" w:rsidP="003F06D9">
      <w:pPr>
        <w:pStyle w:val="ListParagraph"/>
        <w:numPr>
          <w:ilvl w:val="0"/>
          <w:numId w:val="30"/>
        </w:numPr>
        <w:spacing w:line="360" w:lineRule="auto"/>
        <w:ind w:left="0" w:right="-64" w:firstLine="0"/>
        <w:jc w:val="both"/>
        <w:rPr>
          <w:szCs w:val="28"/>
        </w:rPr>
      </w:pPr>
      <w:r w:rsidRPr="001979B0">
        <w:rPr>
          <w:rFonts w:eastAsia="Times New Roman"/>
        </w:rPr>
        <w:t xml:space="preserve">The March </w:t>
      </w:r>
      <w:r w:rsidR="003C7493">
        <w:rPr>
          <w:rFonts w:eastAsia="Times New Roman"/>
        </w:rPr>
        <w:t xml:space="preserve">2021 </w:t>
      </w:r>
      <w:r w:rsidRPr="001979B0">
        <w:rPr>
          <w:rFonts w:eastAsia="Times New Roman"/>
        </w:rPr>
        <w:t xml:space="preserve">Order required </w:t>
      </w:r>
      <w:r w:rsidR="00AA5045">
        <w:rPr>
          <w:rFonts w:eastAsia="Times New Roman"/>
        </w:rPr>
        <w:t xml:space="preserve">the </w:t>
      </w:r>
      <w:r w:rsidRPr="001979B0">
        <w:rPr>
          <w:rFonts w:eastAsia="Times New Roman"/>
        </w:rPr>
        <w:t xml:space="preserve">parties, </w:t>
      </w:r>
      <w:r w:rsidRPr="003C7493">
        <w:rPr>
          <w:rFonts w:eastAsia="Times New Roman"/>
          <w:i/>
          <w:iCs/>
        </w:rPr>
        <w:t>inter alia</w:t>
      </w:r>
      <w:r w:rsidRPr="001979B0">
        <w:rPr>
          <w:rFonts w:eastAsia="Times New Roman"/>
        </w:rPr>
        <w:t xml:space="preserve">, to report to </w:t>
      </w:r>
      <w:r w:rsidR="003C7493">
        <w:rPr>
          <w:rFonts w:eastAsia="Times New Roman"/>
        </w:rPr>
        <w:t xml:space="preserve">the </w:t>
      </w:r>
      <w:r w:rsidR="00C67C2D">
        <w:rPr>
          <w:rFonts w:eastAsia="Times New Roman"/>
        </w:rPr>
        <w:t>C</w:t>
      </w:r>
      <w:r w:rsidRPr="001979B0">
        <w:rPr>
          <w:rFonts w:eastAsia="Times New Roman"/>
        </w:rPr>
        <w:t xml:space="preserve">ourt the progress of the </w:t>
      </w:r>
      <w:r w:rsidR="00D927F1">
        <w:rPr>
          <w:rFonts w:eastAsia="Times New Roman"/>
        </w:rPr>
        <w:t>plaintiff’s</w:t>
      </w:r>
      <w:r w:rsidRPr="001979B0">
        <w:rPr>
          <w:rFonts w:eastAsia="Times New Roman"/>
        </w:rPr>
        <w:t xml:space="preserve"> nose operation and thus the date of the ENT expert examination. The </w:t>
      </w:r>
      <w:r w:rsidR="009027A4">
        <w:rPr>
          <w:rFonts w:eastAsia="Times New Roman"/>
        </w:rPr>
        <w:t>1</w:t>
      </w:r>
      <w:r w:rsidR="009027A4" w:rsidRPr="009027A4">
        <w:rPr>
          <w:rFonts w:eastAsia="Times New Roman"/>
          <w:vertAlign w:val="superscript"/>
        </w:rPr>
        <w:t>st</w:t>
      </w:r>
      <w:r w:rsidR="009027A4">
        <w:rPr>
          <w:rFonts w:eastAsia="Times New Roman"/>
        </w:rPr>
        <w:t xml:space="preserve"> </w:t>
      </w:r>
      <w:r w:rsidRPr="001979B0">
        <w:rPr>
          <w:rFonts w:eastAsia="Times New Roman"/>
        </w:rPr>
        <w:t>C</w:t>
      </w:r>
      <w:r w:rsidR="00D927F1">
        <w:rPr>
          <w:rFonts w:eastAsia="Times New Roman"/>
        </w:rPr>
        <w:t>LR</w:t>
      </w:r>
      <w:r w:rsidRPr="001979B0">
        <w:rPr>
          <w:rFonts w:eastAsia="Times New Roman"/>
        </w:rPr>
        <w:t xml:space="preserve"> hearing was adjourned to 28 October 2021. </w:t>
      </w:r>
    </w:p>
    <w:p w14:paraId="15FABF56" w14:textId="77777777" w:rsidR="00D927F1" w:rsidRPr="00D927F1" w:rsidRDefault="00D927F1" w:rsidP="003F06D9">
      <w:pPr>
        <w:pStyle w:val="ListParagraph"/>
        <w:spacing w:line="360" w:lineRule="auto"/>
        <w:rPr>
          <w:rFonts w:eastAsia="Times New Roman"/>
        </w:rPr>
      </w:pPr>
    </w:p>
    <w:p w14:paraId="608E6B2F" w14:textId="4CCC9437" w:rsidR="001979B0" w:rsidRPr="001979B0" w:rsidRDefault="00D927F1" w:rsidP="003F06D9">
      <w:pPr>
        <w:pStyle w:val="ListParagraph"/>
        <w:numPr>
          <w:ilvl w:val="0"/>
          <w:numId w:val="30"/>
        </w:numPr>
        <w:spacing w:line="360" w:lineRule="auto"/>
        <w:ind w:left="0" w:right="-64" w:firstLine="0"/>
        <w:jc w:val="both"/>
        <w:rPr>
          <w:szCs w:val="28"/>
        </w:rPr>
      </w:pPr>
      <w:r>
        <w:rPr>
          <w:rFonts w:eastAsia="Times New Roman"/>
        </w:rPr>
        <w:t>The plaintiff</w:t>
      </w:r>
      <w:r w:rsidR="001979B0" w:rsidRPr="001979B0">
        <w:rPr>
          <w:rFonts w:eastAsia="Times New Roman"/>
        </w:rPr>
        <w:t xml:space="preserve"> wrote to the </w:t>
      </w:r>
      <w:r w:rsidR="00AA3904">
        <w:rPr>
          <w:rFonts w:eastAsia="Times New Roman"/>
        </w:rPr>
        <w:t>C</w:t>
      </w:r>
      <w:r w:rsidR="001979B0" w:rsidRPr="001979B0">
        <w:rPr>
          <w:rFonts w:eastAsia="Times New Roman"/>
        </w:rPr>
        <w:t>ourt on 22 October 2021 seeking further adj</w:t>
      </w:r>
      <w:r w:rsidR="001979B0">
        <w:rPr>
          <w:rFonts w:eastAsia="Times New Roman"/>
        </w:rPr>
        <w:t>ournment</w:t>
      </w:r>
      <w:r w:rsidR="001979B0" w:rsidRPr="001979B0">
        <w:rPr>
          <w:rFonts w:eastAsia="Times New Roman"/>
        </w:rPr>
        <w:t xml:space="preserve"> of the C</w:t>
      </w:r>
      <w:r>
        <w:rPr>
          <w:rFonts w:eastAsia="Times New Roman"/>
        </w:rPr>
        <w:t>LR</w:t>
      </w:r>
      <w:r w:rsidR="001979B0" w:rsidRPr="001979B0">
        <w:rPr>
          <w:rFonts w:eastAsia="Times New Roman"/>
        </w:rPr>
        <w:t xml:space="preserve"> hearing scheduled on 28 Oct</w:t>
      </w:r>
      <w:r w:rsidR="001979B0">
        <w:rPr>
          <w:rFonts w:eastAsia="Times New Roman"/>
        </w:rPr>
        <w:t>ober</w:t>
      </w:r>
      <w:r w:rsidR="001979B0" w:rsidRPr="001979B0">
        <w:rPr>
          <w:rFonts w:eastAsia="Times New Roman"/>
        </w:rPr>
        <w:t xml:space="preserve"> 2021</w:t>
      </w:r>
      <w:r w:rsidR="009027A4">
        <w:rPr>
          <w:rFonts w:eastAsia="Times New Roman"/>
        </w:rPr>
        <w:t xml:space="preserve"> (“the 2</w:t>
      </w:r>
      <w:r w:rsidR="009027A4" w:rsidRPr="009027A4">
        <w:rPr>
          <w:rFonts w:eastAsia="Times New Roman"/>
          <w:vertAlign w:val="superscript"/>
        </w:rPr>
        <w:t>nd</w:t>
      </w:r>
      <w:r w:rsidR="009027A4">
        <w:rPr>
          <w:rFonts w:eastAsia="Times New Roman"/>
        </w:rPr>
        <w:t xml:space="preserve"> CLR”)</w:t>
      </w:r>
      <w:r w:rsidR="001979B0" w:rsidRPr="001979B0">
        <w:rPr>
          <w:rFonts w:eastAsia="Times New Roman"/>
        </w:rPr>
        <w:t xml:space="preserve">. </w:t>
      </w:r>
      <w:r>
        <w:rPr>
          <w:rFonts w:eastAsia="Times New Roman"/>
        </w:rPr>
        <w:t xml:space="preserve">The </w:t>
      </w:r>
      <w:r w:rsidR="00AA3904">
        <w:rPr>
          <w:rFonts w:eastAsia="Times New Roman"/>
        </w:rPr>
        <w:t>C</w:t>
      </w:r>
      <w:r w:rsidR="001979B0" w:rsidRPr="001979B0">
        <w:rPr>
          <w:rFonts w:eastAsia="Times New Roman"/>
        </w:rPr>
        <w:t xml:space="preserve">ourt declined and the </w:t>
      </w:r>
      <w:r w:rsidR="001979B0">
        <w:rPr>
          <w:noProof/>
        </w:rPr>
        <w:drawing>
          <wp:inline distT="0" distB="0" distL="0" distR="0" wp14:anchorId="36B66856" wp14:editId="0ECD7666">
            <wp:extent cx="3048" cy="3049"/>
            <wp:effectExtent l="0" t="0" r="0" b="0"/>
            <wp:docPr id="4204" name="Picture 4204"/>
            <wp:cNvGraphicFramePr/>
            <a:graphic xmlns:a="http://schemas.openxmlformats.org/drawingml/2006/main">
              <a:graphicData uri="http://schemas.openxmlformats.org/drawingml/2006/picture">
                <pic:pic xmlns:pic="http://schemas.openxmlformats.org/drawingml/2006/picture">
                  <pic:nvPicPr>
                    <pic:cNvPr id="4204" name="Picture 4204"/>
                    <pic:cNvPicPr/>
                  </pic:nvPicPr>
                  <pic:blipFill>
                    <a:blip r:embed="rId11"/>
                    <a:stretch>
                      <a:fillRect/>
                    </a:stretch>
                  </pic:blipFill>
                  <pic:spPr>
                    <a:xfrm>
                      <a:off x="0" y="0"/>
                      <a:ext cx="3048" cy="3049"/>
                    </a:xfrm>
                    <a:prstGeom prst="rect">
                      <a:avLst/>
                    </a:prstGeom>
                  </pic:spPr>
                </pic:pic>
              </a:graphicData>
            </a:graphic>
          </wp:inline>
        </w:drawing>
      </w:r>
      <w:r w:rsidR="001979B0">
        <w:rPr>
          <w:rFonts w:eastAsia="Times New Roman"/>
        </w:rPr>
        <w:t xml:space="preserve">hearing </w:t>
      </w:r>
      <w:r>
        <w:rPr>
          <w:rFonts w:eastAsia="Times New Roman"/>
        </w:rPr>
        <w:t xml:space="preserve">was ordered to </w:t>
      </w:r>
      <w:r w:rsidR="00810E3C">
        <w:rPr>
          <w:rFonts w:eastAsia="Times New Roman"/>
        </w:rPr>
        <w:t>proceed</w:t>
      </w:r>
      <w:r>
        <w:rPr>
          <w:rFonts w:eastAsia="Times New Roman"/>
        </w:rPr>
        <w:t xml:space="preserve"> as scheduled</w:t>
      </w:r>
      <w:r w:rsidR="00CF3A66">
        <w:rPr>
          <w:rFonts w:eastAsia="Times New Roman"/>
        </w:rPr>
        <w:t xml:space="preserve"> with t</w:t>
      </w:r>
      <w:r w:rsidR="00C67C2D">
        <w:rPr>
          <w:rFonts w:eastAsia="Times New Roman"/>
        </w:rPr>
        <w:t>he solicitors on both sides requested to attend the hearing.</w:t>
      </w:r>
    </w:p>
    <w:p w14:paraId="52B2D1ED" w14:textId="77777777" w:rsidR="001979B0" w:rsidRPr="001979B0" w:rsidRDefault="001979B0" w:rsidP="003F06D9">
      <w:pPr>
        <w:pStyle w:val="ListParagraph"/>
        <w:spacing w:line="360" w:lineRule="auto"/>
        <w:rPr>
          <w:szCs w:val="28"/>
        </w:rPr>
      </w:pPr>
    </w:p>
    <w:p w14:paraId="312C417F" w14:textId="5A9E4742" w:rsidR="001979B0" w:rsidRDefault="001979B0" w:rsidP="003F06D9">
      <w:pPr>
        <w:pStyle w:val="ListParagraph"/>
        <w:numPr>
          <w:ilvl w:val="0"/>
          <w:numId w:val="30"/>
        </w:numPr>
        <w:spacing w:line="360" w:lineRule="auto"/>
        <w:ind w:left="0" w:right="-64" w:firstLine="0"/>
        <w:jc w:val="both"/>
        <w:rPr>
          <w:szCs w:val="28"/>
        </w:rPr>
      </w:pPr>
      <w:r>
        <w:rPr>
          <w:szCs w:val="28"/>
        </w:rPr>
        <w:lastRenderedPageBreak/>
        <w:t xml:space="preserve">In </w:t>
      </w:r>
      <w:r w:rsidR="00810E3C">
        <w:rPr>
          <w:szCs w:val="28"/>
        </w:rPr>
        <w:t>the plaintiff’s</w:t>
      </w:r>
      <w:r>
        <w:rPr>
          <w:szCs w:val="28"/>
        </w:rPr>
        <w:t xml:space="preserve"> letter dated 22 October 2021</w:t>
      </w:r>
      <w:r w:rsidR="00810E3C">
        <w:rPr>
          <w:szCs w:val="28"/>
        </w:rPr>
        <w:t xml:space="preserve"> to </w:t>
      </w:r>
      <w:r w:rsidR="00C67C2D">
        <w:rPr>
          <w:szCs w:val="28"/>
        </w:rPr>
        <w:t>the Master</w:t>
      </w:r>
      <w:r w:rsidR="004616D1">
        <w:rPr>
          <w:szCs w:val="28"/>
        </w:rPr>
        <w:t>, the plaintiff reported</w:t>
      </w:r>
      <w:r w:rsidR="00C67C2D">
        <w:rPr>
          <w:szCs w:val="28"/>
        </w:rPr>
        <w:t xml:space="preserve">, </w:t>
      </w:r>
      <w:r w:rsidR="00C67C2D" w:rsidRPr="00C67C2D">
        <w:rPr>
          <w:i/>
          <w:szCs w:val="28"/>
        </w:rPr>
        <w:t>inter alia</w:t>
      </w:r>
      <w:r w:rsidR="00C67C2D">
        <w:rPr>
          <w:szCs w:val="28"/>
        </w:rPr>
        <w:t>, the following</w:t>
      </w:r>
      <w:r>
        <w:rPr>
          <w:szCs w:val="28"/>
        </w:rPr>
        <w:t>:-</w:t>
      </w:r>
    </w:p>
    <w:p w14:paraId="09D97B28" w14:textId="77777777" w:rsidR="001979B0" w:rsidRPr="001979B0" w:rsidRDefault="001979B0" w:rsidP="003F06D9">
      <w:pPr>
        <w:pStyle w:val="ListParagraph"/>
        <w:spacing w:line="360" w:lineRule="auto"/>
        <w:rPr>
          <w:szCs w:val="28"/>
        </w:rPr>
      </w:pPr>
    </w:p>
    <w:p w14:paraId="77567516" w14:textId="43D31F17" w:rsidR="001979B0" w:rsidRPr="001979B0" w:rsidRDefault="00E01907" w:rsidP="003F06D9">
      <w:pPr>
        <w:numPr>
          <w:ilvl w:val="1"/>
          <w:numId w:val="32"/>
        </w:numPr>
        <w:tabs>
          <w:tab w:val="clear" w:pos="1440"/>
          <w:tab w:val="clear" w:pos="4320"/>
          <w:tab w:val="clear" w:pos="9072"/>
        </w:tabs>
        <w:snapToGrid/>
        <w:spacing w:after="373" w:line="360" w:lineRule="auto"/>
        <w:ind w:left="2160" w:right="-64" w:hanging="720"/>
        <w:jc w:val="both"/>
      </w:pPr>
      <w:r>
        <w:rPr>
          <w:rFonts w:eastAsia="Times New Roman"/>
        </w:rPr>
        <w:t>No nose operation had</w:t>
      </w:r>
      <w:r w:rsidR="001979B0">
        <w:rPr>
          <w:rFonts w:eastAsia="Times New Roman"/>
        </w:rPr>
        <w:t xml:space="preserve"> taken place;</w:t>
      </w:r>
    </w:p>
    <w:p w14:paraId="4AD6B8BD" w14:textId="431F6A56" w:rsidR="001979B0" w:rsidRPr="009073B4" w:rsidRDefault="001979B0" w:rsidP="003F06D9">
      <w:pPr>
        <w:numPr>
          <w:ilvl w:val="1"/>
          <w:numId w:val="32"/>
        </w:numPr>
        <w:tabs>
          <w:tab w:val="clear" w:pos="1440"/>
          <w:tab w:val="clear" w:pos="4320"/>
          <w:tab w:val="clear" w:pos="9072"/>
        </w:tabs>
        <w:snapToGrid/>
        <w:spacing w:line="360" w:lineRule="auto"/>
        <w:ind w:left="2160" w:right="-64" w:hanging="720"/>
        <w:jc w:val="both"/>
      </w:pPr>
      <w:r>
        <w:rPr>
          <w:rFonts w:eastAsia="Times New Roman"/>
        </w:rPr>
        <w:t>Notwithstanding the treatment recommended by the sing</w:t>
      </w:r>
      <w:r w:rsidR="009073B4">
        <w:rPr>
          <w:rFonts w:eastAsia="Times New Roman"/>
        </w:rPr>
        <w:t>le joint orthopaedi</w:t>
      </w:r>
      <w:r w:rsidR="009027A4">
        <w:rPr>
          <w:rFonts w:eastAsia="Times New Roman"/>
        </w:rPr>
        <w:t>c</w:t>
      </w:r>
      <w:r w:rsidR="009073B4">
        <w:rPr>
          <w:rFonts w:eastAsia="Times New Roman"/>
        </w:rPr>
        <w:t xml:space="preserve"> expert Dr</w:t>
      </w:r>
      <w:r>
        <w:rPr>
          <w:rFonts w:eastAsia="Times New Roman"/>
        </w:rPr>
        <w:t xml:space="preserve"> Li</w:t>
      </w:r>
      <w:r w:rsidR="00810E3C">
        <w:rPr>
          <w:rFonts w:eastAsia="Times New Roman"/>
        </w:rPr>
        <w:t xml:space="preserve"> Wing Kin (“Dr Li”)</w:t>
      </w:r>
      <w:r>
        <w:rPr>
          <w:rFonts w:eastAsia="Times New Roman"/>
        </w:rPr>
        <w:t xml:space="preserve">, </w:t>
      </w:r>
      <w:r w:rsidR="00810E3C">
        <w:rPr>
          <w:rFonts w:eastAsia="Times New Roman"/>
        </w:rPr>
        <w:t>the plaintiff</w:t>
      </w:r>
      <w:r w:rsidR="009073B4">
        <w:rPr>
          <w:rFonts w:eastAsia="Times New Roman"/>
        </w:rPr>
        <w:t xml:space="preserve"> sought </w:t>
      </w:r>
      <w:r w:rsidR="00C67C2D">
        <w:rPr>
          <w:rFonts w:eastAsia="Times New Roman"/>
        </w:rPr>
        <w:t>“</w:t>
      </w:r>
      <w:r w:rsidR="00810E3C">
        <w:rPr>
          <w:rFonts w:eastAsia="Times New Roman"/>
        </w:rPr>
        <w:t>second</w:t>
      </w:r>
      <w:r w:rsidR="009073B4">
        <w:rPr>
          <w:rFonts w:eastAsia="Times New Roman"/>
        </w:rPr>
        <w:t xml:space="preserve"> opinion</w:t>
      </w:r>
      <w:r w:rsidR="00C67C2D">
        <w:rPr>
          <w:rFonts w:eastAsia="Times New Roman"/>
        </w:rPr>
        <w:t>”</w:t>
      </w:r>
      <w:r w:rsidR="009073B4">
        <w:rPr>
          <w:rFonts w:eastAsia="Times New Roman"/>
        </w:rPr>
        <w:t xml:space="preserve"> from </w:t>
      </w:r>
      <w:r w:rsidR="00810E3C">
        <w:rPr>
          <w:rFonts w:eastAsia="Times New Roman"/>
        </w:rPr>
        <w:t xml:space="preserve">one </w:t>
      </w:r>
      <w:r w:rsidR="009073B4">
        <w:rPr>
          <w:rFonts w:eastAsia="Times New Roman"/>
        </w:rPr>
        <w:t>Dr</w:t>
      </w:r>
      <w:r>
        <w:rPr>
          <w:rFonts w:eastAsia="Times New Roman"/>
        </w:rPr>
        <w:t xml:space="preserve"> </w:t>
      </w:r>
      <w:r w:rsidR="00E01907">
        <w:rPr>
          <w:rFonts w:eastAsia="Times New Roman"/>
        </w:rPr>
        <w:t xml:space="preserve">Raymond </w:t>
      </w:r>
      <w:r>
        <w:rPr>
          <w:rFonts w:eastAsia="Times New Roman"/>
        </w:rPr>
        <w:t>Yip</w:t>
      </w:r>
      <w:r w:rsidR="00C67C2D">
        <w:rPr>
          <w:rFonts w:eastAsia="Times New Roman"/>
        </w:rPr>
        <w:t xml:space="preserve">, </w:t>
      </w:r>
      <w:r>
        <w:rPr>
          <w:rFonts w:eastAsia="Times New Roman"/>
        </w:rPr>
        <w:t xml:space="preserve">who recommended some other treatments. </w:t>
      </w:r>
      <w:r w:rsidR="009027A4">
        <w:rPr>
          <w:rFonts w:eastAsia="Times New Roman"/>
        </w:rPr>
        <w:t>The plaintiff</w:t>
      </w:r>
      <w:r>
        <w:rPr>
          <w:rFonts w:eastAsia="Times New Roman"/>
        </w:rPr>
        <w:t xml:space="preserve"> </w:t>
      </w:r>
      <w:r w:rsidR="00B9190F">
        <w:rPr>
          <w:rFonts w:eastAsia="Times New Roman"/>
        </w:rPr>
        <w:t>was then</w:t>
      </w:r>
      <w:r>
        <w:rPr>
          <w:rFonts w:eastAsia="Times New Roman"/>
        </w:rPr>
        <w:t xml:space="preserve"> receiving those treatments </w:t>
      </w:r>
      <w:r w:rsidR="009073B4">
        <w:rPr>
          <w:rFonts w:eastAsia="Times New Roman"/>
        </w:rPr>
        <w:t>and thus wanted to wait until “</w:t>
      </w:r>
      <w:r>
        <w:rPr>
          <w:rFonts w:eastAsia="Times New Roman"/>
        </w:rPr>
        <w:t>the situation</w:t>
      </w:r>
      <w:r w:rsidR="009073B4">
        <w:rPr>
          <w:rFonts w:eastAsia="Times New Roman"/>
        </w:rPr>
        <w:t xml:space="preserve"> became clearer”</w:t>
      </w:r>
      <w:r w:rsidR="009073B4">
        <w:rPr>
          <w:noProof/>
        </w:rPr>
        <w:t>.</w:t>
      </w:r>
    </w:p>
    <w:p w14:paraId="2A7A0C4B" w14:textId="77777777" w:rsidR="009073B4" w:rsidRDefault="009073B4" w:rsidP="003F06D9">
      <w:pPr>
        <w:tabs>
          <w:tab w:val="clear" w:pos="1440"/>
          <w:tab w:val="clear" w:pos="4320"/>
          <w:tab w:val="clear" w:pos="9072"/>
        </w:tabs>
        <w:snapToGrid/>
        <w:spacing w:line="360" w:lineRule="auto"/>
        <w:ind w:right="136"/>
        <w:jc w:val="both"/>
        <w:rPr>
          <w:rFonts w:eastAsia="Times New Roman"/>
        </w:rPr>
      </w:pPr>
    </w:p>
    <w:p w14:paraId="273666B9" w14:textId="6477D4AB" w:rsidR="009073B4" w:rsidRPr="009073B4" w:rsidRDefault="00CD2E94" w:rsidP="003F06D9">
      <w:pPr>
        <w:pStyle w:val="ListParagraph"/>
        <w:numPr>
          <w:ilvl w:val="0"/>
          <w:numId w:val="30"/>
        </w:numPr>
        <w:tabs>
          <w:tab w:val="clear" w:pos="4320"/>
          <w:tab w:val="clear" w:pos="9072"/>
        </w:tabs>
        <w:snapToGrid/>
        <w:spacing w:line="360" w:lineRule="auto"/>
        <w:ind w:left="0" w:right="-64" w:firstLine="0"/>
        <w:jc w:val="both"/>
      </w:pPr>
      <w:r>
        <w:rPr>
          <w:rFonts w:eastAsia="Times New Roman"/>
        </w:rPr>
        <w:t>The h</w:t>
      </w:r>
      <w:r w:rsidR="009073B4" w:rsidRPr="009073B4">
        <w:rPr>
          <w:rFonts w:eastAsia="Times New Roman"/>
        </w:rPr>
        <w:t xml:space="preserve">earing </w:t>
      </w:r>
      <w:r>
        <w:rPr>
          <w:rFonts w:eastAsia="Times New Roman"/>
        </w:rPr>
        <w:t>of the 2</w:t>
      </w:r>
      <w:r w:rsidRPr="00CD2E94">
        <w:rPr>
          <w:rFonts w:eastAsia="Times New Roman"/>
          <w:vertAlign w:val="superscript"/>
        </w:rPr>
        <w:t>nd</w:t>
      </w:r>
      <w:r>
        <w:rPr>
          <w:rFonts w:eastAsia="Times New Roman"/>
        </w:rPr>
        <w:t xml:space="preserve"> CLR </w:t>
      </w:r>
      <w:r w:rsidR="009073B4" w:rsidRPr="009073B4">
        <w:rPr>
          <w:rFonts w:eastAsia="Times New Roman"/>
        </w:rPr>
        <w:t xml:space="preserve">took place </w:t>
      </w:r>
      <w:r w:rsidR="004616D1">
        <w:rPr>
          <w:rFonts w:eastAsia="Times New Roman"/>
        </w:rPr>
        <w:t xml:space="preserve">before the Master </w:t>
      </w:r>
      <w:r w:rsidR="009073B4" w:rsidRPr="009073B4">
        <w:rPr>
          <w:rFonts w:eastAsia="Times New Roman"/>
        </w:rPr>
        <w:t xml:space="preserve">on 28 October </w:t>
      </w:r>
      <w:r w:rsidR="009073B4">
        <w:rPr>
          <w:rFonts w:eastAsia="Times New Roman"/>
        </w:rPr>
        <w:t>2021</w:t>
      </w:r>
      <w:r w:rsidR="00DC47C1">
        <w:rPr>
          <w:rFonts w:eastAsia="Times New Roman"/>
        </w:rPr>
        <w:t xml:space="preserve"> as scheduled.  At the</w:t>
      </w:r>
      <w:r w:rsidR="0043216D">
        <w:rPr>
          <w:rFonts w:eastAsia="Times New Roman"/>
        </w:rPr>
        <w:t xml:space="preserve"> hearing, </w:t>
      </w:r>
      <w:r w:rsidR="009073B4">
        <w:rPr>
          <w:rFonts w:eastAsia="Times New Roman"/>
        </w:rPr>
        <w:t xml:space="preserve">the </w:t>
      </w:r>
      <w:r w:rsidR="00A15C36">
        <w:rPr>
          <w:rFonts w:eastAsia="Times New Roman"/>
        </w:rPr>
        <w:t>M</w:t>
      </w:r>
      <w:r w:rsidR="00A4135F">
        <w:rPr>
          <w:rFonts w:eastAsia="Times New Roman"/>
        </w:rPr>
        <w:t>aster</w:t>
      </w:r>
      <w:r w:rsidR="009073B4">
        <w:rPr>
          <w:rFonts w:eastAsia="Times New Roman"/>
        </w:rPr>
        <w:t xml:space="preserve"> asked the </w:t>
      </w:r>
      <w:r w:rsidR="0043216D">
        <w:rPr>
          <w:rFonts w:eastAsia="Times New Roman"/>
        </w:rPr>
        <w:t>plaintiff’</w:t>
      </w:r>
      <w:r w:rsidR="009073B4" w:rsidRPr="009073B4">
        <w:rPr>
          <w:rFonts w:eastAsia="Times New Roman"/>
        </w:rPr>
        <w:t>s solicitor</w:t>
      </w:r>
      <w:r w:rsidR="0043216D">
        <w:rPr>
          <w:rFonts w:eastAsia="Times New Roman"/>
        </w:rPr>
        <w:t xml:space="preserve"> Mr Patrick Burke</w:t>
      </w:r>
      <w:r w:rsidR="00C67C2D">
        <w:rPr>
          <w:rFonts w:eastAsia="Times New Roman"/>
        </w:rPr>
        <w:t xml:space="preserve"> (“Mr Burke”)</w:t>
      </w:r>
      <w:r w:rsidR="00AA3904">
        <w:rPr>
          <w:rFonts w:eastAsia="Times New Roman"/>
        </w:rPr>
        <w:t>, who is the principal of the plaintiff’s solicitors,</w:t>
      </w:r>
      <w:r w:rsidR="005753AD">
        <w:rPr>
          <w:rFonts w:eastAsia="Times New Roman"/>
        </w:rPr>
        <w:t xml:space="preserve"> </w:t>
      </w:r>
      <w:r w:rsidR="009073B4" w:rsidRPr="009073B4">
        <w:rPr>
          <w:rFonts w:eastAsia="Times New Roman"/>
        </w:rPr>
        <w:t xml:space="preserve">why </w:t>
      </w:r>
      <w:r w:rsidR="00A15C36">
        <w:rPr>
          <w:rFonts w:eastAsia="Times New Roman"/>
        </w:rPr>
        <w:t>the plaintiff</w:t>
      </w:r>
      <w:r w:rsidR="009073B4" w:rsidRPr="009073B4">
        <w:rPr>
          <w:rFonts w:eastAsia="Times New Roman"/>
        </w:rPr>
        <w:t xml:space="preserve"> did not</w:t>
      </w:r>
      <w:r w:rsidR="009073B4">
        <w:rPr>
          <w:rFonts w:eastAsia="Times New Roman"/>
        </w:rPr>
        <w:t xml:space="preserve"> undergo the nose operation</w:t>
      </w:r>
      <w:r w:rsidR="00A4135F">
        <w:rPr>
          <w:rFonts w:eastAsia="Times New Roman"/>
        </w:rPr>
        <w:t xml:space="preserve"> as</w:t>
      </w:r>
      <w:r w:rsidR="001F2B61">
        <w:rPr>
          <w:rFonts w:eastAsia="Times New Roman"/>
        </w:rPr>
        <w:t xml:space="preserve"> reported</w:t>
      </w:r>
      <w:r w:rsidR="00A4135F">
        <w:rPr>
          <w:rFonts w:eastAsia="Times New Roman"/>
        </w:rPr>
        <w:t xml:space="preserve"> by them </w:t>
      </w:r>
      <w:r w:rsidR="001F2B61">
        <w:rPr>
          <w:rFonts w:eastAsia="Times New Roman"/>
        </w:rPr>
        <w:t xml:space="preserve">to the Court </w:t>
      </w:r>
      <w:r w:rsidR="00A4135F">
        <w:rPr>
          <w:rFonts w:eastAsia="Times New Roman"/>
        </w:rPr>
        <w:t>in their letter dated 2 March 2021</w:t>
      </w:r>
      <w:r w:rsidR="009073B4">
        <w:rPr>
          <w:rFonts w:eastAsia="Times New Roman"/>
        </w:rPr>
        <w:t xml:space="preserve">. </w:t>
      </w:r>
      <w:r w:rsidR="00AA3904">
        <w:rPr>
          <w:rFonts w:eastAsia="Times New Roman"/>
        </w:rPr>
        <w:t xml:space="preserve"> </w:t>
      </w:r>
      <w:r w:rsidR="009073B4">
        <w:rPr>
          <w:rFonts w:eastAsia="Times New Roman"/>
        </w:rPr>
        <w:t xml:space="preserve">Mr Burke </w:t>
      </w:r>
      <w:r w:rsidR="00A4135F">
        <w:rPr>
          <w:rFonts w:eastAsia="Times New Roman"/>
        </w:rPr>
        <w:t>informed the Court that it</w:t>
      </w:r>
      <w:r w:rsidR="009073B4">
        <w:rPr>
          <w:rFonts w:eastAsia="Times New Roman"/>
        </w:rPr>
        <w:t xml:space="preserve"> </w:t>
      </w:r>
      <w:r w:rsidR="00A4135F">
        <w:rPr>
          <w:rFonts w:eastAsia="Times New Roman"/>
        </w:rPr>
        <w:t xml:space="preserve">was </w:t>
      </w:r>
      <w:r w:rsidR="009073B4">
        <w:rPr>
          <w:rFonts w:eastAsia="Times New Roman"/>
        </w:rPr>
        <w:t xml:space="preserve">because </w:t>
      </w:r>
      <w:r w:rsidR="00A4135F">
        <w:rPr>
          <w:rFonts w:eastAsia="Times New Roman"/>
        </w:rPr>
        <w:t>the plaintiff</w:t>
      </w:r>
      <w:r w:rsidR="009073B4">
        <w:rPr>
          <w:rFonts w:eastAsia="Times New Roman"/>
        </w:rPr>
        <w:t xml:space="preserve"> did</w:t>
      </w:r>
      <w:r w:rsidR="00A4135F">
        <w:rPr>
          <w:rFonts w:eastAsia="Times New Roman"/>
        </w:rPr>
        <w:t xml:space="preserve"> </w:t>
      </w:r>
      <w:r w:rsidR="009073B4">
        <w:rPr>
          <w:rFonts w:eastAsia="Times New Roman"/>
        </w:rPr>
        <w:t>n</w:t>
      </w:r>
      <w:r w:rsidR="00A4135F">
        <w:rPr>
          <w:rFonts w:eastAsia="Times New Roman"/>
        </w:rPr>
        <w:t>o</w:t>
      </w:r>
      <w:r w:rsidR="009073B4" w:rsidRPr="009073B4">
        <w:rPr>
          <w:rFonts w:eastAsia="Times New Roman"/>
        </w:rPr>
        <w:t xml:space="preserve">t want to lose his job and therefore did not take time off to have the operation. The Court did not accept such explanation </w:t>
      </w:r>
      <w:r w:rsidR="009073B4">
        <w:rPr>
          <w:noProof/>
        </w:rPr>
        <w:drawing>
          <wp:inline distT="0" distB="0" distL="0" distR="0" wp14:anchorId="7B43E1A5" wp14:editId="763478CA">
            <wp:extent cx="3048" cy="3049"/>
            <wp:effectExtent l="0" t="0" r="0" b="0"/>
            <wp:docPr id="6381" name="Picture 6381"/>
            <wp:cNvGraphicFramePr/>
            <a:graphic xmlns:a="http://schemas.openxmlformats.org/drawingml/2006/main">
              <a:graphicData uri="http://schemas.openxmlformats.org/drawingml/2006/picture">
                <pic:pic xmlns:pic="http://schemas.openxmlformats.org/drawingml/2006/picture">
                  <pic:nvPicPr>
                    <pic:cNvPr id="6381" name="Picture 6381"/>
                    <pic:cNvPicPr/>
                  </pic:nvPicPr>
                  <pic:blipFill>
                    <a:blip r:embed="rId12"/>
                    <a:stretch>
                      <a:fillRect/>
                    </a:stretch>
                  </pic:blipFill>
                  <pic:spPr>
                    <a:xfrm>
                      <a:off x="0" y="0"/>
                      <a:ext cx="3048" cy="3049"/>
                    </a:xfrm>
                    <a:prstGeom prst="rect">
                      <a:avLst/>
                    </a:prstGeom>
                  </pic:spPr>
                </pic:pic>
              </a:graphicData>
            </a:graphic>
          </wp:inline>
        </w:drawing>
      </w:r>
      <w:r w:rsidR="009073B4" w:rsidRPr="009073B4">
        <w:rPr>
          <w:rFonts w:eastAsia="Times New Roman"/>
        </w:rPr>
        <w:t>and asked further why it is necessary to have the ENT examinati</w:t>
      </w:r>
      <w:r w:rsidR="009073B4">
        <w:rPr>
          <w:rFonts w:eastAsia="Times New Roman"/>
        </w:rPr>
        <w:t xml:space="preserve">on after the nose operation. </w:t>
      </w:r>
      <w:r w:rsidR="004616D1">
        <w:rPr>
          <w:rFonts w:eastAsia="Times New Roman"/>
        </w:rPr>
        <w:t xml:space="preserve"> </w:t>
      </w:r>
      <w:r w:rsidR="009073B4">
        <w:rPr>
          <w:rFonts w:eastAsia="Times New Roman"/>
        </w:rPr>
        <w:t xml:space="preserve">Mr Burke said because </w:t>
      </w:r>
      <w:r w:rsidR="009073B4" w:rsidRPr="00A15C36">
        <w:rPr>
          <w:rFonts w:eastAsia="Times New Roman"/>
          <w:i/>
          <w:iCs/>
        </w:rPr>
        <w:t>“</w:t>
      </w:r>
      <w:r w:rsidR="00A4135F" w:rsidRPr="00A15C36">
        <w:rPr>
          <w:rFonts w:eastAsia="Times New Roman"/>
          <w:i/>
          <w:iCs/>
        </w:rPr>
        <w:t>h</w:t>
      </w:r>
      <w:r w:rsidR="009073B4" w:rsidRPr="00A15C36">
        <w:rPr>
          <w:rFonts w:eastAsia="Times New Roman"/>
          <w:i/>
          <w:iCs/>
        </w:rPr>
        <w:t xml:space="preserve">e believes this would be better for the </w:t>
      </w:r>
      <w:r w:rsidR="00A4135F" w:rsidRPr="00A15C36">
        <w:rPr>
          <w:rFonts w:eastAsia="Times New Roman"/>
          <w:i/>
          <w:iCs/>
        </w:rPr>
        <w:t>p</w:t>
      </w:r>
      <w:r w:rsidR="009073B4" w:rsidRPr="00A15C36">
        <w:rPr>
          <w:rFonts w:eastAsia="Times New Roman"/>
          <w:i/>
          <w:iCs/>
        </w:rPr>
        <w:t>laintiff”.</w:t>
      </w:r>
      <w:r w:rsidR="009073B4" w:rsidRPr="009073B4">
        <w:rPr>
          <w:rFonts w:eastAsia="Times New Roman"/>
        </w:rPr>
        <w:t xml:space="preserve"> The </w:t>
      </w:r>
      <w:r w:rsidR="00A15C36">
        <w:rPr>
          <w:rFonts w:eastAsia="Times New Roman"/>
        </w:rPr>
        <w:t>M</w:t>
      </w:r>
      <w:r w:rsidR="00A4135F">
        <w:rPr>
          <w:rFonts w:eastAsia="Times New Roman"/>
        </w:rPr>
        <w:t xml:space="preserve">aster </w:t>
      </w:r>
      <w:r w:rsidR="001F2B61">
        <w:rPr>
          <w:rFonts w:eastAsia="Times New Roman"/>
        </w:rPr>
        <w:t xml:space="preserve">did not accept such explanation also.  She </w:t>
      </w:r>
      <w:r w:rsidR="00A4135F">
        <w:rPr>
          <w:rFonts w:eastAsia="Times New Roman"/>
        </w:rPr>
        <w:t>ordered that</w:t>
      </w:r>
      <w:r w:rsidR="009073B4" w:rsidRPr="009073B4">
        <w:rPr>
          <w:rFonts w:eastAsia="Times New Roman"/>
        </w:rPr>
        <w:t xml:space="preserve"> no further adjournment of this examination would be allowed unless there</w:t>
      </w:r>
      <w:r w:rsidR="00A4135F">
        <w:rPr>
          <w:rFonts w:eastAsia="Times New Roman"/>
        </w:rPr>
        <w:t xml:space="preserve"> is</w:t>
      </w:r>
      <w:r w:rsidR="009073B4" w:rsidRPr="009073B4">
        <w:rPr>
          <w:rFonts w:eastAsia="Times New Roman"/>
        </w:rPr>
        <w:t xml:space="preserve"> some expert evidence </w:t>
      </w:r>
      <w:r w:rsidR="009B53EB">
        <w:rPr>
          <w:rFonts w:eastAsia="Times New Roman"/>
        </w:rPr>
        <w:t xml:space="preserve">to </w:t>
      </w:r>
      <w:r w:rsidR="009073B4" w:rsidRPr="009073B4">
        <w:rPr>
          <w:rFonts w:eastAsia="Times New Roman"/>
        </w:rPr>
        <w:t>show</w:t>
      </w:r>
      <w:r w:rsidR="009B53EB">
        <w:rPr>
          <w:rFonts w:eastAsia="Times New Roman"/>
        </w:rPr>
        <w:t xml:space="preserve"> that</w:t>
      </w:r>
      <w:r w:rsidR="009073B4" w:rsidRPr="009073B4">
        <w:rPr>
          <w:rFonts w:eastAsia="Times New Roman"/>
        </w:rPr>
        <w:t xml:space="preserve"> the ENT examination is best to be conducted after the operation.</w:t>
      </w:r>
    </w:p>
    <w:p w14:paraId="6D0F9A00" w14:textId="77777777" w:rsidR="009073B4" w:rsidRPr="009073B4" w:rsidRDefault="009073B4" w:rsidP="003F06D9">
      <w:pPr>
        <w:pStyle w:val="ListParagraph"/>
        <w:tabs>
          <w:tab w:val="clear" w:pos="4320"/>
          <w:tab w:val="clear" w:pos="9072"/>
        </w:tabs>
        <w:snapToGrid/>
        <w:spacing w:line="360" w:lineRule="auto"/>
        <w:ind w:left="0" w:right="-64"/>
        <w:jc w:val="both"/>
      </w:pPr>
    </w:p>
    <w:p w14:paraId="0A93E731" w14:textId="5D69559B" w:rsidR="009073B4" w:rsidRPr="009073B4" w:rsidRDefault="009073B4" w:rsidP="003F06D9">
      <w:pPr>
        <w:pStyle w:val="ListParagraph"/>
        <w:numPr>
          <w:ilvl w:val="0"/>
          <w:numId w:val="30"/>
        </w:numPr>
        <w:tabs>
          <w:tab w:val="clear" w:pos="4320"/>
          <w:tab w:val="clear" w:pos="9072"/>
        </w:tabs>
        <w:snapToGrid/>
        <w:spacing w:line="360" w:lineRule="auto"/>
        <w:ind w:left="0" w:right="-64" w:firstLine="0"/>
        <w:jc w:val="both"/>
      </w:pPr>
      <w:r>
        <w:rPr>
          <w:rFonts w:eastAsia="Times New Roman"/>
        </w:rPr>
        <w:t>Mr</w:t>
      </w:r>
      <w:r w:rsidRPr="009073B4">
        <w:rPr>
          <w:rFonts w:eastAsia="Times New Roman"/>
        </w:rPr>
        <w:t xml:space="preserve"> Burke then conceded </w:t>
      </w:r>
      <w:r w:rsidR="00B835B6">
        <w:rPr>
          <w:rFonts w:eastAsia="Times New Roman"/>
        </w:rPr>
        <w:t>that his client would</w:t>
      </w:r>
      <w:r w:rsidRPr="009073B4">
        <w:rPr>
          <w:rFonts w:eastAsia="Times New Roman"/>
        </w:rPr>
        <w:t xml:space="preserve"> </w:t>
      </w:r>
      <w:r w:rsidR="001F2B61">
        <w:rPr>
          <w:rFonts w:eastAsia="Times New Roman"/>
        </w:rPr>
        <w:t>undergo</w:t>
      </w:r>
      <w:r w:rsidRPr="009073B4">
        <w:rPr>
          <w:rFonts w:eastAsia="Times New Roman"/>
        </w:rPr>
        <w:t xml:space="preserve"> the ENT examination without waiting for the nose operation.</w:t>
      </w:r>
      <w:r>
        <w:rPr>
          <w:noProof/>
        </w:rPr>
        <w:drawing>
          <wp:inline distT="0" distB="0" distL="0" distR="0" wp14:anchorId="560AD558" wp14:editId="78A76376">
            <wp:extent cx="3048" cy="3049"/>
            <wp:effectExtent l="0" t="0" r="0" b="0"/>
            <wp:docPr id="6383" name="Picture 6383"/>
            <wp:cNvGraphicFramePr/>
            <a:graphic xmlns:a="http://schemas.openxmlformats.org/drawingml/2006/main">
              <a:graphicData uri="http://schemas.openxmlformats.org/drawingml/2006/picture">
                <pic:pic xmlns:pic="http://schemas.openxmlformats.org/drawingml/2006/picture">
                  <pic:nvPicPr>
                    <pic:cNvPr id="6383" name="Picture 6383"/>
                    <pic:cNvPicPr/>
                  </pic:nvPicPr>
                  <pic:blipFill>
                    <a:blip r:embed="rId13"/>
                    <a:stretch>
                      <a:fillRect/>
                    </a:stretch>
                  </pic:blipFill>
                  <pic:spPr>
                    <a:xfrm>
                      <a:off x="0" y="0"/>
                      <a:ext cx="3048" cy="3049"/>
                    </a:xfrm>
                    <a:prstGeom prst="rect">
                      <a:avLst/>
                    </a:prstGeom>
                  </pic:spPr>
                </pic:pic>
              </a:graphicData>
            </a:graphic>
          </wp:inline>
        </w:drawing>
      </w:r>
    </w:p>
    <w:p w14:paraId="6718F992" w14:textId="77777777" w:rsidR="009073B4" w:rsidRDefault="009073B4" w:rsidP="003F06D9">
      <w:pPr>
        <w:spacing w:line="360" w:lineRule="auto"/>
      </w:pPr>
    </w:p>
    <w:p w14:paraId="442B4DC6" w14:textId="6D542BE9" w:rsidR="009073B4" w:rsidRPr="009073B4" w:rsidRDefault="009B53EB" w:rsidP="003F06D9">
      <w:pPr>
        <w:pStyle w:val="ListParagraph"/>
        <w:numPr>
          <w:ilvl w:val="0"/>
          <w:numId w:val="30"/>
        </w:numPr>
        <w:tabs>
          <w:tab w:val="clear" w:pos="4320"/>
          <w:tab w:val="clear" w:pos="9072"/>
        </w:tabs>
        <w:snapToGrid/>
        <w:spacing w:line="360" w:lineRule="auto"/>
        <w:ind w:left="0" w:right="-64" w:firstLine="0"/>
        <w:jc w:val="both"/>
      </w:pPr>
      <w:r>
        <w:rPr>
          <w:rFonts w:eastAsia="Times New Roman"/>
        </w:rPr>
        <w:t xml:space="preserve">At that hearing, </w:t>
      </w:r>
      <w:r w:rsidR="009073B4">
        <w:rPr>
          <w:rFonts w:eastAsia="Times New Roman"/>
        </w:rPr>
        <w:t>Mr</w:t>
      </w:r>
      <w:r w:rsidR="009073B4" w:rsidRPr="009073B4">
        <w:rPr>
          <w:rFonts w:eastAsia="Times New Roman"/>
        </w:rPr>
        <w:t xml:space="preserve"> Burke </w:t>
      </w:r>
      <w:r>
        <w:rPr>
          <w:rFonts w:eastAsia="Times New Roman"/>
        </w:rPr>
        <w:t xml:space="preserve">also </w:t>
      </w:r>
      <w:r w:rsidR="009073B4" w:rsidRPr="009073B4">
        <w:rPr>
          <w:rFonts w:eastAsia="Times New Roman"/>
        </w:rPr>
        <w:t>informed t</w:t>
      </w:r>
      <w:r w:rsidR="009073B4">
        <w:rPr>
          <w:rFonts w:eastAsia="Times New Roman"/>
        </w:rPr>
        <w:t xml:space="preserve">he Court of the </w:t>
      </w:r>
      <w:r>
        <w:rPr>
          <w:rFonts w:eastAsia="Times New Roman"/>
        </w:rPr>
        <w:t>plaintiff’</w:t>
      </w:r>
      <w:r w:rsidR="009073B4" w:rsidRPr="009073B4">
        <w:rPr>
          <w:rFonts w:eastAsia="Times New Roman"/>
        </w:rPr>
        <w:t>s intention in seeking supplemental report</w:t>
      </w:r>
      <w:r>
        <w:rPr>
          <w:rFonts w:eastAsia="Times New Roman"/>
        </w:rPr>
        <w:t>(s)</w:t>
      </w:r>
      <w:r w:rsidR="009073B4" w:rsidRPr="009073B4">
        <w:rPr>
          <w:rFonts w:eastAsia="Times New Roman"/>
        </w:rPr>
        <w:t xml:space="preserve"> from his medical expert(s) </w:t>
      </w:r>
      <w:r>
        <w:rPr>
          <w:rFonts w:eastAsia="Times New Roman"/>
        </w:rPr>
        <w:t xml:space="preserve">but the </w:t>
      </w:r>
      <w:r w:rsidR="001E2FD1">
        <w:rPr>
          <w:rFonts w:eastAsia="Times New Roman"/>
        </w:rPr>
        <w:t>M</w:t>
      </w:r>
      <w:r>
        <w:rPr>
          <w:rFonts w:eastAsia="Times New Roman"/>
        </w:rPr>
        <w:t xml:space="preserve">aster </w:t>
      </w:r>
      <w:r w:rsidR="000B1D42">
        <w:rPr>
          <w:rFonts w:eastAsia="Times New Roman"/>
        </w:rPr>
        <w:t>apparently</w:t>
      </w:r>
      <w:r w:rsidR="009073B4" w:rsidRPr="009073B4">
        <w:rPr>
          <w:rFonts w:eastAsia="Times New Roman"/>
        </w:rPr>
        <w:t xml:space="preserve"> reminded </w:t>
      </w:r>
      <w:r w:rsidR="000B1D42">
        <w:rPr>
          <w:rFonts w:eastAsia="Times New Roman"/>
        </w:rPr>
        <w:t xml:space="preserve">the </w:t>
      </w:r>
      <w:r w:rsidR="009073B4" w:rsidRPr="009073B4">
        <w:rPr>
          <w:rFonts w:eastAsia="Times New Roman"/>
        </w:rPr>
        <w:t xml:space="preserve">parties </w:t>
      </w:r>
      <w:r w:rsidR="000B1D42">
        <w:rPr>
          <w:rFonts w:eastAsia="Times New Roman"/>
        </w:rPr>
        <w:t xml:space="preserve">that </w:t>
      </w:r>
      <w:r w:rsidR="009073B4" w:rsidRPr="009073B4">
        <w:rPr>
          <w:rFonts w:eastAsia="Times New Roman"/>
        </w:rPr>
        <w:t>a list of 6 med</w:t>
      </w:r>
      <w:r w:rsidR="00E01907">
        <w:rPr>
          <w:rFonts w:eastAsia="Times New Roman"/>
        </w:rPr>
        <w:t xml:space="preserve">ical examinations were proposed </w:t>
      </w:r>
      <w:r w:rsidR="00C67C2D">
        <w:rPr>
          <w:rFonts w:eastAsia="Times New Roman"/>
        </w:rPr>
        <w:t>to take place</w:t>
      </w:r>
      <w:r w:rsidR="004616D1">
        <w:rPr>
          <w:rFonts w:eastAsia="Times New Roman"/>
        </w:rPr>
        <w:t xml:space="preserve"> </w:t>
      </w:r>
      <w:r w:rsidR="009073B4" w:rsidRPr="009073B4">
        <w:rPr>
          <w:rFonts w:eastAsia="Times New Roman"/>
        </w:rPr>
        <w:t xml:space="preserve">in </w:t>
      </w:r>
      <w:r w:rsidR="00E01907">
        <w:rPr>
          <w:rFonts w:eastAsia="Times New Roman"/>
        </w:rPr>
        <w:t>2017/2018</w:t>
      </w:r>
      <w:r w:rsidR="00DC0C90">
        <w:rPr>
          <w:rFonts w:eastAsia="Times New Roman"/>
        </w:rPr>
        <w:t xml:space="preserve">: </w:t>
      </w:r>
      <w:r w:rsidR="00C67C2D">
        <w:rPr>
          <w:rFonts w:eastAsia="Times New Roman"/>
        </w:rPr>
        <w:t>(</w:t>
      </w:r>
      <w:r w:rsidR="00DC0C90">
        <w:rPr>
          <w:rFonts w:eastAsia="Times New Roman"/>
        </w:rPr>
        <w:t>See Master Roy Yu’s Order dated 21 September 2017</w:t>
      </w:r>
      <w:r w:rsidR="000B1D42">
        <w:rPr>
          <w:rFonts w:eastAsia="Times New Roman"/>
        </w:rPr>
        <w:t>.</w:t>
      </w:r>
      <w:r w:rsidR="00C67C2D">
        <w:rPr>
          <w:rFonts w:eastAsia="Times New Roman"/>
        </w:rPr>
        <w:t>)</w:t>
      </w:r>
      <w:r w:rsidR="009073B4" w:rsidRPr="009073B4">
        <w:rPr>
          <w:rFonts w:eastAsia="Times New Roman"/>
        </w:rPr>
        <w:t xml:space="preserve"> </w:t>
      </w:r>
      <w:r w:rsidR="000B1D42">
        <w:rPr>
          <w:rFonts w:eastAsia="Times New Roman"/>
        </w:rPr>
        <w:t xml:space="preserve"> R</w:t>
      </w:r>
      <w:r w:rsidR="009073B4" w:rsidRPr="009073B4">
        <w:rPr>
          <w:rFonts w:eastAsia="Times New Roman"/>
        </w:rPr>
        <w:t>egrettably</w:t>
      </w:r>
      <w:r w:rsidR="000B1D42">
        <w:rPr>
          <w:rFonts w:eastAsia="Times New Roman"/>
        </w:rPr>
        <w:t>,</w:t>
      </w:r>
      <w:r w:rsidR="009073B4" w:rsidRPr="009073B4">
        <w:rPr>
          <w:rFonts w:eastAsia="Times New Roman"/>
        </w:rPr>
        <w:t xml:space="preserve"> </w:t>
      </w:r>
      <w:r w:rsidR="0025375A">
        <w:rPr>
          <w:rFonts w:eastAsia="Times New Roman"/>
        </w:rPr>
        <w:t>the</w:t>
      </w:r>
      <w:r w:rsidR="009073B4" w:rsidRPr="009073B4">
        <w:rPr>
          <w:rFonts w:eastAsia="Times New Roman"/>
        </w:rPr>
        <w:t xml:space="preserve"> ENT examination was still outstanding after a 4-year time lapse. </w:t>
      </w:r>
      <w:r w:rsidR="00DC0C90">
        <w:rPr>
          <w:rFonts w:eastAsia="Times New Roman"/>
        </w:rPr>
        <w:t xml:space="preserve"> </w:t>
      </w:r>
      <w:r w:rsidR="000B1D42">
        <w:rPr>
          <w:rFonts w:eastAsia="Times New Roman"/>
        </w:rPr>
        <w:t>The p</w:t>
      </w:r>
      <w:r w:rsidR="009073B4" w:rsidRPr="009073B4">
        <w:rPr>
          <w:rFonts w:eastAsia="Times New Roman"/>
        </w:rPr>
        <w:t xml:space="preserve">arties were </w:t>
      </w:r>
      <w:r w:rsidR="000B1D42">
        <w:rPr>
          <w:rFonts w:eastAsia="Times New Roman"/>
        </w:rPr>
        <w:t xml:space="preserve">specifically </w:t>
      </w:r>
      <w:r w:rsidR="009073B4" w:rsidRPr="009073B4">
        <w:rPr>
          <w:rFonts w:eastAsia="Times New Roman"/>
        </w:rPr>
        <w:t xml:space="preserve">reminded </w:t>
      </w:r>
      <w:r w:rsidR="000B1D42">
        <w:rPr>
          <w:rFonts w:eastAsia="Times New Roman"/>
        </w:rPr>
        <w:t xml:space="preserve">by the </w:t>
      </w:r>
      <w:r w:rsidR="001E2FD1">
        <w:rPr>
          <w:rFonts w:eastAsia="Times New Roman"/>
        </w:rPr>
        <w:t>M</w:t>
      </w:r>
      <w:r w:rsidR="000B1D42">
        <w:rPr>
          <w:rFonts w:eastAsia="Times New Roman"/>
        </w:rPr>
        <w:t>aster</w:t>
      </w:r>
      <w:r w:rsidR="00E01907">
        <w:rPr>
          <w:rFonts w:eastAsia="Times New Roman"/>
        </w:rPr>
        <w:t xml:space="preserve"> at </w:t>
      </w:r>
      <w:r w:rsidR="005753AD">
        <w:rPr>
          <w:rFonts w:eastAsia="Times New Roman"/>
        </w:rPr>
        <w:t>the</w:t>
      </w:r>
      <w:r w:rsidR="00E01907">
        <w:rPr>
          <w:rFonts w:eastAsia="Times New Roman"/>
        </w:rPr>
        <w:t xml:space="preserve"> hearing</w:t>
      </w:r>
      <w:r w:rsidR="000B1D42">
        <w:rPr>
          <w:rFonts w:eastAsia="Times New Roman"/>
        </w:rPr>
        <w:t xml:space="preserve"> </w:t>
      </w:r>
      <w:r w:rsidR="009073B4" w:rsidRPr="009073B4">
        <w:rPr>
          <w:rFonts w:eastAsia="Times New Roman"/>
        </w:rPr>
        <w:t>that</w:t>
      </w:r>
      <w:r w:rsidR="000B1D42">
        <w:rPr>
          <w:rFonts w:eastAsia="Times New Roman"/>
        </w:rPr>
        <w:t>,</w:t>
      </w:r>
      <w:r w:rsidR="009073B4" w:rsidRPr="009073B4">
        <w:rPr>
          <w:rFonts w:eastAsia="Times New Roman"/>
        </w:rPr>
        <w:t xml:space="preserve"> pursuant to </w:t>
      </w:r>
      <w:r w:rsidR="00DF6990" w:rsidRPr="001305C2">
        <w:rPr>
          <w:color w:val="3C4043"/>
          <w:szCs w:val="28"/>
          <w:lang w:eastAsia="zh-HK"/>
        </w:rPr>
        <w:t>§</w:t>
      </w:r>
      <w:r w:rsidR="009073B4" w:rsidRPr="009073B4">
        <w:rPr>
          <w:rFonts w:eastAsia="Times New Roman"/>
          <w:u w:color="000000"/>
        </w:rPr>
        <w:t xml:space="preserve">3 of the </w:t>
      </w:r>
      <w:r w:rsidR="009073B4">
        <w:rPr>
          <w:rFonts w:eastAsia="Times New Roman"/>
        </w:rPr>
        <w:t>March 202</w:t>
      </w:r>
      <w:r w:rsidR="009073B4" w:rsidRPr="009073B4">
        <w:rPr>
          <w:rFonts w:eastAsia="Times New Roman"/>
        </w:rPr>
        <w:t>l</w:t>
      </w:r>
      <w:r w:rsidR="000B1D42">
        <w:rPr>
          <w:rFonts w:eastAsia="Times New Roman"/>
        </w:rPr>
        <w:t xml:space="preserve"> Order</w:t>
      </w:r>
      <w:r w:rsidR="003C5A9E">
        <w:rPr>
          <w:rFonts w:eastAsia="Times New Roman"/>
        </w:rPr>
        <w:t xml:space="preserve">, </w:t>
      </w:r>
      <w:r w:rsidR="003C5A9E" w:rsidRPr="009073B4">
        <w:rPr>
          <w:rFonts w:eastAsia="Times New Roman"/>
        </w:rPr>
        <w:t xml:space="preserve">besides </w:t>
      </w:r>
      <w:r w:rsidR="003C5A9E">
        <w:rPr>
          <w:rFonts w:eastAsia="Times New Roman"/>
        </w:rPr>
        <w:t>the p</w:t>
      </w:r>
      <w:r w:rsidR="00E01907">
        <w:rPr>
          <w:rFonts w:eastAsia="Times New Roman"/>
        </w:rPr>
        <w:t>sychology</w:t>
      </w:r>
      <w:r w:rsidR="003C5A9E" w:rsidRPr="009073B4">
        <w:rPr>
          <w:rFonts w:eastAsia="Times New Roman"/>
        </w:rPr>
        <w:t xml:space="preserve"> and ENT</w:t>
      </w:r>
      <w:r w:rsidR="003C5A9E">
        <w:rPr>
          <w:rFonts w:eastAsia="Times New Roman"/>
        </w:rPr>
        <w:t xml:space="preserve"> experts, </w:t>
      </w:r>
      <w:r w:rsidR="000B1D42" w:rsidRPr="001305C2">
        <w:rPr>
          <w:rFonts w:eastAsia="Times New Roman"/>
        </w:rPr>
        <w:t>“</w:t>
      </w:r>
      <w:r w:rsidR="00DF6990" w:rsidRPr="001305C2">
        <w:rPr>
          <w:rFonts w:eastAsia="Times New Roman"/>
        </w:rPr>
        <w:t>(</w:t>
      </w:r>
      <w:r w:rsidR="003C5A9E">
        <w:rPr>
          <w:rFonts w:eastAsia="Times New Roman"/>
        </w:rPr>
        <w:t>N</w:t>
      </w:r>
      <w:r w:rsidR="00DF6990" w:rsidRPr="001305C2">
        <w:rPr>
          <w:rFonts w:eastAsia="Times New Roman"/>
        </w:rPr>
        <w:t>)</w:t>
      </w:r>
      <w:r w:rsidR="009073B4" w:rsidRPr="009073B4">
        <w:rPr>
          <w:rFonts w:eastAsia="Times New Roman"/>
        </w:rPr>
        <w:t xml:space="preserve">o further or additional </w:t>
      </w:r>
      <w:r w:rsidR="00DF6990">
        <w:rPr>
          <w:rFonts w:eastAsia="Times New Roman"/>
        </w:rPr>
        <w:t xml:space="preserve">medical </w:t>
      </w:r>
      <w:r w:rsidR="009073B4" w:rsidRPr="009073B4">
        <w:rPr>
          <w:rFonts w:eastAsia="Times New Roman"/>
        </w:rPr>
        <w:t xml:space="preserve">expert </w:t>
      </w:r>
      <w:r w:rsidR="00DF6990" w:rsidRPr="001305C2">
        <w:rPr>
          <w:rFonts w:eastAsia="Times New Roman"/>
        </w:rPr>
        <w:t>evidence</w:t>
      </w:r>
      <w:r w:rsidR="009073B4" w:rsidRPr="009073B4">
        <w:rPr>
          <w:rFonts w:eastAsia="Times New Roman"/>
        </w:rPr>
        <w:t xml:space="preserve"> shall be obtained or adduced without leave of the Court</w:t>
      </w:r>
      <w:r w:rsidR="003C5A9E">
        <w:rPr>
          <w:rFonts w:eastAsia="Times New Roman"/>
        </w:rPr>
        <w:t>.</w:t>
      </w:r>
      <w:r w:rsidR="000B1D42">
        <w:rPr>
          <w:rFonts w:eastAsia="Times New Roman"/>
        </w:rPr>
        <w:t>”</w:t>
      </w:r>
    </w:p>
    <w:p w14:paraId="4C5388CF" w14:textId="77777777" w:rsidR="009073B4" w:rsidRDefault="009073B4" w:rsidP="003F06D9">
      <w:pPr>
        <w:pStyle w:val="ListParagraph"/>
        <w:spacing w:line="360" w:lineRule="auto"/>
      </w:pPr>
    </w:p>
    <w:p w14:paraId="3BB44BE9" w14:textId="77F20FB7" w:rsidR="009073B4" w:rsidRPr="009073B4" w:rsidRDefault="009073B4" w:rsidP="003F06D9">
      <w:pPr>
        <w:pStyle w:val="ListParagraph"/>
        <w:numPr>
          <w:ilvl w:val="0"/>
          <w:numId w:val="30"/>
        </w:numPr>
        <w:tabs>
          <w:tab w:val="clear" w:pos="4320"/>
          <w:tab w:val="clear" w:pos="9072"/>
        </w:tabs>
        <w:snapToGrid/>
        <w:spacing w:line="360" w:lineRule="auto"/>
        <w:ind w:left="0" w:right="-64" w:firstLine="0"/>
        <w:jc w:val="both"/>
      </w:pPr>
      <w:r w:rsidRPr="009073B4">
        <w:rPr>
          <w:rFonts w:eastAsia="Times New Roman"/>
        </w:rPr>
        <w:t>In</w:t>
      </w:r>
      <w:r>
        <w:rPr>
          <w:rFonts w:eastAsia="Times New Roman"/>
        </w:rPr>
        <w:t xml:space="preserve"> view of the remarks made by Mr</w:t>
      </w:r>
      <w:r w:rsidRPr="009073B4">
        <w:rPr>
          <w:rFonts w:eastAsia="Times New Roman"/>
        </w:rPr>
        <w:t xml:space="preserve"> Burke at the hearing, the </w:t>
      </w:r>
      <w:r w:rsidR="001E2FD1">
        <w:rPr>
          <w:rFonts w:eastAsia="Times New Roman"/>
        </w:rPr>
        <w:t>M</w:t>
      </w:r>
      <w:r w:rsidR="00A71BFE">
        <w:rPr>
          <w:rFonts w:eastAsia="Times New Roman"/>
        </w:rPr>
        <w:t xml:space="preserve">aster </w:t>
      </w:r>
      <w:r w:rsidRPr="009073B4">
        <w:rPr>
          <w:rFonts w:eastAsia="Times New Roman"/>
        </w:rPr>
        <w:t xml:space="preserve">made a similar </w:t>
      </w:r>
      <w:r w:rsidR="001305C2">
        <w:rPr>
          <w:rFonts w:eastAsia="Times New Roman"/>
        </w:rPr>
        <w:t>o</w:t>
      </w:r>
      <w:r w:rsidRPr="009073B4">
        <w:rPr>
          <w:rFonts w:eastAsia="Times New Roman"/>
        </w:rPr>
        <w:t>rder</w:t>
      </w:r>
      <w:r w:rsidR="00A71BFE">
        <w:rPr>
          <w:rFonts w:eastAsia="Times New Roman"/>
        </w:rPr>
        <w:t xml:space="preserve"> at the </w:t>
      </w:r>
      <w:r w:rsidR="003C5A9E">
        <w:rPr>
          <w:rFonts w:eastAsia="Times New Roman"/>
        </w:rPr>
        <w:t>2</w:t>
      </w:r>
      <w:r w:rsidR="003C5A9E" w:rsidRPr="003C5A9E">
        <w:rPr>
          <w:rFonts w:eastAsia="Times New Roman"/>
          <w:vertAlign w:val="superscript"/>
        </w:rPr>
        <w:t>nd</w:t>
      </w:r>
      <w:r w:rsidR="003C5A9E">
        <w:rPr>
          <w:rFonts w:eastAsia="Times New Roman"/>
        </w:rPr>
        <w:t xml:space="preserve"> CLR </w:t>
      </w:r>
      <w:r w:rsidR="00A71BFE">
        <w:rPr>
          <w:rFonts w:eastAsia="Times New Roman"/>
        </w:rPr>
        <w:t>hearing (“the October 2021 Order”):</w:t>
      </w:r>
      <w:r w:rsidRPr="009073B4">
        <w:rPr>
          <w:rFonts w:eastAsia="Times New Roman"/>
        </w:rPr>
        <w:t xml:space="preserve"> (</w:t>
      </w:r>
      <w:r w:rsidR="00A71BFE">
        <w:rPr>
          <w:rFonts w:eastAsia="Times New Roman"/>
        </w:rPr>
        <w:t>S</w:t>
      </w:r>
      <w:r w:rsidRPr="009073B4">
        <w:rPr>
          <w:rFonts w:eastAsia="Times New Roman"/>
        </w:rPr>
        <w:t>ee</w:t>
      </w:r>
      <w:r w:rsidRPr="009073B4">
        <w:rPr>
          <w:rFonts w:eastAsia="Times New Roman"/>
          <w:u w:color="000000"/>
        </w:rPr>
        <w:t xml:space="preserve"> </w:t>
      </w:r>
      <w:r w:rsidR="00DF6990" w:rsidRPr="001305C2">
        <w:rPr>
          <w:color w:val="3C4043"/>
          <w:szCs w:val="28"/>
          <w:lang w:eastAsia="zh-HK"/>
        </w:rPr>
        <w:t>§</w:t>
      </w:r>
      <w:r w:rsidRPr="009073B4">
        <w:rPr>
          <w:rFonts w:eastAsia="Times New Roman"/>
          <w:u w:color="000000"/>
        </w:rPr>
        <w:t>2 of the Order)</w:t>
      </w:r>
      <w:r w:rsidR="00A71BFE">
        <w:rPr>
          <w:rFonts w:eastAsia="Times New Roman"/>
        </w:rPr>
        <w:t xml:space="preserve">, </w:t>
      </w:r>
      <w:r w:rsidR="001305C2">
        <w:rPr>
          <w:rFonts w:eastAsia="Times New Roman"/>
        </w:rPr>
        <w:t xml:space="preserve">which </w:t>
      </w:r>
      <w:r w:rsidR="00A71BFE">
        <w:rPr>
          <w:rFonts w:eastAsia="Times New Roman"/>
        </w:rPr>
        <w:t xml:space="preserve">specifically </w:t>
      </w:r>
      <w:r w:rsidR="003C5A9E">
        <w:rPr>
          <w:rFonts w:eastAsia="Times New Roman"/>
        </w:rPr>
        <w:t xml:space="preserve">stated </w:t>
      </w:r>
      <w:r w:rsidRPr="009073B4">
        <w:rPr>
          <w:rFonts w:eastAsia="Times New Roman"/>
        </w:rPr>
        <w:t>that</w:t>
      </w:r>
      <w:r w:rsidR="001F2B61">
        <w:rPr>
          <w:rFonts w:eastAsia="Times New Roman"/>
        </w:rPr>
        <w:t xml:space="preserve">, </w:t>
      </w:r>
      <w:r w:rsidR="003C5A9E">
        <w:rPr>
          <w:rFonts w:eastAsia="Times New Roman"/>
        </w:rPr>
        <w:t xml:space="preserve">besides </w:t>
      </w:r>
      <w:r w:rsidR="00E01907">
        <w:rPr>
          <w:rFonts w:eastAsia="Times New Roman"/>
        </w:rPr>
        <w:t xml:space="preserve">the </w:t>
      </w:r>
      <w:r w:rsidR="003C5A9E">
        <w:rPr>
          <w:rFonts w:eastAsia="Times New Roman"/>
        </w:rPr>
        <w:t>ENT expert,</w:t>
      </w:r>
      <w:r w:rsidR="005753AD">
        <w:rPr>
          <w:rStyle w:val="FootnoteReference"/>
          <w:rFonts w:eastAsia="Times New Roman"/>
        </w:rPr>
        <w:footnoteReference w:id="1"/>
      </w:r>
      <w:r w:rsidR="003C5A9E">
        <w:rPr>
          <w:rFonts w:eastAsia="Times New Roman"/>
        </w:rPr>
        <w:t xml:space="preserve"> </w:t>
      </w:r>
      <w:r w:rsidR="00A71BFE">
        <w:rPr>
          <w:rFonts w:eastAsia="Times New Roman"/>
        </w:rPr>
        <w:t>“</w:t>
      </w:r>
      <w:r w:rsidR="003C5A9E">
        <w:rPr>
          <w:rFonts w:eastAsia="Times New Roman"/>
        </w:rPr>
        <w:t>(N)</w:t>
      </w:r>
      <w:r w:rsidRPr="009073B4">
        <w:rPr>
          <w:rFonts w:eastAsia="Times New Roman"/>
        </w:rPr>
        <w:t>o further or add</w:t>
      </w:r>
      <w:r w:rsidR="003C5A9E">
        <w:rPr>
          <w:rFonts w:eastAsia="Times New Roman"/>
        </w:rPr>
        <w:t>itional expert medical reports</w:t>
      </w:r>
      <w:r w:rsidRPr="009073B4">
        <w:rPr>
          <w:rFonts w:eastAsia="Times New Roman"/>
        </w:rPr>
        <w:t xml:space="preserve"> shall be obtained or adduced without leave of the PI Master</w:t>
      </w:r>
      <w:r w:rsidR="003C5A9E">
        <w:rPr>
          <w:rFonts w:eastAsia="Times New Roman"/>
        </w:rPr>
        <w:t>.</w:t>
      </w:r>
      <w:r w:rsidR="00A71BFE">
        <w:rPr>
          <w:rFonts w:eastAsia="Times New Roman"/>
        </w:rPr>
        <w:t>”</w:t>
      </w:r>
    </w:p>
    <w:p w14:paraId="0ED0F3E7" w14:textId="77777777" w:rsidR="009073B4" w:rsidRDefault="009073B4" w:rsidP="003F06D9">
      <w:pPr>
        <w:pStyle w:val="ListParagraph"/>
        <w:spacing w:line="360" w:lineRule="auto"/>
      </w:pPr>
    </w:p>
    <w:p w14:paraId="0129989F" w14:textId="7ADEE31A" w:rsidR="009073B4" w:rsidRPr="009073B4" w:rsidRDefault="001305C2" w:rsidP="003F06D9">
      <w:pPr>
        <w:pStyle w:val="ListParagraph"/>
        <w:numPr>
          <w:ilvl w:val="0"/>
          <w:numId w:val="30"/>
        </w:numPr>
        <w:tabs>
          <w:tab w:val="clear" w:pos="4320"/>
          <w:tab w:val="clear" w:pos="9072"/>
        </w:tabs>
        <w:snapToGrid/>
        <w:spacing w:line="360" w:lineRule="auto"/>
        <w:ind w:left="0" w:right="-64" w:firstLine="0"/>
        <w:jc w:val="both"/>
      </w:pPr>
      <w:r>
        <w:rPr>
          <w:rFonts w:eastAsia="Times New Roman"/>
        </w:rPr>
        <w:t xml:space="preserve">The Master </w:t>
      </w:r>
      <w:r w:rsidR="007B3894">
        <w:rPr>
          <w:rFonts w:eastAsia="Times New Roman"/>
        </w:rPr>
        <w:t>specifically</w:t>
      </w:r>
      <w:r>
        <w:rPr>
          <w:rFonts w:eastAsia="Times New Roman"/>
        </w:rPr>
        <w:t xml:space="preserve"> </w:t>
      </w:r>
      <w:r w:rsidR="001E2FD1">
        <w:rPr>
          <w:rFonts w:eastAsia="Times New Roman"/>
        </w:rPr>
        <w:t>point</w:t>
      </w:r>
      <w:r w:rsidR="009073B4" w:rsidRPr="009073B4">
        <w:rPr>
          <w:rFonts w:eastAsia="Times New Roman"/>
        </w:rPr>
        <w:t xml:space="preserve">ed </w:t>
      </w:r>
      <w:r w:rsidR="001E2FD1">
        <w:rPr>
          <w:rFonts w:eastAsia="Times New Roman"/>
        </w:rPr>
        <w:t xml:space="preserve">out </w:t>
      </w:r>
      <w:r w:rsidR="001F2B61">
        <w:rPr>
          <w:rFonts w:eastAsia="Times New Roman"/>
        </w:rPr>
        <w:t>to the parties at</w:t>
      </w:r>
      <w:r w:rsidR="009073B4" w:rsidRPr="009073B4">
        <w:rPr>
          <w:rFonts w:eastAsia="Times New Roman"/>
        </w:rPr>
        <w:t xml:space="preserve"> </w:t>
      </w:r>
      <w:r w:rsidR="005753AD">
        <w:rPr>
          <w:rFonts w:eastAsia="Times New Roman"/>
        </w:rPr>
        <w:t>the</w:t>
      </w:r>
      <w:r w:rsidR="009073B4" w:rsidRPr="009073B4">
        <w:rPr>
          <w:rFonts w:eastAsia="Times New Roman"/>
        </w:rPr>
        <w:t xml:space="preserve"> hearing that the progress of this case</w:t>
      </w:r>
      <w:r w:rsidR="00DF6990" w:rsidRPr="001305C2">
        <w:rPr>
          <w:rFonts w:eastAsia="Times New Roman"/>
        </w:rPr>
        <w:t xml:space="preserve"> ha</w:t>
      </w:r>
      <w:r w:rsidR="00B9190F">
        <w:rPr>
          <w:rFonts w:eastAsia="Times New Roman"/>
        </w:rPr>
        <w:t>d</w:t>
      </w:r>
      <w:r w:rsidR="003A647F">
        <w:rPr>
          <w:rFonts w:eastAsia="Times New Roman"/>
        </w:rPr>
        <w:t xml:space="preserve"> been</w:t>
      </w:r>
      <w:r w:rsidR="009073B4" w:rsidRPr="009073B4">
        <w:rPr>
          <w:rFonts w:eastAsia="Times New Roman"/>
        </w:rPr>
        <w:t xml:space="preserve"> painfully slow and</w:t>
      </w:r>
      <w:r>
        <w:rPr>
          <w:rFonts w:eastAsia="Times New Roman"/>
        </w:rPr>
        <w:t>,</w:t>
      </w:r>
      <w:r w:rsidR="009073B4" w:rsidRPr="009073B4">
        <w:rPr>
          <w:rFonts w:eastAsia="Times New Roman"/>
        </w:rPr>
        <w:t xml:space="preserve"> in the spirit of the </w:t>
      </w:r>
      <w:r w:rsidR="00DF6990" w:rsidRPr="001305C2">
        <w:rPr>
          <w:rFonts w:eastAsia="Times New Roman"/>
        </w:rPr>
        <w:t>Civil Justice Reform (“</w:t>
      </w:r>
      <w:r w:rsidR="009073B4" w:rsidRPr="001305C2">
        <w:rPr>
          <w:rFonts w:eastAsia="Times New Roman"/>
        </w:rPr>
        <w:t>CJR</w:t>
      </w:r>
      <w:r w:rsidR="00DF6990" w:rsidRPr="001305C2">
        <w:rPr>
          <w:rFonts w:eastAsia="Times New Roman"/>
        </w:rPr>
        <w:t>”)</w:t>
      </w:r>
      <w:r w:rsidR="009073B4" w:rsidRPr="001305C2">
        <w:rPr>
          <w:rFonts w:eastAsia="Times New Roman"/>
        </w:rPr>
        <w:t>,</w:t>
      </w:r>
      <w:r w:rsidR="009073B4">
        <w:rPr>
          <w:rFonts w:eastAsia="Times New Roman"/>
        </w:rPr>
        <w:t xml:space="preserve"> the Court</w:t>
      </w:r>
      <w:r w:rsidR="005753AD">
        <w:rPr>
          <w:rFonts w:eastAsia="Times New Roman"/>
        </w:rPr>
        <w:t xml:space="preserve"> would</w:t>
      </w:r>
      <w:r w:rsidR="009073B4">
        <w:rPr>
          <w:rFonts w:eastAsia="Times New Roman"/>
        </w:rPr>
        <w:t xml:space="preserve"> purposely set out a “roadmap”</w:t>
      </w:r>
      <w:r w:rsidR="009073B4" w:rsidRPr="009073B4">
        <w:rPr>
          <w:rFonts w:eastAsia="Times New Roman"/>
        </w:rPr>
        <w:t xml:space="preserve"> to </w:t>
      </w:r>
      <w:r w:rsidR="008944AD">
        <w:rPr>
          <w:rFonts w:eastAsia="Times New Roman"/>
        </w:rPr>
        <w:t xml:space="preserve">the </w:t>
      </w:r>
      <w:r w:rsidR="009073B4" w:rsidRPr="009073B4">
        <w:rPr>
          <w:rFonts w:eastAsia="Times New Roman"/>
        </w:rPr>
        <w:t xml:space="preserve">parties anticipating the </w:t>
      </w:r>
      <w:r w:rsidR="0025375A">
        <w:rPr>
          <w:rFonts w:eastAsia="Times New Roman"/>
        </w:rPr>
        <w:t xml:space="preserve">assessment of damages </w:t>
      </w:r>
      <w:r w:rsidR="007B3894">
        <w:rPr>
          <w:rFonts w:eastAsia="Times New Roman"/>
        </w:rPr>
        <w:t>to</w:t>
      </w:r>
      <w:r w:rsidR="009073B4" w:rsidRPr="009073B4">
        <w:rPr>
          <w:rFonts w:eastAsia="Times New Roman"/>
        </w:rPr>
        <w:t xml:space="preserve"> be heard </w:t>
      </w:r>
      <w:r>
        <w:rPr>
          <w:rFonts w:eastAsia="Times New Roman"/>
        </w:rPr>
        <w:t>by</w:t>
      </w:r>
      <w:r w:rsidR="009073B4" w:rsidRPr="009073B4">
        <w:rPr>
          <w:rFonts w:eastAsia="Times New Roman"/>
        </w:rPr>
        <w:t xml:space="preserve"> the end of 2022, which </w:t>
      </w:r>
      <w:r w:rsidR="007B3894">
        <w:rPr>
          <w:rFonts w:eastAsia="Times New Roman"/>
        </w:rPr>
        <w:t xml:space="preserve">incidentally </w:t>
      </w:r>
      <w:r w:rsidR="009073B4" w:rsidRPr="009073B4">
        <w:rPr>
          <w:rFonts w:eastAsia="Times New Roman"/>
        </w:rPr>
        <w:t xml:space="preserve">will be </w:t>
      </w:r>
      <w:r w:rsidR="007B3894">
        <w:rPr>
          <w:rFonts w:eastAsia="Times New Roman"/>
        </w:rPr>
        <w:t>more than</w:t>
      </w:r>
      <w:r w:rsidR="009073B4" w:rsidRPr="009073B4">
        <w:rPr>
          <w:rFonts w:eastAsia="Times New Roman"/>
        </w:rPr>
        <w:t xml:space="preserve"> </w:t>
      </w:r>
      <w:r w:rsidR="0025375A">
        <w:rPr>
          <w:rFonts w:eastAsia="Times New Roman"/>
        </w:rPr>
        <w:t xml:space="preserve">8 </w:t>
      </w:r>
      <w:r w:rsidR="009073B4" w:rsidRPr="009073B4">
        <w:rPr>
          <w:rFonts w:eastAsia="Times New Roman"/>
        </w:rPr>
        <w:t xml:space="preserve">years after the </w:t>
      </w:r>
      <w:r w:rsidR="00594758">
        <w:rPr>
          <w:rFonts w:eastAsia="Times New Roman"/>
        </w:rPr>
        <w:t>A</w:t>
      </w:r>
      <w:r w:rsidR="009073B4" w:rsidRPr="009073B4">
        <w:rPr>
          <w:rFonts w:eastAsia="Times New Roman"/>
        </w:rPr>
        <w:t>ccident</w:t>
      </w:r>
      <w:r w:rsidR="003A647F">
        <w:rPr>
          <w:rFonts w:eastAsia="Times New Roman"/>
        </w:rPr>
        <w:t xml:space="preserve">, an </w:t>
      </w:r>
      <w:r w:rsidR="008944AD">
        <w:rPr>
          <w:rFonts w:eastAsia="Times New Roman"/>
        </w:rPr>
        <w:t xml:space="preserve">already </w:t>
      </w:r>
      <w:r w:rsidR="003A647F">
        <w:rPr>
          <w:rFonts w:eastAsia="Times New Roman"/>
        </w:rPr>
        <w:t>unacceptable delay on any account</w:t>
      </w:r>
      <w:r w:rsidR="007B3894">
        <w:rPr>
          <w:rFonts w:eastAsia="Times New Roman"/>
        </w:rPr>
        <w:t xml:space="preserve"> for a </w:t>
      </w:r>
      <w:r w:rsidR="00E01907">
        <w:rPr>
          <w:rFonts w:eastAsia="Times New Roman"/>
        </w:rPr>
        <w:t xml:space="preserve">simple and </w:t>
      </w:r>
      <w:r w:rsidR="007B3894">
        <w:rPr>
          <w:rFonts w:eastAsia="Times New Roman"/>
        </w:rPr>
        <w:t xml:space="preserve">straightforward </w:t>
      </w:r>
      <w:r w:rsidR="003C5A9E">
        <w:rPr>
          <w:rFonts w:eastAsia="Times New Roman"/>
        </w:rPr>
        <w:t>case</w:t>
      </w:r>
      <w:r w:rsidR="0025375A">
        <w:rPr>
          <w:rFonts w:eastAsia="Times New Roman"/>
        </w:rPr>
        <w:t xml:space="preserve"> </w:t>
      </w:r>
      <w:r w:rsidR="007B3894">
        <w:rPr>
          <w:rFonts w:eastAsia="Times New Roman"/>
        </w:rPr>
        <w:t>like this</w:t>
      </w:r>
      <w:r w:rsidR="003A647F">
        <w:rPr>
          <w:rFonts w:eastAsia="Times New Roman"/>
        </w:rPr>
        <w:t>.</w:t>
      </w:r>
      <w:r w:rsidR="00594758">
        <w:rPr>
          <w:rFonts w:eastAsia="Times New Roman"/>
        </w:rPr>
        <w:t xml:space="preserve"> </w:t>
      </w:r>
    </w:p>
    <w:p w14:paraId="33D0CBFA" w14:textId="77777777" w:rsidR="009073B4" w:rsidRDefault="009073B4" w:rsidP="003F06D9">
      <w:pPr>
        <w:pStyle w:val="ListParagraph"/>
        <w:spacing w:line="360" w:lineRule="auto"/>
      </w:pPr>
    </w:p>
    <w:p w14:paraId="56CFB51F" w14:textId="160837AD" w:rsidR="00F35F6D" w:rsidRPr="00F35F6D" w:rsidRDefault="003A647F" w:rsidP="003F06D9">
      <w:pPr>
        <w:pStyle w:val="ListParagraph"/>
        <w:numPr>
          <w:ilvl w:val="0"/>
          <w:numId w:val="30"/>
        </w:numPr>
        <w:tabs>
          <w:tab w:val="clear" w:pos="4320"/>
          <w:tab w:val="clear" w:pos="9072"/>
        </w:tabs>
        <w:snapToGrid/>
        <w:spacing w:line="360" w:lineRule="auto"/>
        <w:ind w:left="0" w:right="-64" w:firstLine="0"/>
        <w:jc w:val="both"/>
        <w:rPr>
          <w:szCs w:val="28"/>
        </w:rPr>
      </w:pPr>
      <w:r>
        <w:rPr>
          <w:rFonts w:eastAsia="Times New Roman"/>
          <w:szCs w:val="28"/>
        </w:rPr>
        <w:lastRenderedPageBreak/>
        <w:t>Hence, t</w:t>
      </w:r>
      <w:r w:rsidR="009073B4" w:rsidRPr="009073B4">
        <w:rPr>
          <w:rFonts w:eastAsia="Times New Roman"/>
          <w:szCs w:val="28"/>
        </w:rPr>
        <w:t xml:space="preserve">he </w:t>
      </w:r>
      <w:r w:rsidR="001F2B61">
        <w:rPr>
          <w:rFonts w:eastAsia="Times New Roman"/>
          <w:szCs w:val="28"/>
        </w:rPr>
        <w:t>Master</w:t>
      </w:r>
      <w:r w:rsidR="009073B4" w:rsidRPr="009073B4">
        <w:rPr>
          <w:rFonts w:eastAsia="Times New Roman"/>
          <w:szCs w:val="28"/>
        </w:rPr>
        <w:t xml:space="preserve"> made </w:t>
      </w:r>
      <w:r>
        <w:rPr>
          <w:rFonts w:eastAsia="Times New Roman"/>
          <w:szCs w:val="28"/>
        </w:rPr>
        <w:t xml:space="preserve">an </w:t>
      </w:r>
      <w:r w:rsidR="00696318">
        <w:rPr>
          <w:rFonts w:eastAsia="Times New Roman"/>
          <w:szCs w:val="28"/>
        </w:rPr>
        <w:t>o</w:t>
      </w:r>
      <w:r w:rsidR="009073B4" w:rsidRPr="009073B4">
        <w:rPr>
          <w:rFonts w:eastAsia="Times New Roman"/>
          <w:szCs w:val="28"/>
        </w:rPr>
        <w:t xml:space="preserve">rder requiring </w:t>
      </w:r>
      <w:r>
        <w:rPr>
          <w:rFonts w:eastAsia="Times New Roman"/>
          <w:szCs w:val="28"/>
        </w:rPr>
        <w:t xml:space="preserve">the </w:t>
      </w:r>
      <w:r w:rsidR="009073B4" w:rsidRPr="009073B4">
        <w:rPr>
          <w:rFonts w:eastAsia="Times New Roman"/>
          <w:szCs w:val="28"/>
        </w:rPr>
        <w:t xml:space="preserve">parties to report </w:t>
      </w:r>
      <w:r w:rsidR="001F2B61">
        <w:rPr>
          <w:rFonts w:eastAsia="Times New Roman"/>
          <w:szCs w:val="28"/>
        </w:rPr>
        <w:t xml:space="preserve">to the Court </w:t>
      </w:r>
      <w:r w:rsidR="009073B4" w:rsidRPr="009073B4">
        <w:rPr>
          <w:rFonts w:eastAsia="Times New Roman"/>
          <w:szCs w:val="28"/>
        </w:rPr>
        <w:t>the arrangement of the ENT examination within 35 days</w:t>
      </w:r>
      <w:r>
        <w:rPr>
          <w:rFonts w:eastAsia="Times New Roman"/>
          <w:szCs w:val="28"/>
        </w:rPr>
        <w:t xml:space="preserve">.  The </w:t>
      </w:r>
      <w:r w:rsidR="005B0D5B">
        <w:rPr>
          <w:rFonts w:eastAsia="Times New Roman"/>
          <w:szCs w:val="28"/>
        </w:rPr>
        <w:t>M</w:t>
      </w:r>
      <w:r>
        <w:rPr>
          <w:rFonts w:eastAsia="Times New Roman"/>
          <w:szCs w:val="28"/>
        </w:rPr>
        <w:t>aster</w:t>
      </w:r>
      <w:r w:rsidR="009073B4" w:rsidRPr="009073B4">
        <w:rPr>
          <w:rFonts w:eastAsia="Times New Roman"/>
          <w:szCs w:val="28"/>
        </w:rPr>
        <w:t xml:space="preserve"> </w:t>
      </w:r>
      <w:r>
        <w:rPr>
          <w:rFonts w:eastAsia="Times New Roman"/>
          <w:szCs w:val="28"/>
        </w:rPr>
        <w:t xml:space="preserve">also </w:t>
      </w:r>
      <w:r w:rsidR="009073B4" w:rsidRPr="009073B4">
        <w:rPr>
          <w:rFonts w:eastAsia="Times New Roman"/>
          <w:szCs w:val="28"/>
        </w:rPr>
        <w:t>deliberately set a short adjournment date for the</w:t>
      </w:r>
      <w:r>
        <w:rPr>
          <w:rFonts w:eastAsia="Times New Roman"/>
          <w:szCs w:val="28"/>
        </w:rPr>
        <w:t xml:space="preserve"> parties</w:t>
      </w:r>
      <w:r w:rsidR="009073B4" w:rsidRPr="009073B4">
        <w:rPr>
          <w:rFonts w:eastAsia="Times New Roman"/>
          <w:szCs w:val="28"/>
        </w:rPr>
        <w:t xml:space="preserve"> to come back </w:t>
      </w:r>
      <w:r w:rsidR="001F2B61">
        <w:rPr>
          <w:rFonts w:eastAsia="Times New Roman"/>
          <w:szCs w:val="28"/>
        </w:rPr>
        <w:t xml:space="preserve">to report to </w:t>
      </w:r>
      <w:r w:rsidR="0025375A">
        <w:rPr>
          <w:rFonts w:eastAsia="Times New Roman"/>
          <w:szCs w:val="28"/>
        </w:rPr>
        <w:t>the Court</w:t>
      </w:r>
      <w:r w:rsidR="001F2B61">
        <w:rPr>
          <w:rFonts w:eastAsia="Times New Roman"/>
          <w:szCs w:val="28"/>
        </w:rPr>
        <w:t xml:space="preserve"> of the progress of the case </w:t>
      </w:r>
      <w:r w:rsidR="009073B4" w:rsidRPr="009073B4">
        <w:rPr>
          <w:rFonts w:eastAsia="Times New Roman"/>
          <w:szCs w:val="28"/>
        </w:rPr>
        <w:t>in early Feb</w:t>
      </w:r>
      <w:r w:rsidR="009073B4">
        <w:rPr>
          <w:rFonts w:eastAsia="Times New Roman"/>
          <w:szCs w:val="28"/>
        </w:rPr>
        <w:t>ruary</w:t>
      </w:r>
      <w:r w:rsidR="009073B4" w:rsidRPr="009073B4">
        <w:rPr>
          <w:rFonts w:eastAsia="Times New Roman"/>
          <w:szCs w:val="28"/>
        </w:rPr>
        <w:t xml:space="preserve"> 2022. </w:t>
      </w:r>
      <w:r>
        <w:rPr>
          <w:rFonts w:eastAsia="Times New Roman"/>
          <w:szCs w:val="28"/>
        </w:rPr>
        <w:t xml:space="preserve"> </w:t>
      </w:r>
    </w:p>
    <w:p w14:paraId="79643DC6" w14:textId="77777777" w:rsidR="00F35F6D" w:rsidRPr="00F35F6D" w:rsidRDefault="00F35F6D" w:rsidP="003F06D9">
      <w:pPr>
        <w:pStyle w:val="ListParagraph"/>
        <w:spacing w:line="360" w:lineRule="auto"/>
        <w:rPr>
          <w:rFonts w:eastAsia="Times New Roman"/>
          <w:szCs w:val="28"/>
        </w:rPr>
      </w:pPr>
    </w:p>
    <w:p w14:paraId="6C2E02D8" w14:textId="44E311D3" w:rsidR="009073B4" w:rsidRPr="009073B4" w:rsidRDefault="003A647F" w:rsidP="003F06D9">
      <w:pPr>
        <w:pStyle w:val="ListParagraph"/>
        <w:numPr>
          <w:ilvl w:val="0"/>
          <w:numId w:val="30"/>
        </w:numPr>
        <w:tabs>
          <w:tab w:val="clear" w:pos="4320"/>
          <w:tab w:val="clear" w:pos="9072"/>
        </w:tabs>
        <w:snapToGrid/>
        <w:spacing w:line="360" w:lineRule="auto"/>
        <w:ind w:left="0" w:right="-64" w:firstLine="0"/>
        <w:jc w:val="both"/>
        <w:rPr>
          <w:szCs w:val="28"/>
        </w:rPr>
      </w:pPr>
      <w:r>
        <w:rPr>
          <w:rFonts w:eastAsia="Times New Roman"/>
          <w:szCs w:val="28"/>
        </w:rPr>
        <w:t>How</w:t>
      </w:r>
      <w:r w:rsidR="000529A0">
        <w:rPr>
          <w:rFonts w:eastAsia="Times New Roman"/>
          <w:szCs w:val="28"/>
        </w:rPr>
        <w:t>ever,</w:t>
      </w:r>
      <w:r>
        <w:rPr>
          <w:rFonts w:eastAsia="Times New Roman"/>
          <w:szCs w:val="28"/>
        </w:rPr>
        <w:t xml:space="preserve"> </w:t>
      </w:r>
      <w:r w:rsidR="00E01907">
        <w:rPr>
          <w:rFonts w:eastAsia="Times New Roman"/>
          <w:szCs w:val="28"/>
        </w:rPr>
        <w:t>despite of the</w:t>
      </w:r>
      <w:r w:rsidR="003C5A9E">
        <w:rPr>
          <w:rFonts w:eastAsia="Times New Roman"/>
          <w:szCs w:val="28"/>
        </w:rPr>
        <w:t xml:space="preserve"> O</w:t>
      </w:r>
      <w:r w:rsidR="001F2B61">
        <w:rPr>
          <w:rFonts w:eastAsia="Times New Roman"/>
          <w:szCs w:val="28"/>
        </w:rPr>
        <w:t>rder</w:t>
      </w:r>
      <w:r w:rsidR="0025375A">
        <w:rPr>
          <w:rFonts w:eastAsia="Times New Roman"/>
          <w:szCs w:val="28"/>
        </w:rPr>
        <w:t>s</w:t>
      </w:r>
      <w:r w:rsidR="001F2B61">
        <w:rPr>
          <w:rFonts w:eastAsia="Times New Roman"/>
          <w:szCs w:val="28"/>
        </w:rPr>
        <w:t xml:space="preserve"> </w:t>
      </w:r>
      <w:r w:rsidR="003C5A9E">
        <w:rPr>
          <w:rFonts w:eastAsia="Times New Roman"/>
          <w:szCs w:val="28"/>
        </w:rPr>
        <w:t xml:space="preserve">made by </w:t>
      </w:r>
      <w:r w:rsidR="001F2B61">
        <w:rPr>
          <w:rFonts w:eastAsia="Times New Roman"/>
          <w:szCs w:val="28"/>
        </w:rPr>
        <w:t xml:space="preserve">the Master, </w:t>
      </w:r>
      <w:r>
        <w:rPr>
          <w:rFonts w:eastAsia="Times New Roman"/>
          <w:szCs w:val="28"/>
        </w:rPr>
        <w:t>the p</w:t>
      </w:r>
      <w:r w:rsidR="009073B4" w:rsidRPr="009073B4">
        <w:rPr>
          <w:rFonts w:eastAsia="Times New Roman"/>
          <w:szCs w:val="28"/>
        </w:rPr>
        <w:t>arties did not report anything in respect of the ENT exam</w:t>
      </w:r>
      <w:r w:rsidR="00F35F6D">
        <w:rPr>
          <w:rFonts w:eastAsia="Times New Roman"/>
          <w:szCs w:val="28"/>
        </w:rPr>
        <w:t>ination</w:t>
      </w:r>
      <w:r w:rsidR="008944AD">
        <w:rPr>
          <w:rFonts w:eastAsia="Times New Roman"/>
          <w:szCs w:val="28"/>
        </w:rPr>
        <w:t>,</w:t>
      </w:r>
      <w:r w:rsidR="009073B4" w:rsidRPr="009073B4">
        <w:rPr>
          <w:rFonts w:eastAsia="Times New Roman"/>
          <w:szCs w:val="28"/>
        </w:rPr>
        <w:t xml:space="preserve"> but </w:t>
      </w:r>
      <w:r w:rsidR="001F2B61">
        <w:rPr>
          <w:rFonts w:eastAsia="Times New Roman"/>
          <w:szCs w:val="28"/>
        </w:rPr>
        <w:t xml:space="preserve">instead </w:t>
      </w:r>
      <w:r w:rsidR="009073B4" w:rsidRPr="009073B4">
        <w:rPr>
          <w:rFonts w:eastAsia="Times New Roman"/>
          <w:szCs w:val="28"/>
        </w:rPr>
        <w:t>a joint lette</w:t>
      </w:r>
      <w:r w:rsidR="009073B4">
        <w:rPr>
          <w:rFonts w:eastAsia="Times New Roman"/>
          <w:szCs w:val="28"/>
        </w:rPr>
        <w:t>r dated 19 November 2021</w:t>
      </w:r>
      <w:r w:rsidR="009073B4" w:rsidRPr="009073B4">
        <w:rPr>
          <w:rFonts w:eastAsia="Times New Roman"/>
          <w:szCs w:val="28"/>
        </w:rPr>
        <w:t xml:space="preserve"> </w:t>
      </w:r>
      <w:r w:rsidR="008944AD">
        <w:rPr>
          <w:rFonts w:eastAsia="Times New Roman"/>
          <w:szCs w:val="28"/>
        </w:rPr>
        <w:t xml:space="preserve">(“the Joint Letter”) </w:t>
      </w:r>
      <w:r w:rsidR="001F2B61">
        <w:rPr>
          <w:rFonts w:eastAsia="Times New Roman"/>
          <w:szCs w:val="28"/>
        </w:rPr>
        <w:t>was sent</w:t>
      </w:r>
      <w:r w:rsidR="009073B4" w:rsidRPr="009073B4">
        <w:rPr>
          <w:rFonts w:eastAsia="Times New Roman"/>
          <w:szCs w:val="28"/>
        </w:rPr>
        <w:t xml:space="preserve"> </w:t>
      </w:r>
      <w:r w:rsidR="003C5A9E">
        <w:rPr>
          <w:rFonts w:eastAsia="Times New Roman"/>
          <w:szCs w:val="28"/>
        </w:rPr>
        <w:t xml:space="preserve">to the Court, mentioning </w:t>
      </w:r>
      <w:r w:rsidR="00756758">
        <w:rPr>
          <w:rFonts w:eastAsia="Times New Roman"/>
          <w:szCs w:val="28"/>
        </w:rPr>
        <w:t xml:space="preserve">some </w:t>
      </w:r>
      <w:r w:rsidR="009073B4" w:rsidRPr="009073B4">
        <w:rPr>
          <w:rFonts w:eastAsia="Times New Roman"/>
          <w:szCs w:val="28"/>
        </w:rPr>
        <w:t>non</w:t>
      </w:r>
      <w:r>
        <w:rPr>
          <w:rFonts w:eastAsia="Times New Roman"/>
          <w:szCs w:val="28"/>
        </w:rPr>
        <w:t>essential</w:t>
      </w:r>
      <w:r w:rsidR="009073B4" w:rsidRPr="009073B4">
        <w:rPr>
          <w:rFonts w:eastAsia="Times New Roman"/>
          <w:szCs w:val="28"/>
        </w:rPr>
        <w:t xml:space="preserve"> </w:t>
      </w:r>
      <w:r w:rsidR="00756758">
        <w:rPr>
          <w:rFonts w:eastAsia="Times New Roman"/>
          <w:szCs w:val="28"/>
        </w:rPr>
        <w:t>matters</w:t>
      </w:r>
      <w:r>
        <w:rPr>
          <w:rFonts w:eastAsia="Times New Roman"/>
          <w:szCs w:val="28"/>
        </w:rPr>
        <w:t>:</w:t>
      </w:r>
      <w:r w:rsidR="009073B4" w:rsidRPr="009073B4">
        <w:rPr>
          <w:rFonts w:eastAsia="Times New Roman"/>
          <w:szCs w:val="28"/>
        </w:rPr>
        <w:t xml:space="preserve"> </w:t>
      </w:r>
      <w:r w:rsidR="003C5A9E">
        <w:rPr>
          <w:rFonts w:eastAsia="Times New Roman"/>
          <w:szCs w:val="28"/>
        </w:rPr>
        <w:t>(</w:t>
      </w:r>
      <w:r w:rsidR="009073B4" w:rsidRPr="009073B4">
        <w:rPr>
          <w:rFonts w:eastAsia="Times New Roman"/>
          <w:szCs w:val="28"/>
        </w:rPr>
        <w:t xml:space="preserve">See </w:t>
      </w:r>
      <w:r>
        <w:rPr>
          <w:rFonts w:eastAsia="Times New Roman"/>
          <w:szCs w:val="28"/>
        </w:rPr>
        <w:t xml:space="preserve">the </w:t>
      </w:r>
      <w:r w:rsidR="009073B4" w:rsidRPr="009073B4">
        <w:rPr>
          <w:rFonts w:eastAsia="Times New Roman"/>
          <w:szCs w:val="28"/>
        </w:rPr>
        <w:t>Court</w:t>
      </w:r>
      <w:r>
        <w:rPr>
          <w:rFonts w:eastAsia="Times New Roman"/>
          <w:szCs w:val="28"/>
        </w:rPr>
        <w:t>’s</w:t>
      </w:r>
      <w:r w:rsidR="00DC47C1">
        <w:rPr>
          <w:rFonts w:eastAsia="Times New Roman"/>
          <w:szCs w:val="28"/>
        </w:rPr>
        <w:t xml:space="preserve"> written</w:t>
      </w:r>
      <w:r w:rsidR="009073B4" w:rsidRPr="009073B4">
        <w:rPr>
          <w:rFonts w:eastAsia="Times New Roman"/>
          <w:szCs w:val="28"/>
        </w:rPr>
        <w:t xml:space="preserve"> </w:t>
      </w:r>
      <w:r>
        <w:rPr>
          <w:rFonts w:eastAsia="Times New Roman"/>
          <w:szCs w:val="28"/>
        </w:rPr>
        <w:t>r</w:t>
      </w:r>
      <w:r w:rsidR="009073B4" w:rsidRPr="009073B4">
        <w:rPr>
          <w:rFonts w:eastAsia="Times New Roman"/>
          <w:szCs w:val="28"/>
        </w:rPr>
        <w:t xml:space="preserve">emarks </w:t>
      </w:r>
      <w:r w:rsidR="00BE3F32">
        <w:rPr>
          <w:rFonts w:eastAsia="Times New Roman"/>
          <w:szCs w:val="28"/>
        </w:rPr>
        <w:t xml:space="preserve">to the parties </w:t>
      </w:r>
      <w:r w:rsidR="009073B4" w:rsidRPr="009073B4">
        <w:rPr>
          <w:rFonts w:eastAsia="Times New Roman"/>
          <w:szCs w:val="28"/>
        </w:rPr>
        <w:t>dated 9 Dec</w:t>
      </w:r>
      <w:r w:rsidR="009073B4">
        <w:rPr>
          <w:rFonts w:eastAsia="Times New Roman"/>
          <w:szCs w:val="28"/>
        </w:rPr>
        <w:t>ember</w:t>
      </w:r>
      <w:r w:rsidR="009073B4" w:rsidRPr="009073B4">
        <w:rPr>
          <w:rFonts w:eastAsia="Times New Roman"/>
          <w:szCs w:val="28"/>
        </w:rPr>
        <w:t xml:space="preserve"> 2021 requiring the</w:t>
      </w:r>
      <w:r>
        <w:rPr>
          <w:rFonts w:eastAsia="Times New Roman"/>
          <w:szCs w:val="28"/>
        </w:rPr>
        <w:t xml:space="preserve"> parties</w:t>
      </w:r>
      <w:r w:rsidR="009073B4" w:rsidRPr="009073B4">
        <w:rPr>
          <w:rFonts w:eastAsia="Times New Roman"/>
          <w:szCs w:val="28"/>
        </w:rPr>
        <w:t xml:space="preserve"> to </w:t>
      </w:r>
      <w:r w:rsidR="00E01907">
        <w:rPr>
          <w:rFonts w:eastAsia="Times New Roman"/>
          <w:szCs w:val="28"/>
        </w:rPr>
        <w:t xml:space="preserve">specifically </w:t>
      </w:r>
      <w:r w:rsidR="009073B4" w:rsidRPr="009073B4">
        <w:rPr>
          <w:rFonts w:eastAsia="Times New Roman"/>
          <w:szCs w:val="28"/>
        </w:rPr>
        <w:t>address the ENT issue.</w:t>
      </w:r>
      <w:r w:rsidR="003C5A9E">
        <w:rPr>
          <w:rFonts w:eastAsia="Times New Roman"/>
          <w:szCs w:val="28"/>
        </w:rPr>
        <w:t>)</w:t>
      </w:r>
    </w:p>
    <w:p w14:paraId="3C3019AF" w14:textId="77777777" w:rsidR="009073B4" w:rsidRPr="009073B4" w:rsidRDefault="009073B4" w:rsidP="003F06D9">
      <w:pPr>
        <w:pStyle w:val="ListParagraph"/>
        <w:spacing w:line="360" w:lineRule="auto"/>
        <w:rPr>
          <w:szCs w:val="28"/>
        </w:rPr>
      </w:pPr>
    </w:p>
    <w:p w14:paraId="1C561E86" w14:textId="1C5885A2" w:rsidR="009073B4" w:rsidRPr="009073B4" w:rsidRDefault="009073B4" w:rsidP="003F06D9">
      <w:pPr>
        <w:pStyle w:val="ListParagraph"/>
        <w:numPr>
          <w:ilvl w:val="0"/>
          <w:numId w:val="30"/>
        </w:numPr>
        <w:tabs>
          <w:tab w:val="clear" w:pos="4320"/>
          <w:tab w:val="clear" w:pos="9072"/>
        </w:tabs>
        <w:snapToGrid/>
        <w:spacing w:line="360" w:lineRule="auto"/>
        <w:ind w:left="0" w:right="-64" w:firstLine="0"/>
        <w:jc w:val="both"/>
        <w:rPr>
          <w:szCs w:val="28"/>
        </w:rPr>
      </w:pPr>
      <w:r w:rsidRPr="009073B4">
        <w:rPr>
          <w:rFonts w:eastAsia="Times New Roman"/>
          <w:szCs w:val="28"/>
        </w:rPr>
        <w:t>Finally, on 5 January 2022, in respon</w:t>
      </w:r>
      <w:r>
        <w:rPr>
          <w:rFonts w:eastAsia="Times New Roman"/>
          <w:szCs w:val="28"/>
        </w:rPr>
        <w:t xml:space="preserve">se to the </w:t>
      </w:r>
      <w:r w:rsidR="003A647F">
        <w:rPr>
          <w:rFonts w:eastAsia="Times New Roman"/>
          <w:szCs w:val="28"/>
        </w:rPr>
        <w:t>C</w:t>
      </w:r>
      <w:r>
        <w:rPr>
          <w:rFonts w:eastAsia="Times New Roman"/>
          <w:szCs w:val="28"/>
        </w:rPr>
        <w:t>ourt</w:t>
      </w:r>
      <w:r w:rsidR="00DF6990" w:rsidRPr="00756758">
        <w:rPr>
          <w:rFonts w:eastAsia="Times New Roman"/>
          <w:szCs w:val="28"/>
        </w:rPr>
        <w:t>’s</w:t>
      </w:r>
      <w:r>
        <w:rPr>
          <w:rFonts w:eastAsia="Times New Roman"/>
          <w:szCs w:val="28"/>
        </w:rPr>
        <w:t xml:space="preserve"> </w:t>
      </w:r>
      <w:r w:rsidR="003A647F">
        <w:rPr>
          <w:rFonts w:eastAsia="Times New Roman"/>
          <w:szCs w:val="28"/>
        </w:rPr>
        <w:t>r</w:t>
      </w:r>
      <w:r>
        <w:rPr>
          <w:rFonts w:eastAsia="Times New Roman"/>
          <w:szCs w:val="28"/>
        </w:rPr>
        <w:t xml:space="preserve">emarks, the </w:t>
      </w:r>
      <w:r w:rsidR="000529A0">
        <w:rPr>
          <w:rFonts w:eastAsia="Times New Roman"/>
          <w:szCs w:val="28"/>
        </w:rPr>
        <w:t>plaintiff</w:t>
      </w:r>
      <w:r>
        <w:rPr>
          <w:rFonts w:eastAsia="Times New Roman"/>
          <w:szCs w:val="28"/>
        </w:rPr>
        <w:t>’</w:t>
      </w:r>
      <w:r w:rsidRPr="009073B4">
        <w:rPr>
          <w:rFonts w:eastAsia="Times New Roman"/>
          <w:szCs w:val="28"/>
        </w:rPr>
        <w:t xml:space="preserve">s </w:t>
      </w:r>
      <w:r w:rsidRPr="009073B4">
        <w:rPr>
          <w:noProof/>
          <w:szCs w:val="28"/>
        </w:rPr>
        <w:drawing>
          <wp:inline distT="0" distB="0" distL="0" distR="0" wp14:anchorId="489FA58B" wp14:editId="2F9EB31E">
            <wp:extent cx="3048" cy="3049"/>
            <wp:effectExtent l="0" t="0" r="0" b="0"/>
            <wp:docPr id="8349" name="Picture 8349"/>
            <wp:cNvGraphicFramePr/>
            <a:graphic xmlns:a="http://schemas.openxmlformats.org/drawingml/2006/main">
              <a:graphicData uri="http://schemas.openxmlformats.org/drawingml/2006/picture">
                <pic:pic xmlns:pic="http://schemas.openxmlformats.org/drawingml/2006/picture">
                  <pic:nvPicPr>
                    <pic:cNvPr id="8349" name="Picture 8349"/>
                    <pic:cNvPicPr/>
                  </pic:nvPicPr>
                  <pic:blipFill>
                    <a:blip r:embed="rId14"/>
                    <a:stretch>
                      <a:fillRect/>
                    </a:stretch>
                  </pic:blipFill>
                  <pic:spPr>
                    <a:xfrm>
                      <a:off x="0" y="0"/>
                      <a:ext cx="3048" cy="3049"/>
                    </a:xfrm>
                    <a:prstGeom prst="rect">
                      <a:avLst/>
                    </a:prstGeom>
                  </pic:spPr>
                </pic:pic>
              </a:graphicData>
            </a:graphic>
          </wp:inline>
        </w:drawing>
      </w:r>
      <w:r w:rsidRPr="009073B4">
        <w:rPr>
          <w:rFonts w:eastAsia="Times New Roman"/>
          <w:szCs w:val="28"/>
        </w:rPr>
        <w:t xml:space="preserve">solicitors wrote to </w:t>
      </w:r>
      <w:r w:rsidR="00F35F6D">
        <w:rPr>
          <w:rFonts w:eastAsia="Times New Roman"/>
          <w:szCs w:val="28"/>
        </w:rPr>
        <w:t xml:space="preserve">the </w:t>
      </w:r>
      <w:r w:rsidR="00696318">
        <w:rPr>
          <w:rFonts w:eastAsia="Times New Roman"/>
          <w:szCs w:val="28"/>
        </w:rPr>
        <w:t>Master</w:t>
      </w:r>
      <w:r w:rsidR="00756758">
        <w:rPr>
          <w:rFonts w:eastAsia="Times New Roman"/>
          <w:szCs w:val="28"/>
        </w:rPr>
        <w:t>,</w:t>
      </w:r>
      <w:r w:rsidRPr="009073B4">
        <w:rPr>
          <w:rFonts w:eastAsia="Times New Roman"/>
          <w:szCs w:val="28"/>
        </w:rPr>
        <w:t xml:space="preserve"> enclosing their </w:t>
      </w:r>
      <w:r w:rsidR="00F35F6D">
        <w:rPr>
          <w:rFonts w:eastAsia="Times New Roman"/>
          <w:szCs w:val="28"/>
        </w:rPr>
        <w:t>“</w:t>
      </w:r>
      <w:r w:rsidRPr="009073B4">
        <w:rPr>
          <w:rFonts w:eastAsia="Times New Roman"/>
          <w:szCs w:val="28"/>
          <w:u w:color="000000"/>
        </w:rPr>
        <w:t>draft directions</w:t>
      </w:r>
      <w:r w:rsidR="00F35F6D">
        <w:rPr>
          <w:rFonts w:eastAsia="Times New Roman"/>
          <w:szCs w:val="28"/>
          <w:u w:color="000000"/>
        </w:rPr>
        <w:t>”</w:t>
      </w:r>
      <w:r w:rsidRPr="009073B4">
        <w:rPr>
          <w:rFonts w:eastAsia="Times New Roman"/>
          <w:szCs w:val="28"/>
          <w:u w:color="000000"/>
        </w:rPr>
        <w:t xml:space="preserve"> for the </w:t>
      </w:r>
      <w:r w:rsidR="00756758">
        <w:rPr>
          <w:rFonts w:eastAsia="Times New Roman"/>
          <w:szCs w:val="28"/>
          <w:u w:color="000000"/>
        </w:rPr>
        <w:t xml:space="preserve">consent of the </w:t>
      </w:r>
      <w:r w:rsidR="00F35F6D">
        <w:rPr>
          <w:rFonts w:eastAsia="Times New Roman"/>
          <w:szCs w:val="28"/>
          <w:u w:color="000000"/>
        </w:rPr>
        <w:t>defendant</w:t>
      </w:r>
      <w:r>
        <w:rPr>
          <w:rFonts w:eastAsia="Times New Roman"/>
          <w:szCs w:val="28"/>
          <w:u w:color="000000"/>
        </w:rPr>
        <w:t>’</w:t>
      </w:r>
      <w:r w:rsidRPr="009073B4">
        <w:rPr>
          <w:rFonts w:eastAsia="Times New Roman"/>
          <w:szCs w:val="28"/>
          <w:u w:color="000000"/>
        </w:rPr>
        <w:t xml:space="preserve">s </w:t>
      </w:r>
      <w:r>
        <w:rPr>
          <w:rFonts w:eastAsia="Times New Roman"/>
          <w:szCs w:val="28"/>
        </w:rPr>
        <w:t>solicitor</w:t>
      </w:r>
      <w:r w:rsidR="00756758">
        <w:rPr>
          <w:rFonts w:eastAsia="Times New Roman"/>
          <w:szCs w:val="28"/>
        </w:rPr>
        <w:t>s</w:t>
      </w:r>
      <w:r>
        <w:rPr>
          <w:rFonts w:eastAsia="Times New Roman"/>
          <w:szCs w:val="28"/>
        </w:rPr>
        <w:t>,</w:t>
      </w:r>
      <w:r w:rsidRPr="009073B4">
        <w:rPr>
          <w:rFonts w:eastAsia="Times New Roman"/>
          <w:szCs w:val="28"/>
        </w:rPr>
        <w:t xml:space="preserve"> which s</w:t>
      </w:r>
      <w:r w:rsidR="00756758">
        <w:rPr>
          <w:rFonts w:eastAsia="Times New Roman"/>
          <w:szCs w:val="28"/>
        </w:rPr>
        <w:t>tates</w:t>
      </w:r>
      <w:r w:rsidRPr="009073B4">
        <w:rPr>
          <w:rFonts w:eastAsia="Times New Roman"/>
          <w:szCs w:val="28"/>
        </w:rPr>
        <w:t>:</w:t>
      </w:r>
    </w:p>
    <w:p w14:paraId="2EDDCD41" w14:textId="77777777" w:rsidR="009073B4" w:rsidRPr="009073B4" w:rsidRDefault="009073B4" w:rsidP="003F06D9">
      <w:pPr>
        <w:pStyle w:val="ListParagraph"/>
        <w:spacing w:line="360" w:lineRule="auto"/>
        <w:rPr>
          <w:szCs w:val="28"/>
        </w:rPr>
      </w:pPr>
    </w:p>
    <w:p w14:paraId="0E17F089" w14:textId="0F1407B3" w:rsidR="009073B4" w:rsidRPr="009073B4" w:rsidRDefault="009073B4" w:rsidP="003F06D9">
      <w:pPr>
        <w:pStyle w:val="ListParagraph"/>
        <w:numPr>
          <w:ilvl w:val="0"/>
          <w:numId w:val="34"/>
        </w:numPr>
        <w:tabs>
          <w:tab w:val="clear" w:pos="4320"/>
          <w:tab w:val="clear" w:pos="9072"/>
        </w:tabs>
        <w:snapToGrid/>
        <w:spacing w:line="360" w:lineRule="auto"/>
        <w:ind w:left="2160" w:right="-64" w:hanging="720"/>
        <w:jc w:val="both"/>
        <w:rPr>
          <w:szCs w:val="28"/>
        </w:rPr>
      </w:pPr>
      <w:r>
        <w:rPr>
          <w:rFonts w:eastAsia="Times New Roman"/>
          <w:szCs w:val="28"/>
        </w:rPr>
        <w:t>ENT exam</w:t>
      </w:r>
      <w:r w:rsidR="00F35F6D">
        <w:rPr>
          <w:rFonts w:eastAsia="Times New Roman"/>
          <w:szCs w:val="28"/>
        </w:rPr>
        <w:t>ination was</w:t>
      </w:r>
      <w:r>
        <w:rPr>
          <w:rFonts w:eastAsia="Times New Roman"/>
          <w:szCs w:val="28"/>
        </w:rPr>
        <w:t xml:space="preserve"> to be done on 30 December </w:t>
      </w:r>
      <w:r w:rsidRPr="009073B4">
        <w:rPr>
          <w:rFonts w:eastAsia="Times New Roman"/>
          <w:szCs w:val="28"/>
        </w:rPr>
        <w:t>2021;</w:t>
      </w:r>
      <w:r w:rsidR="005753AD">
        <w:rPr>
          <w:rFonts w:eastAsia="Times New Roman"/>
          <w:szCs w:val="28"/>
        </w:rPr>
        <w:t xml:space="preserve"> </w:t>
      </w:r>
      <w:r w:rsidR="003C5A9E">
        <w:rPr>
          <w:rFonts w:eastAsia="Times New Roman"/>
          <w:szCs w:val="28"/>
        </w:rPr>
        <w:t xml:space="preserve">and </w:t>
      </w:r>
    </w:p>
    <w:p w14:paraId="47737AE8" w14:textId="77777777" w:rsidR="009073B4" w:rsidRPr="009073B4" w:rsidRDefault="009073B4" w:rsidP="003F06D9">
      <w:pPr>
        <w:pStyle w:val="ListParagraph"/>
        <w:tabs>
          <w:tab w:val="clear" w:pos="4320"/>
          <w:tab w:val="clear" w:pos="9072"/>
        </w:tabs>
        <w:snapToGrid/>
        <w:spacing w:line="360" w:lineRule="auto"/>
        <w:ind w:left="2160" w:right="-64"/>
        <w:jc w:val="both"/>
        <w:rPr>
          <w:szCs w:val="28"/>
        </w:rPr>
      </w:pPr>
    </w:p>
    <w:p w14:paraId="6C1EB77C" w14:textId="00F2ECC5" w:rsidR="009073B4" w:rsidRPr="000C3E1A" w:rsidRDefault="009073B4" w:rsidP="003F06D9">
      <w:pPr>
        <w:pStyle w:val="ListParagraph"/>
        <w:numPr>
          <w:ilvl w:val="0"/>
          <w:numId w:val="34"/>
        </w:numPr>
        <w:tabs>
          <w:tab w:val="clear" w:pos="4320"/>
          <w:tab w:val="clear" w:pos="9072"/>
        </w:tabs>
        <w:snapToGrid/>
        <w:spacing w:line="360" w:lineRule="auto"/>
        <w:ind w:left="2160" w:right="-64" w:hanging="720"/>
        <w:jc w:val="both"/>
        <w:rPr>
          <w:szCs w:val="28"/>
        </w:rPr>
      </w:pPr>
      <w:r>
        <w:rPr>
          <w:rFonts w:eastAsia="Times New Roman"/>
          <w:szCs w:val="28"/>
        </w:rPr>
        <w:t>Dr</w:t>
      </w:r>
      <w:r w:rsidRPr="009073B4">
        <w:rPr>
          <w:rFonts w:eastAsia="Times New Roman"/>
          <w:szCs w:val="28"/>
        </w:rPr>
        <w:t xml:space="preserve"> Li,</w:t>
      </w:r>
      <w:r>
        <w:rPr>
          <w:rFonts w:eastAsia="Times New Roman"/>
          <w:szCs w:val="28"/>
        </w:rPr>
        <w:t xml:space="preserve"> who’</w:t>
      </w:r>
      <w:r w:rsidRPr="009073B4">
        <w:rPr>
          <w:rFonts w:eastAsia="Times New Roman"/>
          <w:szCs w:val="28"/>
        </w:rPr>
        <w:t xml:space="preserve">s the orthopaedist jointly instructed by parties, </w:t>
      </w:r>
      <w:r w:rsidR="00DF6990" w:rsidRPr="00756758">
        <w:rPr>
          <w:rFonts w:eastAsia="Times New Roman"/>
          <w:szCs w:val="28"/>
        </w:rPr>
        <w:t>“</w:t>
      </w:r>
      <w:r w:rsidRPr="009073B4">
        <w:rPr>
          <w:rFonts w:eastAsia="Times New Roman"/>
          <w:szCs w:val="28"/>
        </w:rPr>
        <w:t xml:space="preserve">is retired and </w:t>
      </w:r>
      <w:r w:rsidR="00F35F6D">
        <w:rPr>
          <w:rFonts w:eastAsia="Times New Roman"/>
          <w:szCs w:val="28"/>
        </w:rPr>
        <w:t xml:space="preserve">the </w:t>
      </w:r>
      <w:r w:rsidRPr="009073B4">
        <w:rPr>
          <w:rFonts w:eastAsia="Times New Roman"/>
          <w:szCs w:val="28"/>
        </w:rPr>
        <w:t>par</w:t>
      </w:r>
      <w:r>
        <w:rPr>
          <w:rFonts w:eastAsia="Times New Roman"/>
          <w:szCs w:val="28"/>
        </w:rPr>
        <w:t xml:space="preserve">ties </w:t>
      </w:r>
      <w:r w:rsidRPr="00E01907">
        <w:rPr>
          <w:rFonts w:eastAsia="Times New Roman"/>
          <w:iCs/>
          <w:szCs w:val="28"/>
        </w:rPr>
        <w:t>have</w:t>
      </w:r>
      <w:r w:rsidRPr="00E01907">
        <w:rPr>
          <w:rFonts w:eastAsia="Times New Roman"/>
          <w:szCs w:val="28"/>
        </w:rPr>
        <w:t xml:space="preserve"> </w:t>
      </w:r>
      <w:r>
        <w:rPr>
          <w:rFonts w:eastAsia="Times New Roman"/>
          <w:szCs w:val="28"/>
        </w:rPr>
        <w:t>jointly instructed Dr</w:t>
      </w:r>
      <w:r w:rsidRPr="009073B4">
        <w:rPr>
          <w:rFonts w:eastAsia="Times New Roman"/>
          <w:szCs w:val="28"/>
        </w:rPr>
        <w:t xml:space="preserve"> Peter Tio </w:t>
      </w:r>
      <w:r w:rsidR="00F35F6D">
        <w:rPr>
          <w:rFonts w:eastAsia="Times New Roman"/>
          <w:szCs w:val="28"/>
        </w:rPr>
        <w:t xml:space="preserve">(“Dr Tio”) </w:t>
      </w:r>
      <w:r w:rsidRPr="009073B4">
        <w:rPr>
          <w:rFonts w:eastAsia="Times New Roman"/>
          <w:szCs w:val="28"/>
        </w:rPr>
        <w:t>to do examinati</w:t>
      </w:r>
      <w:r>
        <w:rPr>
          <w:rFonts w:eastAsia="Times New Roman"/>
          <w:szCs w:val="28"/>
        </w:rPr>
        <w:t>on on 7 Jan 2022 in place of Dr Li’s</w:t>
      </w:r>
      <w:r w:rsidR="00F35F6D">
        <w:rPr>
          <w:rFonts w:eastAsia="Times New Roman"/>
          <w:szCs w:val="28"/>
        </w:rPr>
        <w:t>”.</w:t>
      </w:r>
      <w:r w:rsidR="00E01907">
        <w:rPr>
          <w:rFonts w:eastAsia="Times New Roman"/>
          <w:szCs w:val="28"/>
        </w:rPr>
        <w:t xml:space="preserve"> </w:t>
      </w:r>
    </w:p>
    <w:p w14:paraId="38DB7A65" w14:textId="77777777" w:rsidR="003C5A9E" w:rsidRPr="003C5A9E" w:rsidRDefault="003C5A9E" w:rsidP="003F06D9">
      <w:pPr>
        <w:pStyle w:val="ListParagraph"/>
        <w:tabs>
          <w:tab w:val="clear" w:pos="4320"/>
          <w:tab w:val="clear" w:pos="9072"/>
        </w:tabs>
        <w:snapToGrid/>
        <w:spacing w:line="360" w:lineRule="auto"/>
        <w:ind w:left="0" w:right="-64"/>
        <w:jc w:val="both"/>
        <w:rPr>
          <w:szCs w:val="28"/>
        </w:rPr>
      </w:pPr>
    </w:p>
    <w:p w14:paraId="3E650A54" w14:textId="3AA36671" w:rsidR="009073B4" w:rsidRPr="003C5A9E" w:rsidRDefault="00F35F6D" w:rsidP="003F06D9">
      <w:pPr>
        <w:pStyle w:val="ListParagraph"/>
        <w:numPr>
          <w:ilvl w:val="0"/>
          <w:numId w:val="30"/>
        </w:numPr>
        <w:tabs>
          <w:tab w:val="clear" w:pos="4320"/>
          <w:tab w:val="clear" w:pos="9072"/>
        </w:tabs>
        <w:snapToGrid/>
        <w:spacing w:line="360" w:lineRule="auto"/>
        <w:ind w:left="0" w:right="-64" w:firstLine="0"/>
        <w:jc w:val="both"/>
        <w:rPr>
          <w:szCs w:val="28"/>
        </w:rPr>
      </w:pPr>
      <w:r w:rsidRPr="003C5A9E">
        <w:rPr>
          <w:rFonts w:eastAsia="Times New Roman"/>
        </w:rPr>
        <w:t>Thus,</w:t>
      </w:r>
      <w:r w:rsidR="009073B4" w:rsidRPr="003C5A9E">
        <w:rPr>
          <w:rFonts w:eastAsia="Times New Roman"/>
        </w:rPr>
        <w:t xml:space="preserve"> while it is </w:t>
      </w:r>
      <w:r w:rsidR="00E34C80" w:rsidRPr="003C5A9E">
        <w:rPr>
          <w:rFonts w:eastAsia="Times New Roman"/>
        </w:rPr>
        <w:t>not c</w:t>
      </w:r>
      <w:r w:rsidR="00BE3F32" w:rsidRPr="003C5A9E">
        <w:rPr>
          <w:rFonts w:eastAsia="Times New Roman"/>
        </w:rPr>
        <w:t xml:space="preserve">lear </w:t>
      </w:r>
      <w:r w:rsidR="009073B4" w:rsidRPr="003C5A9E">
        <w:rPr>
          <w:rFonts w:eastAsia="Times New Roman"/>
        </w:rPr>
        <w:t xml:space="preserve">whether the </w:t>
      </w:r>
      <w:r w:rsidRPr="003C5A9E">
        <w:rPr>
          <w:rFonts w:eastAsia="Times New Roman"/>
        </w:rPr>
        <w:t xml:space="preserve">defendant </w:t>
      </w:r>
      <w:r w:rsidR="00E34C80" w:rsidRPr="003C5A9E">
        <w:rPr>
          <w:rFonts w:eastAsia="Times New Roman"/>
        </w:rPr>
        <w:t xml:space="preserve">at that stage </w:t>
      </w:r>
      <w:r w:rsidR="009073B4" w:rsidRPr="003C5A9E">
        <w:rPr>
          <w:rFonts w:eastAsia="Times New Roman"/>
        </w:rPr>
        <w:t>ha</w:t>
      </w:r>
      <w:r w:rsidR="005B0D5B" w:rsidRPr="003C5A9E">
        <w:rPr>
          <w:rFonts w:eastAsia="Times New Roman"/>
        </w:rPr>
        <w:t xml:space="preserve">d </w:t>
      </w:r>
      <w:r w:rsidR="00756758" w:rsidRPr="003C5A9E">
        <w:rPr>
          <w:rFonts w:eastAsia="Times New Roman"/>
        </w:rPr>
        <w:t xml:space="preserve">already </w:t>
      </w:r>
      <w:r w:rsidR="009073B4" w:rsidRPr="003C5A9E">
        <w:rPr>
          <w:rFonts w:eastAsia="Times New Roman"/>
        </w:rPr>
        <w:t>agreed to instruct a new orthopaedi</w:t>
      </w:r>
      <w:r w:rsidRPr="003C5A9E">
        <w:rPr>
          <w:rFonts w:eastAsia="Times New Roman"/>
        </w:rPr>
        <w:t>c expert</w:t>
      </w:r>
      <w:r w:rsidR="00756758" w:rsidRPr="003C5A9E">
        <w:rPr>
          <w:rFonts w:eastAsia="Times New Roman"/>
        </w:rPr>
        <w:t xml:space="preserve"> in place of Dr Li</w:t>
      </w:r>
      <w:r w:rsidR="009073B4" w:rsidRPr="003C5A9E">
        <w:rPr>
          <w:rFonts w:eastAsia="Times New Roman"/>
        </w:rPr>
        <w:t xml:space="preserve">, </w:t>
      </w:r>
      <w:r w:rsidRPr="003C5A9E">
        <w:rPr>
          <w:rFonts w:eastAsia="Times New Roman"/>
        </w:rPr>
        <w:t>the</w:t>
      </w:r>
      <w:r w:rsidR="009073B4" w:rsidRPr="003C5A9E">
        <w:rPr>
          <w:rFonts w:eastAsia="Times New Roman"/>
        </w:rPr>
        <w:t xml:space="preserve"> </w:t>
      </w:r>
      <w:r w:rsidRPr="003C5A9E">
        <w:rPr>
          <w:rFonts w:eastAsia="Times New Roman"/>
        </w:rPr>
        <w:t>plaintiff</w:t>
      </w:r>
      <w:r w:rsidR="005B0D5B" w:rsidRPr="003C5A9E">
        <w:rPr>
          <w:rFonts w:eastAsia="Times New Roman"/>
        </w:rPr>
        <w:t xml:space="preserve"> </w:t>
      </w:r>
      <w:r w:rsidR="003C5A9E">
        <w:rPr>
          <w:rFonts w:eastAsia="Times New Roman"/>
        </w:rPr>
        <w:t>decided</w:t>
      </w:r>
      <w:r w:rsidR="009073B4" w:rsidRPr="003C5A9E">
        <w:rPr>
          <w:rFonts w:eastAsia="Times New Roman"/>
        </w:rPr>
        <w:t xml:space="preserve"> to introduce one </w:t>
      </w:r>
      <w:r w:rsidR="00E34C80" w:rsidRPr="003C5A9E">
        <w:rPr>
          <w:rFonts w:eastAsia="Times New Roman"/>
        </w:rPr>
        <w:t>d</w:t>
      </w:r>
      <w:r w:rsidR="00756758" w:rsidRPr="003C5A9E">
        <w:rPr>
          <w:rFonts w:eastAsia="Times New Roman"/>
        </w:rPr>
        <w:t xml:space="preserve">isregard of the 2 very clear </w:t>
      </w:r>
      <w:r w:rsidR="000B004F" w:rsidRPr="003C5A9E">
        <w:rPr>
          <w:rFonts w:eastAsia="Times New Roman"/>
        </w:rPr>
        <w:t>O</w:t>
      </w:r>
      <w:r w:rsidR="00756758" w:rsidRPr="003C5A9E">
        <w:rPr>
          <w:rFonts w:eastAsia="Times New Roman"/>
        </w:rPr>
        <w:t xml:space="preserve">rders </w:t>
      </w:r>
      <w:r w:rsidR="00E34C80" w:rsidRPr="003C5A9E">
        <w:rPr>
          <w:rFonts w:eastAsia="Times New Roman"/>
        </w:rPr>
        <w:t xml:space="preserve">of the </w:t>
      </w:r>
      <w:r w:rsidR="005B0D5B" w:rsidRPr="003C5A9E">
        <w:rPr>
          <w:rFonts w:eastAsia="Times New Roman"/>
        </w:rPr>
        <w:t>M</w:t>
      </w:r>
      <w:r w:rsidR="00E34C80" w:rsidRPr="003C5A9E">
        <w:rPr>
          <w:rFonts w:eastAsia="Times New Roman"/>
        </w:rPr>
        <w:t xml:space="preserve">aster </w:t>
      </w:r>
      <w:r w:rsidR="00BE3F32" w:rsidRPr="003C5A9E">
        <w:rPr>
          <w:rFonts w:eastAsia="Times New Roman"/>
        </w:rPr>
        <w:t xml:space="preserve">of </w:t>
      </w:r>
      <w:r w:rsidR="00E34C80" w:rsidRPr="003C5A9E">
        <w:rPr>
          <w:rFonts w:eastAsia="Times New Roman"/>
        </w:rPr>
        <w:t>not to do so without leave of the Court</w:t>
      </w:r>
      <w:r w:rsidR="005B0D5B" w:rsidRPr="003C5A9E">
        <w:rPr>
          <w:rFonts w:eastAsia="Times New Roman"/>
        </w:rPr>
        <w:t>.</w:t>
      </w:r>
      <w:r w:rsidR="0025375A" w:rsidRPr="003C5A9E">
        <w:rPr>
          <w:rFonts w:eastAsia="Times New Roman"/>
        </w:rPr>
        <w:t xml:space="preserve">  It was also the first</w:t>
      </w:r>
      <w:r w:rsidR="003C5A9E">
        <w:rPr>
          <w:rFonts w:eastAsia="Times New Roman"/>
        </w:rPr>
        <w:t xml:space="preserve"> </w:t>
      </w:r>
      <w:r w:rsidR="003C5A9E">
        <w:rPr>
          <w:rFonts w:eastAsia="Times New Roman"/>
        </w:rPr>
        <w:lastRenderedPageBreak/>
        <w:t xml:space="preserve">time that the Court heard </w:t>
      </w:r>
      <w:r w:rsidR="0025375A" w:rsidRPr="003C5A9E">
        <w:rPr>
          <w:rFonts w:eastAsia="Times New Roman"/>
        </w:rPr>
        <w:t xml:space="preserve">Dr Tio has been appointed in substitution of Dr Li as an </w:t>
      </w:r>
      <w:r w:rsidR="00E01907">
        <w:rPr>
          <w:rFonts w:eastAsia="Times New Roman"/>
        </w:rPr>
        <w:t xml:space="preserve">orthopaedic </w:t>
      </w:r>
      <w:r w:rsidR="0025375A" w:rsidRPr="003C5A9E">
        <w:rPr>
          <w:rFonts w:eastAsia="Times New Roman"/>
        </w:rPr>
        <w:t>expert.</w:t>
      </w:r>
    </w:p>
    <w:p w14:paraId="5ACDEAA9" w14:textId="77777777" w:rsidR="00B71BB1" w:rsidRDefault="00B71BB1" w:rsidP="003F06D9">
      <w:pPr>
        <w:pStyle w:val="ListParagraph"/>
        <w:tabs>
          <w:tab w:val="clear" w:pos="4320"/>
          <w:tab w:val="clear" w:pos="9072"/>
        </w:tabs>
        <w:snapToGrid/>
        <w:spacing w:line="360" w:lineRule="auto"/>
        <w:ind w:left="0" w:right="-64"/>
        <w:jc w:val="both"/>
      </w:pPr>
    </w:p>
    <w:p w14:paraId="17CA225E" w14:textId="78FAAC9A" w:rsidR="005B3BEC" w:rsidRDefault="00696318" w:rsidP="003F06D9">
      <w:pPr>
        <w:pStyle w:val="ListParagraph"/>
        <w:numPr>
          <w:ilvl w:val="0"/>
          <w:numId w:val="30"/>
        </w:numPr>
        <w:tabs>
          <w:tab w:val="clear" w:pos="4320"/>
          <w:tab w:val="clear" w:pos="9072"/>
        </w:tabs>
        <w:snapToGrid/>
        <w:spacing w:line="360" w:lineRule="auto"/>
        <w:ind w:left="0" w:right="-64" w:firstLine="0"/>
        <w:jc w:val="both"/>
      </w:pPr>
      <w:r>
        <w:rPr>
          <w:rFonts w:eastAsia="Times New Roman"/>
        </w:rPr>
        <w:t>Further, i</w:t>
      </w:r>
      <w:r w:rsidR="00F742B9">
        <w:rPr>
          <w:rFonts w:eastAsia="Times New Roman"/>
        </w:rPr>
        <w:t xml:space="preserve">n </w:t>
      </w:r>
      <w:r w:rsidR="00DF6990" w:rsidRPr="00113DF5">
        <w:rPr>
          <w:color w:val="3C4043"/>
          <w:szCs w:val="28"/>
          <w:lang w:eastAsia="zh-HK"/>
        </w:rPr>
        <w:t>§</w:t>
      </w:r>
      <w:r w:rsidR="005B3BEC" w:rsidRPr="005B3BEC">
        <w:rPr>
          <w:rFonts w:eastAsia="Times New Roman"/>
        </w:rPr>
        <w:t>3 of</w:t>
      </w:r>
      <w:r w:rsidR="00B16E1F">
        <w:rPr>
          <w:rFonts w:eastAsia="Times New Roman"/>
        </w:rPr>
        <w:t xml:space="preserve"> </w:t>
      </w:r>
      <w:r w:rsidR="008944AD">
        <w:rPr>
          <w:rFonts w:eastAsia="Times New Roman"/>
        </w:rPr>
        <w:t>the Joint Letter</w:t>
      </w:r>
      <w:r w:rsidR="0025375A">
        <w:rPr>
          <w:rFonts w:eastAsia="Times New Roman"/>
        </w:rPr>
        <w:t>,</w:t>
      </w:r>
      <w:r w:rsidR="005B3BEC" w:rsidRPr="005B3BEC">
        <w:rPr>
          <w:rFonts w:eastAsia="Times New Roman"/>
        </w:rPr>
        <w:t xml:space="preserve"> the </w:t>
      </w:r>
      <w:r w:rsidR="00F742B9">
        <w:rPr>
          <w:rFonts w:eastAsia="Times New Roman"/>
        </w:rPr>
        <w:t>plaintiff</w:t>
      </w:r>
      <w:r w:rsidR="005B3BEC" w:rsidRPr="005B3BEC">
        <w:rPr>
          <w:rFonts w:eastAsia="Times New Roman"/>
        </w:rPr>
        <w:t xml:space="preserve"> listed out all the </w:t>
      </w:r>
      <w:r w:rsidR="00E01907">
        <w:rPr>
          <w:rFonts w:eastAsia="Times New Roman"/>
        </w:rPr>
        <w:t>“</w:t>
      </w:r>
      <w:r w:rsidR="005B3BEC" w:rsidRPr="005B3BEC">
        <w:rPr>
          <w:rFonts w:eastAsia="Times New Roman"/>
        </w:rPr>
        <w:t>new treatments</w:t>
      </w:r>
      <w:r w:rsidR="00E01907">
        <w:rPr>
          <w:rFonts w:eastAsia="Times New Roman"/>
        </w:rPr>
        <w:t>”</w:t>
      </w:r>
      <w:r w:rsidR="005B3BEC" w:rsidRPr="005B3BEC">
        <w:rPr>
          <w:rFonts w:eastAsia="Times New Roman"/>
        </w:rPr>
        <w:t xml:space="preserve"> and </w:t>
      </w:r>
      <w:r w:rsidR="003C5A9E">
        <w:rPr>
          <w:rFonts w:eastAsia="Times New Roman"/>
        </w:rPr>
        <w:t>“</w:t>
      </w:r>
      <w:r w:rsidR="005B3BEC">
        <w:rPr>
          <w:rFonts w:eastAsia="Times New Roman"/>
        </w:rPr>
        <w:t>opinions</w:t>
      </w:r>
      <w:r w:rsidR="003C5A9E">
        <w:rPr>
          <w:rFonts w:eastAsia="Times New Roman"/>
        </w:rPr>
        <w:t>”</w:t>
      </w:r>
      <w:r w:rsidR="005B3BEC">
        <w:rPr>
          <w:rFonts w:eastAsia="Times New Roman"/>
        </w:rPr>
        <w:t xml:space="preserve"> he</w:t>
      </w:r>
      <w:r w:rsidR="00F742B9">
        <w:rPr>
          <w:rFonts w:eastAsia="Times New Roman"/>
        </w:rPr>
        <w:t xml:space="preserve"> was</w:t>
      </w:r>
      <w:r w:rsidR="005B3BEC" w:rsidRPr="005B3BEC">
        <w:rPr>
          <w:rFonts w:eastAsia="Times New Roman"/>
        </w:rPr>
        <w:t xml:space="preserve"> </w:t>
      </w:r>
      <w:r w:rsidR="003C5A9E">
        <w:rPr>
          <w:rFonts w:eastAsia="Times New Roman"/>
        </w:rPr>
        <w:t>receiving</w:t>
      </w:r>
      <w:r w:rsidR="005B3BEC" w:rsidRPr="005B3BEC">
        <w:rPr>
          <w:rFonts w:eastAsia="Times New Roman"/>
        </w:rPr>
        <w:t xml:space="preserve"> and what supplemental reports </w:t>
      </w:r>
      <w:r w:rsidR="008944AD">
        <w:rPr>
          <w:rFonts w:eastAsia="Times New Roman"/>
        </w:rPr>
        <w:t>he was</w:t>
      </w:r>
      <w:r w:rsidR="005B3BEC" w:rsidRPr="005B3BEC">
        <w:rPr>
          <w:rFonts w:eastAsia="Times New Roman"/>
        </w:rPr>
        <w:t xml:space="preserve"> </w:t>
      </w:r>
      <w:r w:rsidR="00F742B9">
        <w:rPr>
          <w:rFonts w:eastAsia="Times New Roman"/>
        </w:rPr>
        <w:t xml:space="preserve">then </w:t>
      </w:r>
      <w:r w:rsidR="005B3BEC" w:rsidRPr="005B3BEC">
        <w:rPr>
          <w:rFonts w:eastAsia="Times New Roman"/>
        </w:rPr>
        <w:t>trying to obtain</w:t>
      </w:r>
      <w:r w:rsidR="00B16E1F">
        <w:rPr>
          <w:rFonts w:eastAsia="Times New Roman"/>
        </w:rPr>
        <w:t xml:space="preserve">.  They were all done </w:t>
      </w:r>
      <w:r w:rsidR="008944AD">
        <w:rPr>
          <w:rFonts w:eastAsia="Times New Roman"/>
        </w:rPr>
        <w:t>without leave of the Court</w:t>
      </w:r>
      <w:r w:rsidR="00113DF5">
        <w:rPr>
          <w:rFonts w:eastAsia="Times New Roman"/>
        </w:rPr>
        <w:t xml:space="preserve"> and without so </w:t>
      </w:r>
      <w:r w:rsidR="008944AD">
        <w:rPr>
          <w:rFonts w:eastAsia="Times New Roman"/>
        </w:rPr>
        <w:t xml:space="preserve">much as </w:t>
      </w:r>
      <w:r w:rsidR="005B3BEC">
        <w:rPr>
          <w:noProof/>
        </w:rPr>
        <w:drawing>
          <wp:inline distT="0" distB="0" distL="0" distR="0" wp14:anchorId="73563DE2" wp14:editId="4E90F732">
            <wp:extent cx="3047" cy="3049"/>
            <wp:effectExtent l="0" t="0" r="0" b="0"/>
            <wp:docPr id="8355" name="Picture 8355"/>
            <wp:cNvGraphicFramePr/>
            <a:graphic xmlns:a="http://schemas.openxmlformats.org/drawingml/2006/main">
              <a:graphicData uri="http://schemas.openxmlformats.org/drawingml/2006/picture">
                <pic:pic xmlns:pic="http://schemas.openxmlformats.org/drawingml/2006/picture">
                  <pic:nvPicPr>
                    <pic:cNvPr id="8355" name="Picture 8355"/>
                    <pic:cNvPicPr/>
                  </pic:nvPicPr>
                  <pic:blipFill>
                    <a:blip r:embed="rId15"/>
                    <a:stretch>
                      <a:fillRect/>
                    </a:stretch>
                  </pic:blipFill>
                  <pic:spPr>
                    <a:xfrm>
                      <a:off x="0" y="0"/>
                      <a:ext cx="3047" cy="3049"/>
                    </a:xfrm>
                    <a:prstGeom prst="rect">
                      <a:avLst/>
                    </a:prstGeom>
                  </pic:spPr>
                </pic:pic>
              </a:graphicData>
            </a:graphic>
          </wp:inline>
        </w:drawing>
      </w:r>
      <w:r w:rsidR="008944AD">
        <w:rPr>
          <w:rFonts w:eastAsia="Times New Roman"/>
        </w:rPr>
        <w:t>the courtesy of informing the Court first</w:t>
      </w:r>
      <w:r w:rsidR="00021175">
        <w:rPr>
          <w:rFonts w:eastAsia="Times New Roman"/>
        </w:rPr>
        <w:t xml:space="preserve"> before doing so</w:t>
      </w:r>
      <w:r w:rsidR="008944AD">
        <w:rPr>
          <w:rFonts w:eastAsia="Times New Roman"/>
        </w:rPr>
        <w:t>.</w:t>
      </w:r>
    </w:p>
    <w:p w14:paraId="3495C206" w14:textId="77777777" w:rsidR="005B3BEC" w:rsidRPr="005B3BEC" w:rsidRDefault="005B3BEC" w:rsidP="003F06D9">
      <w:pPr>
        <w:pStyle w:val="ListParagraph"/>
        <w:spacing w:line="360" w:lineRule="auto"/>
        <w:rPr>
          <w:szCs w:val="28"/>
        </w:rPr>
      </w:pPr>
    </w:p>
    <w:p w14:paraId="704120D7" w14:textId="5AC3AB68" w:rsidR="005B3BEC" w:rsidRPr="005B3BEC" w:rsidRDefault="004B3CD0" w:rsidP="003F06D9">
      <w:pPr>
        <w:pStyle w:val="ListParagraph"/>
        <w:numPr>
          <w:ilvl w:val="0"/>
          <w:numId w:val="30"/>
        </w:numPr>
        <w:tabs>
          <w:tab w:val="clear" w:pos="4320"/>
          <w:tab w:val="clear" w:pos="9072"/>
        </w:tabs>
        <w:snapToGrid/>
        <w:spacing w:line="360" w:lineRule="auto"/>
        <w:ind w:left="0" w:right="-64" w:firstLine="0"/>
        <w:jc w:val="both"/>
        <w:rPr>
          <w:szCs w:val="28"/>
        </w:rPr>
      </w:pPr>
      <w:r>
        <w:rPr>
          <w:rFonts w:eastAsia="Times New Roman"/>
        </w:rPr>
        <w:t>The plaintiff</w:t>
      </w:r>
      <w:r w:rsidR="005B3BEC">
        <w:rPr>
          <w:rFonts w:eastAsia="Times New Roman"/>
        </w:rPr>
        <w:t>’s solicitors</w:t>
      </w:r>
      <w:r>
        <w:rPr>
          <w:rFonts w:eastAsia="Times New Roman"/>
        </w:rPr>
        <w:t xml:space="preserve"> wrote 2 further</w:t>
      </w:r>
      <w:r w:rsidR="005B3BEC" w:rsidRPr="005B3BEC">
        <w:rPr>
          <w:rFonts w:eastAsia="Times New Roman"/>
        </w:rPr>
        <w:t xml:space="preserve"> letters </w:t>
      </w:r>
      <w:r>
        <w:rPr>
          <w:rFonts w:eastAsia="Times New Roman"/>
        </w:rPr>
        <w:t xml:space="preserve">to the Court respectively </w:t>
      </w:r>
      <w:r w:rsidR="00113DF5">
        <w:rPr>
          <w:rFonts w:eastAsia="Times New Roman"/>
        </w:rPr>
        <w:t>on</w:t>
      </w:r>
      <w:r w:rsidR="005B3BEC" w:rsidRPr="005B3BEC">
        <w:rPr>
          <w:rFonts w:eastAsia="Times New Roman"/>
        </w:rPr>
        <w:t xml:space="preserve"> 5</w:t>
      </w:r>
      <w:r w:rsidR="005B3BEC" w:rsidRPr="005B3BEC">
        <w:rPr>
          <w:rFonts w:eastAsia="Times New Roman"/>
          <w:vertAlign w:val="superscript"/>
        </w:rPr>
        <w:t xml:space="preserve"> </w:t>
      </w:r>
      <w:r w:rsidR="005B3BEC" w:rsidRPr="005B3BEC">
        <w:rPr>
          <w:rFonts w:eastAsia="Times New Roman"/>
        </w:rPr>
        <w:t>and 7</w:t>
      </w:r>
      <w:r w:rsidR="005B3BEC" w:rsidRPr="005B3BEC">
        <w:rPr>
          <w:rFonts w:eastAsia="Times New Roman"/>
          <w:vertAlign w:val="superscript"/>
        </w:rPr>
        <w:t xml:space="preserve"> </w:t>
      </w:r>
      <w:r w:rsidR="005B3BEC">
        <w:rPr>
          <w:rFonts w:eastAsia="Times New Roman"/>
        </w:rPr>
        <w:t>January 2022</w:t>
      </w:r>
      <w:r>
        <w:rPr>
          <w:rFonts w:eastAsia="Times New Roman"/>
        </w:rPr>
        <w:t>.</w:t>
      </w:r>
      <w:r w:rsidR="005B3BEC">
        <w:rPr>
          <w:rFonts w:eastAsia="Times New Roman"/>
        </w:rPr>
        <w:t xml:space="preserve"> </w:t>
      </w:r>
      <w:r>
        <w:rPr>
          <w:rFonts w:eastAsia="Times New Roman"/>
        </w:rPr>
        <w:t>T</w:t>
      </w:r>
      <w:r w:rsidR="005B3BEC">
        <w:rPr>
          <w:rFonts w:eastAsia="Times New Roman"/>
        </w:rPr>
        <w:t xml:space="preserve">he </w:t>
      </w:r>
      <w:r>
        <w:rPr>
          <w:rFonts w:eastAsia="Times New Roman"/>
        </w:rPr>
        <w:t>defendant</w:t>
      </w:r>
      <w:r w:rsidR="005B3BEC">
        <w:rPr>
          <w:rFonts w:eastAsia="Times New Roman"/>
        </w:rPr>
        <w:t xml:space="preserve"> solicitors</w:t>
      </w:r>
      <w:r w:rsidR="005B3BEC" w:rsidRPr="005B3BEC">
        <w:rPr>
          <w:rFonts w:eastAsia="Times New Roman"/>
        </w:rPr>
        <w:t xml:space="preserve"> </w:t>
      </w:r>
      <w:r>
        <w:rPr>
          <w:rFonts w:eastAsia="Times New Roman"/>
        </w:rPr>
        <w:t xml:space="preserve">wrote a similar </w:t>
      </w:r>
      <w:r w:rsidR="005B3BEC" w:rsidRPr="005B3BEC">
        <w:rPr>
          <w:rFonts w:eastAsia="Times New Roman"/>
        </w:rPr>
        <w:t xml:space="preserve">letter </w:t>
      </w:r>
      <w:r>
        <w:rPr>
          <w:rFonts w:eastAsia="Times New Roman"/>
        </w:rPr>
        <w:t xml:space="preserve">to the Court </w:t>
      </w:r>
      <w:r w:rsidR="00113DF5">
        <w:rPr>
          <w:rFonts w:eastAsia="Times New Roman"/>
        </w:rPr>
        <w:t>on</w:t>
      </w:r>
      <w:r w:rsidR="005B3BEC" w:rsidRPr="005B3BEC">
        <w:rPr>
          <w:rFonts w:eastAsia="Times New Roman"/>
        </w:rPr>
        <w:t xml:space="preserve"> 6 January 2022.</w:t>
      </w:r>
      <w:r w:rsidR="005B3BEC">
        <w:rPr>
          <w:noProof/>
        </w:rPr>
        <w:drawing>
          <wp:inline distT="0" distB="0" distL="0" distR="0" wp14:anchorId="2A6808D1" wp14:editId="7426F09F">
            <wp:extent cx="3048" cy="3049"/>
            <wp:effectExtent l="0" t="0" r="0" b="0"/>
            <wp:docPr id="10463" name="Picture 10463"/>
            <wp:cNvGraphicFramePr/>
            <a:graphic xmlns:a="http://schemas.openxmlformats.org/drawingml/2006/main">
              <a:graphicData uri="http://schemas.openxmlformats.org/drawingml/2006/picture">
                <pic:pic xmlns:pic="http://schemas.openxmlformats.org/drawingml/2006/picture">
                  <pic:nvPicPr>
                    <pic:cNvPr id="10463" name="Picture 10463"/>
                    <pic:cNvPicPr/>
                  </pic:nvPicPr>
                  <pic:blipFill>
                    <a:blip r:embed="rId15"/>
                    <a:stretch>
                      <a:fillRect/>
                    </a:stretch>
                  </pic:blipFill>
                  <pic:spPr>
                    <a:xfrm>
                      <a:off x="0" y="0"/>
                      <a:ext cx="3048" cy="3049"/>
                    </a:xfrm>
                    <a:prstGeom prst="rect">
                      <a:avLst/>
                    </a:prstGeom>
                  </pic:spPr>
                </pic:pic>
              </a:graphicData>
            </a:graphic>
          </wp:inline>
        </w:drawing>
      </w:r>
    </w:p>
    <w:p w14:paraId="0D95CEF2" w14:textId="77777777" w:rsidR="005B3BEC" w:rsidRPr="005B3BEC" w:rsidRDefault="005B3BEC" w:rsidP="003F06D9">
      <w:pPr>
        <w:pStyle w:val="ListParagraph"/>
        <w:spacing w:line="360" w:lineRule="auto"/>
        <w:rPr>
          <w:szCs w:val="28"/>
        </w:rPr>
      </w:pPr>
    </w:p>
    <w:p w14:paraId="4730D0B0" w14:textId="406C5F2E" w:rsidR="005B3BEC" w:rsidRPr="004404A9" w:rsidRDefault="005B3BEC" w:rsidP="003F06D9">
      <w:pPr>
        <w:pStyle w:val="ListParagraph"/>
        <w:numPr>
          <w:ilvl w:val="0"/>
          <w:numId w:val="30"/>
        </w:numPr>
        <w:tabs>
          <w:tab w:val="clear" w:pos="4320"/>
          <w:tab w:val="clear" w:pos="9072"/>
        </w:tabs>
        <w:snapToGrid/>
        <w:spacing w:line="360" w:lineRule="auto"/>
        <w:ind w:left="0" w:right="-64" w:firstLine="0"/>
        <w:jc w:val="both"/>
        <w:rPr>
          <w:szCs w:val="28"/>
        </w:rPr>
      </w:pPr>
      <w:r>
        <w:rPr>
          <w:rFonts w:eastAsia="Times New Roman"/>
        </w:rPr>
        <w:t xml:space="preserve">The </w:t>
      </w:r>
      <w:r w:rsidR="00856FA6" w:rsidRPr="00756758">
        <w:rPr>
          <w:rFonts w:eastAsia="Times New Roman"/>
        </w:rPr>
        <w:t>plaintiff</w:t>
      </w:r>
      <w:r>
        <w:rPr>
          <w:rFonts w:eastAsia="Times New Roman"/>
        </w:rPr>
        <w:t xml:space="preserve"> solicitors’</w:t>
      </w:r>
      <w:r w:rsidRPr="005B3BEC">
        <w:rPr>
          <w:rFonts w:eastAsia="Times New Roman"/>
        </w:rPr>
        <w:t xml:space="preserve"> </w:t>
      </w:r>
      <w:r w:rsidR="0025375A">
        <w:rPr>
          <w:rFonts w:eastAsia="Times New Roman"/>
        </w:rPr>
        <w:t xml:space="preserve">second </w:t>
      </w:r>
      <w:r w:rsidRPr="005B3BEC">
        <w:rPr>
          <w:rFonts w:eastAsia="Times New Roman"/>
        </w:rPr>
        <w:t>letter dated 5</w:t>
      </w:r>
      <w:r w:rsidRPr="005B3BEC">
        <w:rPr>
          <w:rFonts w:eastAsia="Times New Roman"/>
          <w:vertAlign w:val="superscript"/>
        </w:rPr>
        <w:t xml:space="preserve"> </w:t>
      </w:r>
      <w:r w:rsidRPr="005B3BEC">
        <w:rPr>
          <w:rFonts w:eastAsia="Times New Roman"/>
        </w:rPr>
        <w:t xml:space="preserve">January 2022 attached a </w:t>
      </w:r>
      <w:r w:rsidRPr="005B3BEC">
        <w:rPr>
          <w:rFonts w:eastAsia="Times New Roman"/>
          <w:u w:color="000000"/>
        </w:rPr>
        <w:t>draft letter</w:t>
      </w:r>
      <w:r w:rsidR="00756758">
        <w:rPr>
          <w:rFonts w:eastAsia="Times New Roman"/>
        </w:rPr>
        <w:t xml:space="preserve"> to the Court </w:t>
      </w:r>
      <w:r w:rsidRPr="005B3BEC">
        <w:rPr>
          <w:rFonts w:eastAsia="Times New Roman"/>
        </w:rPr>
        <w:t xml:space="preserve">of even date and </w:t>
      </w:r>
      <w:r w:rsidR="00DF6990" w:rsidRPr="007748EA">
        <w:rPr>
          <w:color w:val="3C4043"/>
          <w:szCs w:val="28"/>
          <w:lang w:eastAsia="zh-HK"/>
        </w:rPr>
        <w:t>§</w:t>
      </w:r>
      <w:r w:rsidR="00DF6990">
        <w:rPr>
          <w:rFonts w:eastAsia="Times New Roman"/>
        </w:rPr>
        <w:t>2</w:t>
      </w:r>
      <w:r w:rsidRPr="005B3BEC">
        <w:rPr>
          <w:rFonts w:eastAsia="Times New Roman"/>
        </w:rPr>
        <w:t xml:space="preserve"> </w:t>
      </w:r>
      <w:r w:rsidR="00756758">
        <w:rPr>
          <w:rFonts w:eastAsia="Times New Roman"/>
        </w:rPr>
        <w:t xml:space="preserve">of it </w:t>
      </w:r>
      <w:r w:rsidR="00696318" w:rsidRPr="00CB5549">
        <w:rPr>
          <w:rFonts w:eastAsia="Times New Roman"/>
        </w:rPr>
        <w:t>informed</w:t>
      </w:r>
      <w:r w:rsidR="00696318">
        <w:rPr>
          <w:rFonts w:eastAsia="Times New Roman"/>
        </w:rPr>
        <w:t xml:space="preserve"> the Court </w:t>
      </w:r>
      <w:r w:rsidRPr="005B3BEC">
        <w:rPr>
          <w:rFonts w:eastAsia="Times New Roman"/>
        </w:rPr>
        <w:t>as follows:</w:t>
      </w:r>
    </w:p>
    <w:p w14:paraId="188C4F6B" w14:textId="745FF1F9" w:rsidR="004404A9" w:rsidRPr="005B3BEC" w:rsidRDefault="004404A9" w:rsidP="003F06D9">
      <w:pPr>
        <w:pStyle w:val="ListParagraph"/>
        <w:tabs>
          <w:tab w:val="clear" w:pos="4320"/>
          <w:tab w:val="clear" w:pos="9072"/>
        </w:tabs>
        <w:snapToGrid/>
        <w:spacing w:line="360" w:lineRule="auto"/>
        <w:ind w:left="0" w:right="-64"/>
        <w:jc w:val="both"/>
        <w:rPr>
          <w:szCs w:val="28"/>
        </w:rPr>
      </w:pPr>
    </w:p>
    <w:p w14:paraId="36C2C14F" w14:textId="17146EFA" w:rsidR="005B3BEC" w:rsidRDefault="005B3BEC" w:rsidP="005B3BEC">
      <w:pPr>
        <w:pStyle w:val="ListParagraph"/>
        <w:ind w:left="1440" w:right="746"/>
        <w:jc w:val="both"/>
        <w:rPr>
          <w:rFonts w:eastAsia="Times New Roman"/>
          <w:sz w:val="24"/>
          <w:szCs w:val="24"/>
        </w:rPr>
      </w:pPr>
      <w:r>
        <w:rPr>
          <w:rFonts w:eastAsia="Times New Roman"/>
          <w:sz w:val="24"/>
          <w:szCs w:val="24"/>
        </w:rPr>
        <w:t>“</w:t>
      </w:r>
      <w:r w:rsidRPr="005B3BEC">
        <w:rPr>
          <w:rFonts w:eastAsia="Times New Roman"/>
          <w:sz w:val="24"/>
          <w:szCs w:val="24"/>
        </w:rPr>
        <w:t xml:space="preserve">The </w:t>
      </w:r>
      <w:r w:rsidRPr="007748EA">
        <w:rPr>
          <w:rFonts w:eastAsia="Times New Roman"/>
          <w:sz w:val="24"/>
          <w:szCs w:val="24"/>
        </w:rPr>
        <w:t xml:space="preserve">Single </w:t>
      </w:r>
      <w:r w:rsidR="00DF6990" w:rsidRPr="007748EA">
        <w:rPr>
          <w:sz w:val="24"/>
          <w:szCs w:val="24"/>
        </w:rPr>
        <w:t>j</w:t>
      </w:r>
      <w:r w:rsidRPr="007748EA">
        <w:rPr>
          <w:rFonts w:eastAsia="Times New Roman"/>
          <w:sz w:val="24"/>
          <w:szCs w:val="24"/>
        </w:rPr>
        <w:t xml:space="preserve">oint </w:t>
      </w:r>
      <w:r w:rsidR="00DF6990" w:rsidRPr="007748EA">
        <w:rPr>
          <w:sz w:val="24"/>
          <w:szCs w:val="24"/>
        </w:rPr>
        <w:t>o</w:t>
      </w:r>
      <w:r w:rsidRPr="007748EA">
        <w:rPr>
          <w:rFonts w:eastAsia="Times New Roman"/>
          <w:sz w:val="24"/>
          <w:szCs w:val="24"/>
        </w:rPr>
        <w:t xml:space="preserve">rthopaedic </w:t>
      </w:r>
      <w:r w:rsidR="00DF6990" w:rsidRPr="007748EA">
        <w:rPr>
          <w:sz w:val="24"/>
          <w:szCs w:val="24"/>
        </w:rPr>
        <w:t>e</w:t>
      </w:r>
      <w:r w:rsidRPr="007748EA">
        <w:rPr>
          <w:rFonts w:eastAsia="Times New Roman"/>
          <w:sz w:val="24"/>
          <w:szCs w:val="24"/>
        </w:rPr>
        <w:t>xpert</w:t>
      </w:r>
      <w:r w:rsidRPr="005B3BEC">
        <w:rPr>
          <w:rFonts w:eastAsia="Times New Roman"/>
          <w:sz w:val="24"/>
          <w:szCs w:val="24"/>
        </w:rPr>
        <w:t xml:space="preserve"> Dr. LI Wing Kin has retired, and the parties have jointly instructed in </w:t>
      </w:r>
      <w:r w:rsidR="003C5A9E">
        <w:rPr>
          <w:rFonts w:eastAsia="Times New Roman"/>
          <w:sz w:val="24"/>
          <w:szCs w:val="24"/>
        </w:rPr>
        <w:t>has (sic)</w:t>
      </w:r>
      <w:r w:rsidR="00756758">
        <w:rPr>
          <w:rFonts w:eastAsia="Times New Roman"/>
          <w:sz w:val="24"/>
          <w:szCs w:val="24"/>
        </w:rPr>
        <w:t xml:space="preserve"> </w:t>
      </w:r>
      <w:r w:rsidRPr="005B3BEC">
        <w:rPr>
          <w:rFonts w:eastAsia="Times New Roman"/>
          <w:sz w:val="24"/>
          <w:szCs w:val="24"/>
        </w:rPr>
        <w:t>place Dr. Peter Tio, to do ex</w:t>
      </w:r>
      <w:r>
        <w:rPr>
          <w:rFonts w:eastAsia="Times New Roman"/>
          <w:sz w:val="24"/>
          <w:szCs w:val="24"/>
        </w:rPr>
        <w:t>amination on the 7</w:t>
      </w:r>
      <w:r w:rsidR="00DF6990" w:rsidRPr="007748EA">
        <w:rPr>
          <w:rFonts w:eastAsia="Times New Roman"/>
          <w:sz w:val="24"/>
          <w:szCs w:val="24"/>
          <w:vertAlign w:val="superscript"/>
        </w:rPr>
        <w:t>th</w:t>
      </w:r>
      <w:r w:rsidR="00DF6990">
        <w:rPr>
          <w:rFonts w:eastAsia="Times New Roman"/>
          <w:sz w:val="24"/>
          <w:szCs w:val="24"/>
        </w:rPr>
        <w:t xml:space="preserve"> </w:t>
      </w:r>
      <w:r w:rsidR="003C5A9E">
        <w:rPr>
          <w:rFonts w:eastAsia="Times New Roman"/>
          <w:sz w:val="24"/>
          <w:szCs w:val="24"/>
        </w:rPr>
        <w:t>January 2022;…</w:t>
      </w:r>
      <w:r>
        <w:rPr>
          <w:rFonts w:eastAsia="Times New Roman"/>
          <w:sz w:val="24"/>
          <w:szCs w:val="24"/>
        </w:rPr>
        <w:t>”</w:t>
      </w:r>
    </w:p>
    <w:p w14:paraId="687ED794" w14:textId="77777777" w:rsidR="005B3BEC" w:rsidRPr="005B3BEC" w:rsidRDefault="005B3BEC" w:rsidP="005B3BEC">
      <w:pPr>
        <w:pStyle w:val="ListParagraph"/>
        <w:spacing w:line="360" w:lineRule="auto"/>
        <w:ind w:left="1440" w:right="746"/>
        <w:jc w:val="both"/>
        <w:rPr>
          <w:sz w:val="24"/>
          <w:szCs w:val="24"/>
        </w:rPr>
      </w:pPr>
    </w:p>
    <w:p w14:paraId="563BD982" w14:textId="6DA0017E" w:rsidR="00573E55" w:rsidRPr="005B3BEC" w:rsidRDefault="0025375A" w:rsidP="00573E55">
      <w:pPr>
        <w:pStyle w:val="ListParagraph"/>
        <w:numPr>
          <w:ilvl w:val="0"/>
          <w:numId w:val="30"/>
        </w:numPr>
        <w:spacing w:after="418" w:line="360" w:lineRule="auto"/>
        <w:ind w:left="0" w:right="67" w:firstLine="0"/>
        <w:jc w:val="both"/>
      </w:pPr>
      <w:r>
        <w:rPr>
          <w:rFonts w:eastAsia="Times New Roman"/>
        </w:rPr>
        <w:t>Given the 2 clearly worded Orders, i</w:t>
      </w:r>
      <w:r w:rsidR="005B3BEC" w:rsidRPr="005B3BEC">
        <w:rPr>
          <w:rFonts w:eastAsia="Times New Roman"/>
        </w:rPr>
        <w:t xml:space="preserve">t came as a </w:t>
      </w:r>
      <w:r w:rsidR="00242F67">
        <w:rPr>
          <w:rFonts w:eastAsia="Times New Roman"/>
        </w:rPr>
        <w:t xml:space="preserve">total </w:t>
      </w:r>
      <w:r w:rsidR="005B3BEC" w:rsidRPr="005B3BEC">
        <w:rPr>
          <w:rFonts w:eastAsia="Times New Roman"/>
        </w:rPr>
        <w:t xml:space="preserve">surprise </w:t>
      </w:r>
      <w:r w:rsidR="00242F67">
        <w:rPr>
          <w:rFonts w:eastAsia="Times New Roman"/>
        </w:rPr>
        <w:t>to the</w:t>
      </w:r>
      <w:r w:rsidR="00CB5549">
        <w:rPr>
          <w:rFonts w:eastAsia="Times New Roman"/>
        </w:rPr>
        <w:t xml:space="preserve"> Master</w:t>
      </w:r>
      <w:r w:rsidR="00242F67">
        <w:rPr>
          <w:rFonts w:eastAsia="Times New Roman"/>
        </w:rPr>
        <w:t xml:space="preserve"> </w:t>
      </w:r>
      <w:r w:rsidR="005B3BEC" w:rsidRPr="005B3BEC">
        <w:rPr>
          <w:rFonts w:eastAsia="Times New Roman"/>
        </w:rPr>
        <w:t xml:space="preserve">to learn that an orthopaedic examination was arranged </w:t>
      </w:r>
      <w:r w:rsidR="005B3BEC" w:rsidRPr="005B3BEC">
        <w:rPr>
          <w:rFonts w:eastAsia="Times New Roman"/>
          <w:u w:color="000000"/>
        </w:rPr>
        <w:t>without leave of the Cour</w:t>
      </w:r>
      <w:r>
        <w:rPr>
          <w:rFonts w:eastAsia="Times New Roman"/>
          <w:u w:color="000000"/>
        </w:rPr>
        <w:t xml:space="preserve">t </w:t>
      </w:r>
      <w:r w:rsidR="00E01907">
        <w:rPr>
          <w:rFonts w:eastAsia="Times New Roman"/>
        </w:rPr>
        <w:t>which was</w:t>
      </w:r>
      <w:r w:rsidR="0074229F">
        <w:rPr>
          <w:rFonts w:eastAsia="Times New Roman"/>
        </w:rPr>
        <w:t xml:space="preserve"> </w:t>
      </w:r>
      <w:r w:rsidR="00E01907">
        <w:rPr>
          <w:rFonts w:eastAsia="Times New Roman"/>
        </w:rPr>
        <w:t>in</w:t>
      </w:r>
      <w:r w:rsidR="00242F67">
        <w:rPr>
          <w:rFonts w:eastAsia="Times New Roman"/>
        </w:rPr>
        <w:t xml:space="preserve"> </w:t>
      </w:r>
      <w:r>
        <w:rPr>
          <w:rFonts w:eastAsia="Times New Roman"/>
        </w:rPr>
        <w:t>blatant</w:t>
      </w:r>
      <w:r w:rsidR="00242F67">
        <w:rPr>
          <w:rFonts w:eastAsia="Times New Roman"/>
        </w:rPr>
        <w:t xml:space="preserve"> </w:t>
      </w:r>
      <w:r w:rsidR="005B3BEC">
        <w:rPr>
          <w:rFonts w:eastAsia="Times New Roman"/>
        </w:rPr>
        <w:t xml:space="preserve">breach of </w:t>
      </w:r>
      <w:r w:rsidR="00242F67">
        <w:rPr>
          <w:rFonts w:eastAsia="Times New Roman"/>
        </w:rPr>
        <w:t xml:space="preserve">the </w:t>
      </w:r>
      <w:r w:rsidR="005753AD">
        <w:rPr>
          <w:rFonts w:eastAsia="Times New Roman"/>
        </w:rPr>
        <w:t>terms of</w:t>
      </w:r>
      <w:r w:rsidR="00242F67">
        <w:rPr>
          <w:rFonts w:eastAsia="Times New Roman"/>
        </w:rPr>
        <w:t xml:space="preserve"> the March 2021 Order and the October 2021 </w:t>
      </w:r>
      <w:r w:rsidR="000C3E1A">
        <w:rPr>
          <w:rFonts w:eastAsia="Times New Roman"/>
        </w:rPr>
        <w:t>Order.</w:t>
      </w:r>
    </w:p>
    <w:p w14:paraId="1F7B5275" w14:textId="71B0AE81" w:rsidR="00573E55" w:rsidRPr="00573E55" w:rsidRDefault="00124D70" w:rsidP="00573E55">
      <w:pPr>
        <w:pStyle w:val="ListParagraph"/>
        <w:spacing w:after="418" w:line="360" w:lineRule="auto"/>
        <w:ind w:left="0" w:right="67"/>
        <w:jc w:val="both"/>
        <w:rPr>
          <w:i/>
        </w:rPr>
      </w:pPr>
      <w:r>
        <w:rPr>
          <w:i/>
        </w:rPr>
        <w:t>Order</w:t>
      </w:r>
      <w:r w:rsidR="00573E55" w:rsidRPr="00BD5D5E">
        <w:rPr>
          <w:i/>
        </w:rPr>
        <w:t xml:space="preserve"> of Master Louise Chan</w:t>
      </w:r>
      <w:r w:rsidR="003C05B8">
        <w:rPr>
          <w:i/>
        </w:rPr>
        <w:t xml:space="preserve"> dated </w:t>
      </w:r>
      <w:r w:rsidR="00856FA6" w:rsidRPr="00CB5549">
        <w:rPr>
          <w:i/>
        </w:rPr>
        <w:t>12 January 2022</w:t>
      </w:r>
    </w:p>
    <w:p w14:paraId="7CAF7749" w14:textId="7EA0B453" w:rsidR="00573E55" w:rsidRDefault="0074229F" w:rsidP="005B3BEC">
      <w:pPr>
        <w:pStyle w:val="ListParagraph"/>
        <w:numPr>
          <w:ilvl w:val="0"/>
          <w:numId w:val="30"/>
        </w:numPr>
        <w:spacing w:after="418" w:line="360" w:lineRule="auto"/>
        <w:ind w:left="0" w:right="67" w:firstLine="0"/>
        <w:jc w:val="both"/>
      </w:pPr>
      <w:r>
        <w:lastRenderedPageBreak/>
        <w:t>After reading the plaintiff’s letter</w:t>
      </w:r>
      <w:r w:rsidR="00124D70">
        <w:t>s</w:t>
      </w:r>
      <w:r w:rsidR="005753AD">
        <w:t xml:space="preserve"> dated</w:t>
      </w:r>
      <w:r w:rsidR="00124D70">
        <w:t xml:space="preserve"> 5 and </w:t>
      </w:r>
      <w:r w:rsidR="004A007B">
        <w:t xml:space="preserve">7 January 2022 and the defendant’s letter dated 6 January 2022 to the Court, </w:t>
      </w:r>
      <w:r w:rsidR="00197F74">
        <w:t xml:space="preserve">the </w:t>
      </w:r>
      <w:r w:rsidR="00573E55">
        <w:t xml:space="preserve">Master made the following </w:t>
      </w:r>
      <w:r w:rsidR="0025375A">
        <w:t xml:space="preserve">written directions </w:t>
      </w:r>
      <w:r w:rsidR="006070B4">
        <w:t xml:space="preserve">(“the </w:t>
      </w:r>
      <w:r w:rsidR="00856FA6" w:rsidRPr="004A007B">
        <w:t>January 2022</w:t>
      </w:r>
      <w:r w:rsidR="00856FA6">
        <w:t xml:space="preserve"> </w:t>
      </w:r>
      <w:r w:rsidR="006070B4">
        <w:t>Order”)</w:t>
      </w:r>
      <w:r w:rsidR="00573E55">
        <w:t xml:space="preserve">:- </w:t>
      </w:r>
    </w:p>
    <w:p w14:paraId="597EB94D" w14:textId="0DABDFD3" w:rsidR="00573E55" w:rsidRDefault="00573E55" w:rsidP="00573E55">
      <w:pPr>
        <w:tabs>
          <w:tab w:val="clear" w:pos="1440"/>
        </w:tabs>
        <w:ind w:left="2160" w:right="746" w:hanging="720"/>
        <w:jc w:val="both"/>
        <w:rPr>
          <w:rFonts w:eastAsia="Times New Roman"/>
          <w:sz w:val="24"/>
          <w:szCs w:val="24"/>
        </w:rPr>
      </w:pPr>
      <w:r w:rsidRPr="00BD5D5E">
        <w:rPr>
          <w:rFonts w:eastAsia="Times New Roman"/>
          <w:sz w:val="24"/>
          <w:szCs w:val="24"/>
        </w:rPr>
        <w:t xml:space="preserve">“1. </w:t>
      </w:r>
      <w:r>
        <w:rPr>
          <w:rFonts w:eastAsia="Times New Roman"/>
          <w:sz w:val="24"/>
          <w:szCs w:val="24"/>
        </w:rPr>
        <w:tab/>
      </w:r>
      <w:r w:rsidR="00856FA6" w:rsidRPr="004A007B">
        <w:rPr>
          <w:rFonts w:eastAsia="Times New Roman"/>
          <w:sz w:val="24"/>
          <w:szCs w:val="24"/>
        </w:rPr>
        <w:t>A</w:t>
      </w:r>
      <w:r w:rsidR="00856FA6">
        <w:rPr>
          <w:rFonts w:eastAsia="Times New Roman"/>
          <w:sz w:val="24"/>
          <w:szCs w:val="24"/>
        </w:rPr>
        <w:t xml:space="preserve"> </w:t>
      </w:r>
      <w:r w:rsidRPr="00BD5D5E">
        <w:rPr>
          <w:rFonts w:eastAsia="Times New Roman"/>
          <w:sz w:val="24"/>
          <w:szCs w:val="24"/>
        </w:rPr>
        <w:t>CMC Hearing be fixed on 18</w:t>
      </w:r>
      <w:r w:rsidRPr="00BD5D5E">
        <w:rPr>
          <w:rFonts w:eastAsia="Times New Roman"/>
          <w:sz w:val="24"/>
          <w:szCs w:val="24"/>
          <w:vertAlign w:val="superscript"/>
        </w:rPr>
        <w:t xml:space="preserve">th </w:t>
      </w:r>
      <w:r w:rsidRPr="00BD5D5E">
        <w:rPr>
          <w:rFonts w:eastAsia="Times New Roman"/>
          <w:sz w:val="24"/>
          <w:szCs w:val="24"/>
        </w:rPr>
        <w:t>February 202</w:t>
      </w:r>
      <w:r w:rsidR="003C05B8">
        <w:rPr>
          <w:rFonts w:eastAsia="Times New Roman"/>
          <w:sz w:val="24"/>
          <w:szCs w:val="24"/>
        </w:rPr>
        <w:t>2</w:t>
      </w:r>
      <w:r w:rsidRPr="00BD5D5E">
        <w:rPr>
          <w:rFonts w:eastAsia="Times New Roman"/>
          <w:sz w:val="24"/>
          <w:szCs w:val="24"/>
        </w:rPr>
        <w:t xml:space="preserve"> at 9:30am i</w:t>
      </w:r>
      <w:r>
        <w:rPr>
          <w:rFonts w:eastAsia="Times New Roman"/>
          <w:sz w:val="24"/>
          <w:szCs w:val="24"/>
        </w:rPr>
        <w:t>n Court 8 with 2 hours reserved;</w:t>
      </w:r>
    </w:p>
    <w:p w14:paraId="6D97AC71" w14:textId="77777777" w:rsidR="00573E55" w:rsidRDefault="00573E55" w:rsidP="00573E55">
      <w:pPr>
        <w:tabs>
          <w:tab w:val="clear" w:pos="1440"/>
        </w:tabs>
        <w:ind w:left="2160" w:right="746" w:hanging="720"/>
        <w:jc w:val="both"/>
        <w:rPr>
          <w:rFonts w:eastAsia="Times New Roman"/>
          <w:sz w:val="24"/>
          <w:szCs w:val="24"/>
        </w:rPr>
      </w:pPr>
    </w:p>
    <w:p w14:paraId="6EBF5359" w14:textId="77777777" w:rsidR="00573E55" w:rsidRDefault="00573E55" w:rsidP="00573E55">
      <w:pPr>
        <w:ind w:left="2160" w:right="746" w:hanging="720"/>
        <w:jc w:val="both"/>
        <w:rPr>
          <w:rFonts w:eastAsia="Courier New"/>
          <w:sz w:val="24"/>
          <w:szCs w:val="24"/>
        </w:rPr>
      </w:pPr>
      <w:r w:rsidRPr="00BD5D5E">
        <w:rPr>
          <w:rFonts w:eastAsia="Times New Roman"/>
          <w:sz w:val="24"/>
          <w:szCs w:val="24"/>
        </w:rPr>
        <w:t xml:space="preserve">2. </w:t>
      </w:r>
      <w:r>
        <w:rPr>
          <w:rFonts w:eastAsia="Times New Roman"/>
          <w:sz w:val="24"/>
          <w:szCs w:val="24"/>
        </w:rPr>
        <w:tab/>
      </w:r>
      <w:r w:rsidRPr="00BD5D5E">
        <w:rPr>
          <w:rFonts w:eastAsia="Times New Roman"/>
          <w:sz w:val="24"/>
          <w:szCs w:val="24"/>
        </w:rPr>
        <w:t>The Court shall not grant an application to vary such milestone dates unless there are exceptional circumstances pursuant to O. 25, r.3 of Cap.</w:t>
      </w:r>
      <w:r>
        <w:rPr>
          <w:rFonts w:eastAsia="Times New Roman"/>
          <w:sz w:val="24"/>
          <w:szCs w:val="24"/>
        </w:rPr>
        <w:t xml:space="preserve"> </w:t>
      </w:r>
      <w:r w:rsidRPr="00BD5D5E">
        <w:rPr>
          <w:rFonts w:eastAsia="Courier New"/>
          <w:sz w:val="24"/>
          <w:szCs w:val="24"/>
        </w:rPr>
        <w:t>336H;</w:t>
      </w:r>
    </w:p>
    <w:p w14:paraId="3CED778A" w14:textId="77777777" w:rsidR="00573E55" w:rsidRPr="00BD5D5E" w:rsidRDefault="00573E55" w:rsidP="00573E55">
      <w:pPr>
        <w:ind w:left="2160" w:right="746" w:hanging="720"/>
        <w:jc w:val="both"/>
        <w:rPr>
          <w:sz w:val="24"/>
          <w:szCs w:val="24"/>
        </w:rPr>
      </w:pPr>
    </w:p>
    <w:p w14:paraId="7D0FCCDC" w14:textId="77777777" w:rsidR="00573E55" w:rsidRPr="00BD5D5E" w:rsidRDefault="00573E55" w:rsidP="00573E55">
      <w:pPr>
        <w:numPr>
          <w:ilvl w:val="0"/>
          <w:numId w:val="35"/>
        </w:numPr>
        <w:tabs>
          <w:tab w:val="clear" w:pos="1440"/>
          <w:tab w:val="clear" w:pos="4320"/>
          <w:tab w:val="clear" w:pos="9072"/>
        </w:tabs>
        <w:snapToGrid/>
        <w:ind w:left="2160" w:right="746" w:hanging="720"/>
        <w:jc w:val="both"/>
        <w:rPr>
          <w:sz w:val="24"/>
          <w:szCs w:val="24"/>
        </w:rPr>
      </w:pPr>
      <w:r w:rsidRPr="00BD5D5E">
        <w:rPr>
          <w:rFonts w:eastAsia="Times New Roman"/>
          <w:sz w:val="24"/>
          <w:szCs w:val="24"/>
        </w:rPr>
        <w:t>No later than 5 days before the CMC hearing, parties do file the CMC bundle and serve on the other side;</w:t>
      </w:r>
    </w:p>
    <w:p w14:paraId="62330B0E" w14:textId="77777777" w:rsidR="00573E55" w:rsidRPr="00BD5D5E" w:rsidRDefault="00573E55" w:rsidP="00573E55">
      <w:pPr>
        <w:tabs>
          <w:tab w:val="clear" w:pos="1440"/>
          <w:tab w:val="clear" w:pos="4320"/>
          <w:tab w:val="clear" w:pos="9072"/>
        </w:tabs>
        <w:snapToGrid/>
        <w:ind w:left="2160" w:right="746"/>
        <w:jc w:val="both"/>
        <w:rPr>
          <w:sz w:val="24"/>
          <w:szCs w:val="24"/>
        </w:rPr>
      </w:pPr>
    </w:p>
    <w:p w14:paraId="5B3C1118" w14:textId="025A12F7" w:rsidR="00573E55" w:rsidRPr="00BD5D5E" w:rsidRDefault="00573E55" w:rsidP="00573E55">
      <w:pPr>
        <w:numPr>
          <w:ilvl w:val="0"/>
          <w:numId w:val="35"/>
        </w:numPr>
        <w:tabs>
          <w:tab w:val="clear" w:pos="1440"/>
          <w:tab w:val="clear" w:pos="4320"/>
          <w:tab w:val="clear" w:pos="9072"/>
        </w:tabs>
        <w:snapToGrid/>
        <w:ind w:left="2160" w:right="746" w:hanging="720"/>
        <w:jc w:val="both"/>
        <w:rPr>
          <w:sz w:val="24"/>
          <w:szCs w:val="24"/>
        </w:rPr>
      </w:pPr>
      <w:r w:rsidRPr="00BD5D5E">
        <w:rPr>
          <w:rFonts w:eastAsia="Times New Roman"/>
          <w:sz w:val="24"/>
          <w:szCs w:val="24"/>
        </w:rPr>
        <w:t>No later than 5 days before the CMC hearing, the Plaintiff and the Defendant do submit a skeleton submission</w:t>
      </w:r>
      <w:r w:rsidR="00856FA6" w:rsidRPr="004A007B">
        <w:rPr>
          <w:rFonts w:eastAsia="Times New Roman"/>
          <w:sz w:val="24"/>
          <w:szCs w:val="24"/>
        </w:rPr>
        <w:t>s</w:t>
      </w:r>
      <w:r w:rsidRPr="00BD5D5E">
        <w:rPr>
          <w:rFonts w:eastAsia="Times New Roman"/>
          <w:sz w:val="24"/>
          <w:szCs w:val="24"/>
        </w:rPr>
        <w:t xml:space="preserve"> addressing the following issues:</w:t>
      </w:r>
    </w:p>
    <w:p w14:paraId="2A68ACF9" w14:textId="77777777" w:rsidR="00573E55" w:rsidRPr="00BD5D5E" w:rsidRDefault="00573E55" w:rsidP="00573E55">
      <w:pPr>
        <w:tabs>
          <w:tab w:val="clear" w:pos="1440"/>
          <w:tab w:val="clear" w:pos="4320"/>
          <w:tab w:val="clear" w:pos="9072"/>
        </w:tabs>
        <w:snapToGrid/>
        <w:ind w:right="746"/>
        <w:jc w:val="both"/>
        <w:rPr>
          <w:sz w:val="24"/>
          <w:szCs w:val="24"/>
        </w:rPr>
      </w:pPr>
    </w:p>
    <w:p w14:paraId="0CC08B7A" w14:textId="77777777" w:rsidR="00573E55" w:rsidRPr="00BD5D5E" w:rsidRDefault="00573E55" w:rsidP="00573E55">
      <w:pPr>
        <w:numPr>
          <w:ilvl w:val="1"/>
          <w:numId w:val="35"/>
        </w:numPr>
        <w:tabs>
          <w:tab w:val="clear" w:pos="1440"/>
          <w:tab w:val="clear" w:pos="4320"/>
          <w:tab w:val="clear" w:pos="9072"/>
        </w:tabs>
        <w:snapToGrid/>
        <w:ind w:left="2880" w:right="746" w:hanging="720"/>
        <w:jc w:val="both"/>
        <w:rPr>
          <w:sz w:val="24"/>
          <w:szCs w:val="24"/>
        </w:rPr>
      </w:pPr>
      <w:r w:rsidRPr="00BD5D5E">
        <w:rPr>
          <w:rFonts w:eastAsia="Times New Roman"/>
          <w:sz w:val="24"/>
          <w:szCs w:val="24"/>
        </w:rPr>
        <w:t>Whether a joint orthopaedic examination was conducted by Dr.</w:t>
      </w:r>
      <w:r>
        <w:rPr>
          <w:sz w:val="24"/>
          <w:szCs w:val="24"/>
        </w:rPr>
        <w:t xml:space="preserve"> </w:t>
      </w:r>
      <w:r w:rsidRPr="00BD5D5E">
        <w:rPr>
          <w:rFonts w:eastAsia="Times New Roman"/>
          <w:sz w:val="24"/>
          <w:szCs w:val="24"/>
        </w:rPr>
        <w:t>Tio after the last CLR hearing;</w:t>
      </w:r>
    </w:p>
    <w:p w14:paraId="51B37194" w14:textId="77777777" w:rsidR="00573E55" w:rsidRPr="00BD5D5E" w:rsidRDefault="00573E55" w:rsidP="00573E55">
      <w:pPr>
        <w:tabs>
          <w:tab w:val="clear" w:pos="1440"/>
          <w:tab w:val="clear" w:pos="4320"/>
          <w:tab w:val="clear" w:pos="9072"/>
        </w:tabs>
        <w:snapToGrid/>
        <w:ind w:left="2880" w:right="746"/>
        <w:jc w:val="both"/>
        <w:rPr>
          <w:sz w:val="24"/>
          <w:szCs w:val="24"/>
        </w:rPr>
      </w:pPr>
    </w:p>
    <w:p w14:paraId="6C1925B0" w14:textId="77777777" w:rsidR="00573E55" w:rsidRPr="00BD5D5E" w:rsidRDefault="00573E55" w:rsidP="00573E55">
      <w:pPr>
        <w:numPr>
          <w:ilvl w:val="1"/>
          <w:numId w:val="35"/>
        </w:numPr>
        <w:tabs>
          <w:tab w:val="clear" w:pos="1440"/>
          <w:tab w:val="clear" w:pos="4320"/>
          <w:tab w:val="clear" w:pos="9072"/>
        </w:tabs>
        <w:snapToGrid/>
        <w:ind w:left="2880" w:right="746" w:hanging="720"/>
        <w:jc w:val="both"/>
        <w:rPr>
          <w:sz w:val="24"/>
          <w:szCs w:val="24"/>
        </w:rPr>
      </w:pPr>
      <w:r w:rsidRPr="00BD5D5E">
        <w:rPr>
          <w:rFonts w:eastAsia="Times New Roman"/>
          <w:sz w:val="24"/>
          <w:szCs w:val="24"/>
        </w:rPr>
        <w:t>If so, explanations to the breach of Orders as stated in paragraphs 2 and 3 hereinabove;</w:t>
      </w:r>
    </w:p>
    <w:p w14:paraId="1BC7B27F" w14:textId="77777777" w:rsidR="00573E55" w:rsidRPr="00BD5D5E" w:rsidRDefault="00573E55" w:rsidP="00573E55">
      <w:pPr>
        <w:tabs>
          <w:tab w:val="clear" w:pos="1440"/>
          <w:tab w:val="clear" w:pos="4320"/>
          <w:tab w:val="clear" w:pos="9072"/>
        </w:tabs>
        <w:snapToGrid/>
        <w:ind w:left="2880" w:right="746"/>
        <w:jc w:val="both"/>
        <w:rPr>
          <w:sz w:val="24"/>
          <w:szCs w:val="24"/>
        </w:rPr>
      </w:pPr>
    </w:p>
    <w:p w14:paraId="571778CB" w14:textId="77777777" w:rsidR="00573E55" w:rsidRPr="00BD5D5E" w:rsidRDefault="00573E55" w:rsidP="00573E55">
      <w:pPr>
        <w:numPr>
          <w:ilvl w:val="1"/>
          <w:numId w:val="35"/>
        </w:numPr>
        <w:tabs>
          <w:tab w:val="clear" w:pos="1440"/>
          <w:tab w:val="clear" w:pos="4320"/>
          <w:tab w:val="clear" w:pos="9072"/>
        </w:tabs>
        <w:snapToGrid/>
        <w:ind w:left="2880" w:right="746" w:hanging="720"/>
        <w:jc w:val="both"/>
        <w:rPr>
          <w:sz w:val="24"/>
          <w:szCs w:val="24"/>
        </w:rPr>
      </w:pPr>
      <w:r w:rsidRPr="00BD5D5E">
        <w:rPr>
          <w:rFonts w:eastAsia="Times New Roman"/>
          <w:sz w:val="24"/>
          <w:szCs w:val="24"/>
        </w:rPr>
        <w:t>Whether the parties are anticipating to adduce other new medical experts and/or supplemental and/or additional medical reports;</w:t>
      </w:r>
    </w:p>
    <w:p w14:paraId="3A81E89A" w14:textId="77777777" w:rsidR="00573E55" w:rsidRPr="00BD5D5E" w:rsidRDefault="00573E55" w:rsidP="00573E55">
      <w:pPr>
        <w:tabs>
          <w:tab w:val="clear" w:pos="1440"/>
          <w:tab w:val="clear" w:pos="4320"/>
          <w:tab w:val="clear" w:pos="9072"/>
        </w:tabs>
        <w:snapToGrid/>
        <w:ind w:left="2880" w:right="746"/>
        <w:jc w:val="both"/>
        <w:rPr>
          <w:sz w:val="24"/>
          <w:szCs w:val="24"/>
        </w:rPr>
      </w:pPr>
    </w:p>
    <w:p w14:paraId="508924D6" w14:textId="1FCD8310" w:rsidR="000C3E1A" w:rsidRPr="000C3E1A" w:rsidRDefault="00573E55" w:rsidP="000C3E1A">
      <w:pPr>
        <w:numPr>
          <w:ilvl w:val="1"/>
          <w:numId w:val="35"/>
        </w:numPr>
        <w:tabs>
          <w:tab w:val="clear" w:pos="1440"/>
          <w:tab w:val="clear" w:pos="4320"/>
          <w:tab w:val="clear" w:pos="9072"/>
        </w:tabs>
        <w:snapToGrid/>
        <w:ind w:left="2880" w:right="746" w:hanging="720"/>
        <w:jc w:val="both"/>
        <w:rPr>
          <w:sz w:val="24"/>
          <w:szCs w:val="24"/>
        </w:rPr>
      </w:pPr>
      <w:r w:rsidRPr="00BD5D5E">
        <w:rPr>
          <w:rFonts w:eastAsia="Times New Roman"/>
          <w:sz w:val="24"/>
          <w:szCs w:val="24"/>
        </w:rPr>
        <w:t>If so, parties are to provide a list of these new experts/ supplemental reports they intend to adduce.</w:t>
      </w:r>
      <w:r>
        <w:rPr>
          <w:rFonts w:eastAsia="Times New Roman"/>
          <w:sz w:val="24"/>
          <w:szCs w:val="24"/>
        </w:rPr>
        <w:t>”</w:t>
      </w:r>
    </w:p>
    <w:p w14:paraId="6130A3AE" w14:textId="77777777" w:rsidR="000C3E1A" w:rsidRPr="000C3E1A" w:rsidRDefault="000C3E1A" w:rsidP="000C3E1A">
      <w:pPr>
        <w:tabs>
          <w:tab w:val="clear" w:pos="1440"/>
          <w:tab w:val="clear" w:pos="4320"/>
          <w:tab w:val="clear" w:pos="9072"/>
        </w:tabs>
        <w:snapToGrid/>
        <w:spacing w:line="360" w:lineRule="auto"/>
        <w:ind w:right="746"/>
        <w:jc w:val="both"/>
        <w:rPr>
          <w:szCs w:val="28"/>
        </w:rPr>
      </w:pPr>
    </w:p>
    <w:p w14:paraId="0AD972E2" w14:textId="47389312" w:rsidR="003C05B8" w:rsidRDefault="003C05B8" w:rsidP="000C3E1A">
      <w:pPr>
        <w:spacing w:line="360" w:lineRule="auto"/>
        <w:ind w:right="67"/>
        <w:jc w:val="both"/>
        <w:rPr>
          <w:i/>
          <w:iCs/>
        </w:rPr>
      </w:pPr>
      <w:r w:rsidRPr="003C05B8">
        <w:rPr>
          <w:i/>
          <w:iCs/>
        </w:rPr>
        <w:t>The plaintiff’s written submissions</w:t>
      </w:r>
    </w:p>
    <w:p w14:paraId="606F012A" w14:textId="77777777" w:rsidR="000C3E1A" w:rsidRPr="003C05B8" w:rsidRDefault="000C3E1A" w:rsidP="000C3E1A">
      <w:pPr>
        <w:spacing w:line="360" w:lineRule="auto"/>
        <w:ind w:right="67"/>
        <w:jc w:val="both"/>
        <w:rPr>
          <w:i/>
          <w:iCs/>
        </w:rPr>
      </w:pPr>
    </w:p>
    <w:p w14:paraId="3BC30CDF" w14:textId="3BDC736F" w:rsidR="00573E55" w:rsidRDefault="006070B4" w:rsidP="000C3E1A">
      <w:pPr>
        <w:pStyle w:val="ListParagraph"/>
        <w:numPr>
          <w:ilvl w:val="0"/>
          <w:numId w:val="30"/>
        </w:numPr>
        <w:spacing w:line="360" w:lineRule="auto"/>
        <w:ind w:left="0" w:right="67" w:firstLine="0"/>
        <w:jc w:val="both"/>
      </w:pPr>
      <w:r>
        <w:t xml:space="preserve">Pursuant to the </w:t>
      </w:r>
      <w:r w:rsidR="00856FA6" w:rsidRPr="004A007B">
        <w:t>January 2022</w:t>
      </w:r>
      <w:r w:rsidR="00856FA6">
        <w:t xml:space="preserve"> </w:t>
      </w:r>
      <w:r>
        <w:t xml:space="preserve">Order, the plaintiff’s solicitors purportedly tried to </w:t>
      </w:r>
      <w:r w:rsidR="003A4BCE">
        <w:t xml:space="preserve">provide an </w:t>
      </w:r>
      <w:r w:rsidR="00F72FBE">
        <w:t>“</w:t>
      </w:r>
      <w:r w:rsidR="003A4BCE">
        <w:t>explanation</w:t>
      </w:r>
      <w:r w:rsidR="00F72FBE">
        <w:t>”</w:t>
      </w:r>
      <w:r w:rsidR="003A4BCE">
        <w:t xml:space="preserve"> to the Court </w:t>
      </w:r>
      <w:r w:rsidR="00CB1457">
        <w:t xml:space="preserve">on 11 February 2022 </w:t>
      </w:r>
      <w:r w:rsidR="0094387B">
        <w:t xml:space="preserve">but </w:t>
      </w:r>
      <w:r w:rsidR="003A4BCE">
        <w:t>without admitting that they were in breach of the</w:t>
      </w:r>
      <w:r w:rsidR="0094387B">
        <w:t xml:space="preserve"> 2 previous Court Orders, let alone </w:t>
      </w:r>
      <w:r w:rsidR="00CB1457">
        <w:t xml:space="preserve">offering </w:t>
      </w:r>
      <w:r w:rsidR="0094387B">
        <w:t xml:space="preserve">an apology.   </w:t>
      </w:r>
    </w:p>
    <w:p w14:paraId="7398B13A" w14:textId="77777777" w:rsidR="000C3E1A" w:rsidRDefault="000C3E1A" w:rsidP="000C3E1A">
      <w:pPr>
        <w:pStyle w:val="ListParagraph"/>
        <w:spacing w:line="360" w:lineRule="auto"/>
        <w:ind w:left="0" w:right="67"/>
        <w:jc w:val="both"/>
      </w:pPr>
    </w:p>
    <w:p w14:paraId="79C6BFDA" w14:textId="150A61FC" w:rsidR="0095544F" w:rsidRDefault="0025375A" w:rsidP="00162E64">
      <w:pPr>
        <w:pStyle w:val="ListParagraph"/>
        <w:numPr>
          <w:ilvl w:val="0"/>
          <w:numId w:val="30"/>
        </w:numPr>
        <w:spacing w:line="360" w:lineRule="auto"/>
        <w:ind w:left="0" w:right="67" w:firstLine="0"/>
        <w:jc w:val="both"/>
      </w:pPr>
      <w:r>
        <w:lastRenderedPageBreak/>
        <w:t>In the submission, t</w:t>
      </w:r>
      <w:r w:rsidR="00AF2909">
        <w:t xml:space="preserve">he plaintiff’s solicitors confirmed that the joint orthopaedic examination was conducted by Dr Tio on 7 January 2022 and it was done </w:t>
      </w:r>
      <w:r w:rsidR="00BA4723">
        <w:t>“</w:t>
      </w:r>
      <w:r w:rsidR="00AF2909">
        <w:t xml:space="preserve">by </w:t>
      </w:r>
      <w:r w:rsidR="004B246B">
        <w:t xml:space="preserve">agreement </w:t>
      </w:r>
      <w:r w:rsidR="00BA4723">
        <w:t>between the parties</w:t>
      </w:r>
      <w:r w:rsidR="00124D70">
        <w:t>,</w:t>
      </w:r>
      <w:r w:rsidR="00162E64">
        <w:t xml:space="preserve"> </w:t>
      </w:r>
      <w:r w:rsidR="00BA4723">
        <w:t>and pursuant to a joint letter of instructions dated 28</w:t>
      </w:r>
      <w:r w:rsidR="00BA4723" w:rsidRPr="00BA4723">
        <w:rPr>
          <w:vertAlign w:val="superscript"/>
        </w:rPr>
        <w:t>th</w:t>
      </w:r>
      <w:r w:rsidR="00BA4723">
        <w:t xml:space="preserve"> December </w:t>
      </w:r>
      <w:r w:rsidR="0095544F">
        <w:t>2021”</w:t>
      </w:r>
      <w:r w:rsidR="00162E64">
        <w:t xml:space="preserve"> which of course is a</w:t>
      </w:r>
      <w:r w:rsidR="003552C7">
        <w:t xml:space="preserve"> </w:t>
      </w:r>
      <w:r w:rsidR="003552C7" w:rsidRPr="00162E64">
        <w:rPr>
          <w:i/>
          <w:iCs/>
        </w:rPr>
        <w:t>fait accompli</w:t>
      </w:r>
      <w:r w:rsidR="003552C7">
        <w:t xml:space="preserve"> on the part of the plaintiff.</w:t>
      </w:r>
    </w:p>
    <w:p w14:paraId="43B4E238" w14:textId="503DCB53" w:rsidR="000C3E1A" w:rsidRDefault="000C3E1A" w:rsidP="000C3E1A">
      <w:pPr>
        <w:pStyle w:val="ListParagraph"/>
        <w:spacing w:line="360" w:lineRule="auto"/>
        <w:ind w:left="0" w:right="67"/>
        <w:jc w:val="both"/>
      </w:pPr>
    </w:p>
    <w:p w14:paraId="79BC07CD" w14:textId="7DCA4522" w:rsidR="00154F5D" w:rsidRDefault="0095544F" w:rsidP="00162E64">
      <w:pPr>
        <w:pStyle w:val="ListParagraph"/>
        <w:numPr>
          <w:ilvl w:val="0"/>
          <w:numId w:val="30"/>
        </w:numPr>
        <w:spacing w:line="360" w:lineRule="auto"/>
        <w:ind w:left="0" w:right="67" w:firstLine="0"/>
        <w:jc w:val="both"/>
      </w:pPr>
      <w:r>
        <w:t xml:space="preserve">The plaintiff’s explanation for </w:t>
      </w:r>
      <w:r w:rsidR="008A2B51">
        <w:t>what I would regard as a</w:t>
      </w:r>
      <w:r>
        <w:t xml:space="preserve"> clear and flagrant breach of the </w:t>
      </w:r>
      <w:r w:rsidR="0017594B">
        <w:t>Orders of the Master is that “(S)o far as the Plaintiff is concerned</w:t>
      </w:r>
      <w:r w:rsidR="00856FA6" w:rsidRPr="00162E64">
        <w:t>,</w:t>
      </w:r>
      <w:r w:rsidR="0017594B">
        <w:t xml:space="preserve"> this is not a</w:t>
      </w:r>
      <w:r w:rsidR="00E01907">
        <w:t xml:space="preserve"> new expert as such – but an up</w:t>
      </w:r>
      <w:r w:rsidR="0017594B">
        <w:t>dated expert report.”  The plaintiff</w:t>
      </w:r>
      <w:r w:rsidR="00197F74">
        <w:t xml:space="preserve"> </w:t>
      </w:r>
      <w:r w:rsidR="0017594B">
        <w:t>further explained tha</w:t>
      </w:r>
      <w:r w:rsidR="00F30E5A">
        <w:t>t “(T)</w:t>
      </w:r>
      <w:r w:rsidR="00E01907">
        <w:t>he need for an up</w:t>
      </w:r>
      <w:r w:rsidR="00F30E5A">
        <w:t>dated orthopaedic expert report has been explaine</w:t>
      </w:r>
      <w:r w:rsidR="00856FA6">
        <w:t>d in the letter to PI Master da</w:t>
      </w:r>
      <w:r w:rsidR="00F30E5A">
        <w:t>ted 22</w:t>
      </w:r>
      <w:r w:rsidR="00F30E5A" w:rsidRPr="00F30E5A">
        <w:rPr>
          <w:vertAlign w:val="superscript"/>
        </w:rPr>
        <w:t>nd</w:t>
      </w:r>
      <w:r w:rsidR="00F30E5A">
        <w:t xml:space="preserve"> October 2021”</w:t>
      </w:r>
      <w:r w:rsidR="00AA7214">
        <w:t xml:space="preserve">, </w:t>
      </w:r>
      <w:r w:rsidR="00F30E5A">
        <w:t>which</w:t>
      </w:r>
      <w:r w:rsidR="00154F5D">
        <w:t xml:space="preserve"> of course was </w:t>
      </w:r>
      <w:r w:rsidR="00B9190F">
        <w:t>not the case as the letter had not mentioned the need for obtaining a new report from a new expert</w:t>
      </w:r>
      <w:r w:rsidR="00154F5D">
        <w:t>.</w:t>
      </w:r>
      <w:r w:rsidR="003552C7">
        <w:t xml:space="preserve">  </w:t>
      </w:r>
      <w:r w:rsidR="00B9190F">
        <w:t>It was a</w:t>
      </w:r>
      <w:r w:rsidR="003552C7">
        <w:t xml:space="preserve">nother </w:t>
      </w:r>
      <w:r w:rsidR="003552C7" w:rsidRPr="00162E64">
        <w:rPr>
          <w:i/>
          <w:iCs/>
        </w:rPr>
        <w:t>fait accompli</w:t>
      </w:r>
      <w:r w:rsidR="003552C7">
        <w:t xml:space="preserve"> on the part of the plaintiff</w:t>
      </w:r>
      <w:r w:rsidR="00C224B4">
        <w:t>.</w:t>
      </w:r>
    </w:p>
    <w:p w14:paraId="341A6FE2" w14:textId="22610AE2" w:rsidR="000C3E1A" w:rsidRDefault="000C3E1A" w:rsidP="000C3E1A">
      <w:pPr>
        <w:pStyle w:val="ListParagraph"/>
        <w:spacing w:line="360" w:lineRule="auto"/>
        <w:ind w:left="0" w:right="67"/>
        <w:jc w:val="both"/>
      </w:pPr>
    </w:p>
    <w:p w14:paraId="14FBDDD5" w14:textId="77777777" w:rsidR="000C3E1A" w:rsidRDefault="00154F5D" w:rsidP="000C3E1A">
      <w:pPr>
        <w:pStyle w:val="ListParagraph"/>
        <w:spacing w:line="360" w:lineRule="auto"/>
        <w:ind w:left="0" w:right="67"/>
        <w:jc w:val="both"/>
        <w:rPr>
          <w:i/>
          <w:iCs/>
        </w:rPr>
      </w:pPr>
      <w:r w:rsidRPr="00154F5D">
        <w:rPr>
          <w:i/>
          <w:iCs/>
        </w:rPr>
        <w:t xml:space="preserve">The defendant’s written submissions   </w:t>
      </w:r>
      <w:r w:rsidR="00F30E5A" w:rsidRPr="00154F5D">
        <w:rPr>
          <w:i/>
          <w:iCs/>
        </w:rPr>
        <w:t xml:space="preserve"> </w:t>
      </w:r>
      <w:r w:rsidR="00BA4723" w:rsidRPr="00154F5D">
        <w:rPr>
          <w:i/>
          <w:iCs/>
        </w:rPr>
        <w:t xml:space="preserve">  </w:t>
      </w:r>
    </w:p>
    <w:p w14:paraId="5DE4486F" w14:textId="42FD92F7" w:rsidR="00573E55" w:rsidRPr="00154F5D" w:rsidRDefault="00BA4723" w:rsidP="000C3E1A">
      <w:pPr>
        <w:pStyle w:val="ListParagraph"/>
        <w:spacing w:line="360" w:lineRule="auto"/>
        <w:ind w:left="0" w:right="67"/>
        <w:jc w:val="both"/>
        <w:rPr>
          <w:i/>
          <w:iCs/>
        </w:rPr>
      </w:pPr>
      <w:r w:rsidRPr="00154F5D">
        <w:rPr>
          <w:i/>
          <w:iCs/>
        </w:rPr>
        <w:t xml:space="preserve"> </w:t>
      </w:r>
    </w:p>
    <w:p w14:paraId="243EF601" w14:textId="09DC3444" w:rsidR="00805E7E" w:rsidRDefault="00805E7E" w:rsidP="005B3BEC">
      <w:pPr>
        <w:pStyle w:val="ListParagraph"/>
        <w:numPr>
          <w:ilvl w:val="0"/>
          <w:numId w:val="30"/>
        </w:numPr>
        <w:spacing w:after="418" w:line="360" w:lineRule="auto"/>
        <w:ind w:left="0" w:right="67" w:firstLine="0"/>
        <w:jc w:val="both"/>
      </w:pPr>
      <w:r>
        <w:t>Pursuant to the</w:t>
      </w:r>
      <w:r w:rsidR="00C224B4">
        <w:t xml:space="preserve"> </w:t>
      </w:r>
      <w:r w:rsidR="00856FA6" w:rsidRPr="00C224B4">
        <w:t>January 2022</w:t>
      </w:r>
      <w:r w:rsidR="00856FA6">
        <w:t xml:space="preserve"> </w:t>
      </w:r>
      <w:r>
        <w:t>Order, the defendant had, on 11 February 202</w:t>
      </w:r>
      <w:r w:rsidR="00856FA6" w:rsidRPr="00C224B4">
        <w:t>2</w:t>
      </w:r>
      <w:r w:rsidR="00124D70">
        <w:t>,</w:t>
      </w:r>
      <w:r>
        <w:t xml:space="preserve"> provided the following explanation and </w:t>
      </w:r>
      <w:r w:rsidR="003552C7">
        <w:t>apology</w:t>
      </w:r>
      <w:r>
        <w:t xml:space="preserve"> to the Court:-</w:t>
      </w:r>
    </w:p>
    <w:p w14:paraId="730E5C99" w14:textId="6FBA8EE3" w:rsidR="00D3566B" w:rsidRDefault="00D3566B" w:rsidP="00D3566B">
      <w:pPr>
        <w:pStyle w:val="ListParagraph"/>
        <w:ind w:left="1440" w:right="746"/>
        <w:jc w:val="both"/>
        <w:rPr>
          <w:bCs/>
          <w:sz w:val="24"/>
          <w:szCs w:val="24"/>
        </w:rPr>
      </w:pPr>
      <w:r>
        <w:rPr>
          <w:bCs/>
          <w:sz w:val="24"/>
          <w:szCs w:val="24"/>
        </w:rPr>
        <w:t>“On 29</w:t>
      </w:r>
      <w:r w:rsidRPr="00D3566B">
        <w:rPr>
          <w:bCs/>
          <w:sz w:val="24"/>
          <w:szCs w:val="24"/>
          <w:vertAlign w:val="superscript"/>
        </w:rPr>
        <w:t>th</w:t>
      </w:r>
      <w:r>
        <w:rPr>
          <w:bCs/>
          <w:sz w:val="24"/>
          <w:szCs w:val="24"/>
        </w:rPr>
        <w:t xml:space="preserve"> October 2021, the Plaintiff’s solicitors wrote to us requesting payment from the Defendant the costs of a spinal disc replacement surgery which the Plaintiff has been advised to undertake with an estimated costs at not less than HK$650,000 to HK$750,000. The Defendant did not agree. So the parties agreed to have the Plaintiff re-examined by Dr. Li Wing Kin (the parties’ single joint orthopaedic expert) and to produce an updated expert report. However, according to the Plaintiff’s solicitors, Dr. Li has retired and is unwilling to do the examination. Subsequently, the parties have agreed to instead appoint Dr. Peter Tio and failed to check the previous Orders and seek prior approval from the court for the new appointment of Dr. Tio. It is an oversight on our part to fail to check the previous Orders of which we do sincerely apologize to the court. </w:t>
      </w:r>
      <w:r>
        <w:rPr>
          <w:bCs/>
          <w:sz w:val="24"/>
          <w:szCs w:val="24"/>
        </w:rPr>
        <w:lastRenderedPageBreak/>
        <w:t xml:space="preserve">We urge the court to accept that there is no intention on our part to deliberately breach the </w:t>
      </w:r>
      <w:r w:rsidR="00856FA6" w:rsidRPr="00162E64">
        <w:rPr>
          <w:bCs/>
          <w:sz w:val="24"/>
          <w:szCs w:val="24"/>
        </w:rPr>
        <w:t>O</w:t>
      </w:r>
      <w:r>
        <w:rPr>
          <w:bCs/>
          <w:sz w:val="24"/>
          <w:szCs w:val="24"/>
        </w:rPr>
        <w:t xml:space="preserve">rders of the Court.” </w:t>
      </w:r>
    </w:p>
    <w:p w14:paraId="1F13317B" w14:textId="77777777" w:rsidR="00D3566B" w:rsidRPr="00D3566B" w:rsidRDefault="00D3566B" w:rsidP="00D3566B">
      <w:pPr>
        <w:pStyle w:val="ListParagraph"/>
        <w:spacing w:line="360" w:lineRule="auto"/>
        <w:ind w:left="1440" w:right="746"/>
        <w:jc w:val="both"/>
        <w:rPr>
          <w:bCs/>
          <w:szCs w:val="28"/>
        </w:rPr>
      </w:pPr>
    </w:p>
    <w:p w14:paraId="32DA2B8E" w14:textId="7FE0037F" w:rsidR="00573E55" w:rsidRPr="00BE6967" w:rsidRDefault="00BE6967" w:rsidP="00BE6967">
      <w:pPr>
        <w:pStyle w:val="ListParagraph"/>
        <w:spacing w:after="418" w:line="360" w:lineRule="auto"/>
        <w:ind w:left="0" w:right="67"/>
        <w:jc w:val="both"/>
        <w:rPr>
          <w:i/>
          <w:iCs/>
        </w:rPr>
      </w:pPr>
      <w:r w:rsidRPr="00BE6967">
        <w:rPr>
          <w:i/>
          <w:iCs/>
        </w:rPr>
        <w:t xml:space="preserve">The CMC hearing </w:t>
      </w:r>
      <w:r w:rsidR="00162E64">
        <w:rPr>
          <w:i/>
          <w:iCs/>
        </w:rPr>
        <w:t xml:space="preserve">before me </w:t>
      </w:r>
      <w:r w:rsidRPr="00BE6967">
        <w:rPr>
          <w:i/>
          <w:iCs/>
        </w:rPr>
        <w:t>on 18 February 2022</w:t>
      </w:r>
    </w:p>
    <w:p w14:paraId="23D7CA48" w14:textId="555901B3" w:rsidR="00C224B4" w:rsidRDefault="00BE6967" w:rsidP="00162E64">
      <w:pPr>
        <w:pStyle w:val="ListParagraph"/>
        <w:numPr>
          <w:ilvl w:val="0"/>
          <w:numId w:val="30"/>
        </w:numPr>
        <w:spacing w:after="418" w:line="360" w:lineRule="auto"/>
        <w:ind w:left="0" w:right="67" w:firstLine="0"/>
        <w:jc w:val="both"/>
      </w:pPr>
      <w:r>
        <w:t>Just the day before the CMC hearing took place before me,</w:t>
      </w:r>
      <w:r w:rsidR="00761732">
        <w:t xml:space="preserve"> </w:t>
      </w:r>
      <w:r w:rsidR="002A0018">
        <w:t xml:space="preserve">ie </w:t>
      </w:r>
      <w:r w:rsidR="00761732">
        <w:t>on 17 February 2022</w:t>
      </w:r>
      <w:r w:rsidR="00C224B4">
        <w:t>,</w:t>
      </w:r>
      <w:r>
        <w:t xml:space="preserve"> the plaintiff’s solicitors faxed a copy </w:t>
      </w:r>
      <w:r w:rsidR="000A5AEA">
        <w:t>of Dr Tio’s report dated 16 February 2022</w:t>
      </w:r>
      <w:r w:rsidR="001B0B16">
        <w:t xml:space="preserve"> to the Court,</w:t>
      </w:r>
      <w:r w:rsidR="00C224B4">
        <w:t xml:space="preserve"> </w:t>
      </w:r>
      <w:r w:rsidR="002A0018">
        <w:t>totally</w:t>
      </w:r>
      <w:r w:rsidR="00B35230">
        <w:t xml:space="preserve"> uninvited,</w:t>
      </w:r>
      <w:r w:rsidR="002A0018">
        <w:t xml:space="preserve"> </w:t>
      </w:r>
      <w:r w:rsidR="00162E64">
        <w:t>unauthorized</w:t>
      </w:r>
      <w:r w:rsidR="002A0018">
        <w:t xml:space="preserve"> and without any prior approval.</w:t>
      </w:r>
      <w:r w:rsidR="000A5AEA">
        <w:t xml:space="preserve">  This is a </w:t>
      </w:r>
      <w:r w:rsidR="000D6602">
        <w:t xml:space="preserve">substantial and comprehensive </w:t>
      </w:r>
      <w:r w:rsidR="000A5AEA">
        <w:t>22</w:t>
      </w:r>
      <w:r w:rsidR="009C5E8A">
        <w:t>-</w:t>
      </w:r>
      <w:r w:rsidR="000A5AEA">
        <w:t xml:space="preserve">page report provided by an </w:t>
      </w:r>
      <w:r w:rsidR="002A0018">
        <w:t>“</w:t>
      </w:r>
      <w:r w:rsidR="000A5AEA">
        <w:t>exp</w:t>
      </w:r>
      <w:r w:rsidR="009A088F">
        <w:t>ert</w:t>
      </w:r>
      <w:r w:rsidR="002A0018">
        <w:t>”</w:t>
      </w:r>
      <w:r w:rsidR="009A088F">
        <w:t xml:space="preserve"> which</w:t>
      </w:r>
      <w:r w:rsidR="001B0B16">
        <w:t xml:space="preserve"> was</w:t>
      </w:r>
      <w:r w:rsidR="009A088F">
        <w:t xml:space="preserve"> not</w:t>
      </w:r>
      <w:r w:rsidR="001B0B16">
        <w:t xml:space="preserve"> only </w:t>
      </w:r>
      <w:r w:rsidR="00162E64">
        <w:t>un</w:t>
      </w:r>
      <w:r w:rsidR="001B0B16">
        <w:t xml:space="preserve">sanctioned by the </w:t>
      </w:r>
      <w:r w:rsidR="00162E64">
        <w:t>Court</w:t>
      </w:r>
      <w:r w:rsidR="00335647">
        <w:t>,</w:t>
      </w:r>
      <w:r w:rsidR="00162E64">
        <w:t xml:space="preserve"> but</w:t>
      </w:r>
      <w:r w:rsidR="001B0B16">
        <w:t xml:space="preserve"> was specifically prohibited by the </w:t>
      </w:r>
      <w:r w:rsidR="00162E64">
        <w:t>Master</w:t>
      </w:r>
      <w:r w:rsidR="001B0B16">
        <w:t xml:space="preserve"> to do so. </w:t>
      </w:r>
      <w:r w:rsidR="009A088F">
        <w:t xml:space="preserve">It was sent to the Court </w:t>
      </w:r>
      <w:r w:rsidR="0074121B">
        <w:t xml:space="preserve">again </w:t>
      </w:r>
      <w:r w:rsidR="009A088F">
        <w:t xml:space="preserve">as a </w:t>
      </w:r>
      <w:r w:rsidR="009A088F" w:rsidRPr="00162E64">
        <w:rPr>
          <w:i/>
          <w:iCs/>
        </w:rPr>
        <w:t xml:space="preserve">fait accompli.  </w:t>
      </w:r>
      <w:r w:rsidR="009A088F">
        <w:t xml:space="preserve"> </w:t>
      </w:r>
    </w:p>
    <w:p w14:paraId="6E276F38" w14:textId="656FE43B" w:rsidR="008E6402" w:rsidRDefault="009C5E8A" w:rsidP="005B3BEC">
      <w:pPr>
        <w:pStyle w:val="ListParagraph"/>
        <w:numPr>
          <w:ilvl w:val="0"/>
          <w:numId w:val="30"/>
        </w:numPr>
        <w:spacing w:after="418" w:line="360" w:lineRule="auto"/>
        <w:ind w:left="0" w:right="67" w:firstLine="0"/>
        <w:jc w:val="both"/>
      </w:pPr>
      <w:r>
        <w:t xml:space="preserve">Without going into the </w:t>
      </w:r>
      <w:r w:rsidR="000C616F">
        <w:t>deta</w:t>
      </w:r>
      <w:r w:rsidR="008E6402">
        <w:t>i</w:t>
      </w:r>
      <w:r w:rsidR="000C616F">
        <w:t>ls of Dr T</w:t>
      </w:r>
      <w:r w:rsidR="008E6402">
        <w:t>io’s report, it is</w:t>
      </w:r>
      <w:r w:rsidR="001B0B16">
        <w:t xml:space="preserve"> </w:t>
      </w:r>
      <w:r w:rsidR="008E6402">
        <w:t xml:space="preserve">clear </w:t>
      </w:r>
      <w:r w:rsidR="001B0B16">
        <w:t xml:space="preserve">to me </w:t>
      </w:r>
      <w:r w:rsidR="008E6402">
        <w:t>why the plaintiff was so eager to obtain a completely fresh report from a completely different expert as both the</w:t>
      </w:r>
      <w:r w:rsidR="000D6602">
        <w:t xml:space="preserve"> contents and conclusions are very</w:t>
      </w:r>
      <w:r w:rsidR="008E6402">
        <w:t xml:space="preserve"> different from those found by Dr Li in his report dated </w:t>
      </w:r>
      <w:r w:rsidR="0074121B">
        <w:t>9 January 2018</w:t>
      </w:r>
      <w:r w:rsidR="008E6402">
        <w:t>.</w:t>
      </w:r>
      <w:r w:rsidR="001B0B16">
        <w:t xml:space="preserve"> </w:t>
      </w:r>
      <w:r w:rsidR="00335647">
        <w:t>They are “opinion</w:t>
      </w:r>
      <w:r w:rsidR="000D6602">
        <w:t>s</w:t>
      </w:r>
      <w:r w:rsidR="00AF6256">
        <w:t xml:space="preserve">” </w:t>
      </w:r>
      <w:r w:rsidR="00162E64">
        <w:t>which obviously would put</w:t>
      </w:r>
      <w:r w:rsidR="00AF6256">
        <w:t xml:space="preserve"> the plaintiff</w:t>
      </w:r>
      <w:r w:rsidR="00162E64">
        <w:t xml:space="preserve">’s case in a more favourable light. </w:t>
      </w:r>
    </w:p>
    <w:p w14:paraId="059D6883" w14:textId="636857EA" w:rsidR="00AF6256" w:rsidRDefault="00761732" w:rsidP="005B3BEC">
      <w:pPr>
        <w:pStyle w:val="ListParagraph"/>
        <w:numPr>
          <w:ilvl w:val="0"/>
          <w:numId w:val="30"/>
        </w:numPr>
        <w:spacing w:after="418" w:line="360" w:lineRule="auto"/>
        <w:ind w:left="0" w:right="67" w:firstLine="0"/>
        <w:jc w:val="both"/>
      </w:pPr>
      <w:r>
        <w:t>What was more shocking is that the plaintiff’s solicitors sent to the Court a “draft order” by fax on 16 February 2022</w:t>
      </w:r>
      <w:r w:rsidR="00162E64">
        <w:t xml:space="preserve">, </w:t>
      </w:r>
      <w:r w:rsidR="0074121B">
        <w:t>fully</w:t>
      </w:r>
      <w:r w:rsidR="002A0018">
        <w:t xml:space="preserve"> expect</w:t>
      </w:r>
      <w:r w:rsidR="0074121B">
        <w:t>ing</w:t>
      </w:r>
      <w:r w:rsidR="002A0018">
        <w:t xml:space="preserve"> the Court would </w:t>
      </w:r>
      <w:r w:rsidR="005753AD">
        <w:t xml:space="preserve">endorse the </w:t>
      </w:r>
      <w:r w:rsidR="007D5FD0">
        <w:t>order</w:t>
      </w:r>
      <w:r w:rsidR="0074121B">
        <w:t xml:space="preserve">, </w:t>
      </w:r>
      <w:r w:rsidR="005753AD">
        <w:t xml:space="preserve">which, </w:t>
      </w:r>
      <w:r w:rsidR="0074121B" w:rsidRPr="0074121B">
        <w:rPr>
          <w:i/>
          <w:iCs/>
        </w:rPr>
        <w:t>inter alia</w:t>
      </w:r>
      <w:r w:rsidR="0074121B">
        <w:t>,</w:t>
      </w:r>
      <w:r w:rsidR="005753AD">
        <w:t xml:space="preserve"> states</w:t>
      </w:r>
      <w:r w:rsidR="007D5FD0">
        <w:t>:</w:t>
      </w:r>
      <w:r w:rsidR="002A0018">
        <w:t xml:space="preserve"> </w:t>
      </w:r>
      <w:r w:rsidR="002A0018" w:rsidRPr="000D6602">
        <w:t>“</w:t>
      </w:r>
      <w:r w:rsidR="002A0018" w:rsidRPr="000D6602">
        <w:rPr>
          <w:iCs/>
        </w:rPr>
        <w:t>BY CONSENT, leave be granted to the parties to change the nomination of single joint orthopeadic expert from Dr</w:t>
      </w:r>
      <w:r w:rsidR="00E846EE" w:rsidRPr="000D6602">
        <w:rPr>
          <w:iCs/>
        </w:rPr>
        <w:t>.</w:t>
      </w:r>
      <w:r w:rsidR="002A0018" w:rsidRPr="000D6602">
        <w:rPr>
          <w:iCs/>
        </w:rPr>
        <w:t xml:space="preserve"> Li Wing Kin to Dr. Tio Man Kw</w:t>
      </w:r>
      <w:r w:rsidR="00E846EE" w:rsidRPr="000D6602">
        <w:rPr>
          <w:iCs/>
        </w:rPr>
        <w:t>u</w:t>
      </w:r>
      <w:r w:rsidR="002A0018" w:rsidRPr="000D6602">
        <w:rPr>
          <w:iCs/>
        </w:rPr>
        <w:t>n Peter”</w:t>
      </w:r>
      <w:r w:rsidR="0074121B" w:rsidRPr="000D6602">
        <w:rPr>
          <w:iCs/>
        </w:rPr>
        <w:t>.</w:t>
      </w:r>
      <w:r w:rsidR="002A0018">
        <w:t xml:space="preserve"> This </w:t>
      </w:r>
      <w:r w:rsidR="007D5FD0">
        <w:t xml:space="preserve">in my view </w:t>
      </w:r>
      <w:r w:rsidR="002A0018">
        <w:t xml:space="preserve">not only </w:t>
      </w:r>
      <w:r w:rsidR="007D5FD0">
        <w:t>shows</w:t>
      </w:r>
      <w:r w:rsidR="002A0018">
        <w:t xml:space="preserve"> </w:t>
      </w:r>
      <w:r w:rsidR="007D5FD0">
        <w:t xml:space="preserve">a clear </w:t>
      </w:r>
      <w:r w:rsidR="000D6602">
        <w:t>breach</w:t>
      </w:r>
      <w:r w:rsidR="002A0018">
        <w:t xml:space="preserve"> of the </w:t>
      </w:r>
      <w:r w:rsidR="00E846EE" w:rsidRPr="00335647">
        <w:t>2</w:t>
      </w:r>
      <w:r w:rsidR="007D5FD0">
        <w:t xml:space="preserve"> previous Orders </w:t>
      </w:r>
      <w:r w:rsidR="00B851D0">
        <w:t xml:space="preserve">made by the Master </w:t>
      </w:r>
      <w:r w:rsidR="007D5FD0">
        <w:t xml:space="preserve">but </w:t>
      </w:r>
      <w:r w:rsidR="00B851D0">
        <w:t xml:space="preserve">also </w:t>
      </w:r>
      <w:r w:rsidR="007D5FD0">
        <w:t xml:space="preserve">displays a </w:t>
      </w:r>
      <w:r w:rsidR="00AF6256">
        <w:t>contemptuous</w:t>
      </w:r>
      <w:r w:rsidR="007D5FD0">
        <w:t xml:space="preserve"> and </w:t>
      </w:r>
      <w:r w:rsidR="002F7EB6">
        <w:t>disrespectful</w:t>
      </w:r>
      <w:r w:rsidR="007D5FD0">
        <w:t xml:space="preserve"> </w:t>
      </w:r>
      <w:r w:rsidR="0074121B">
        <w:t>attitude of a</w:t>
      </w:r>
      <w:r w:rsidR="00B851D0">
        <w:t xml:space="preserve"> solicitor to the Court</w:t>
      </w:r>
      <w:r w:rsidR="000D6602">
        <w:t xml:space="preserve">. </w:t>
      </w:r>
    </w:p>
    <w:p w14:paraId="476F36AE" w14:textId="18CF7E9E" w:rsidR="002948CC" w:rsidRDefault="00B851D0" w:rsidP="005B3BEC">
      <w:pPr>
        <w:pStyle w:val="ListParagraph"/>
        <w:numPr>
          <w:ilvl w:val="0"/>
          <w:numId w:val="30"/>
        </w:numPr>
        <w:spacing w:after="418" w:line="360" w:lineRule="auto"/>
        <w:ind w:left="0" w:right="67" w:firstLine="0"/>
        <w:jc w:val="both"/>
      </w:pPr>
      <w:r>
        <w:lastRenderedPageBreak/>
        <w:t xml:space="preserve">It is </w:t>
      </w:r>
      <w:r w:rsidR="00162E64">
        <w:t xml:space="preserve">yet </w:t>
      </w:r>
      <w:r>
        <w:t>a</w:t>
      </w:r>
      <w:r w:rsidR="008A2B51">
        <w:t>nother attempt of</w:t>
      </w:r>
      <w:r w:rsidR="00FA290B">
        <w:t xml:space="preserve"> a</w:t>
      </w:r>
      <w:r w:rsidR="008A2B51">
        <w:t xml:space="preserve"> </w:t>
      </w:r>
      <w:r w:rsidR="008A2B51" w:rsidRPr="008A2B51">
        <w:rPr>
          <w:i/>
          <w:iCs/>
        </w:rPr>
        <w:t>fait accompli</w:t>
      </w:r>
      <w:r w:rsidR="008A2B51">
        <w:t xml:space="preserve"> on the part of the plaintiff</w:t>
      </w:r>
      <w:r w:rsidR="00DB1392">
        <w:t xml:space="preserve">’s </w:t>
      </w:r>
      <w:r w:rsidR="00C46E51">
        <w:t>solicitors</w:t>
      </w:r>
      <w:r w:rsidR="00DB1392">
        <w:t>.</w:t>
      </w:r>
      <w:r w:rsidR="00B52D5F">
        <w:t xml:space="preserve">  </w:t>
      </w:r>
    </w:p>
    <w:p w14:paraId="71360357" w14:textId="31FDB358" w:rsidR="00AF6256" w:rsidRDefault="00FA290B" w:rsidP="005B3BEC">
      <w:pPr>
        <w:pStyle w:val="ListParagraph"/>
        <w:numPr>
          <w:ilvl w:val="0"/>
          <w:numId w:val="30"/>
        </w:numPr>
        <w:spacing w:after="418" w:line="360" w:lineRule="auto"/>
        <w:ind w:left="0" w:right="67" w:firstLine="0"/>
        <w:jc w:val="both"/>
      </w:pPr>
      <w:r>
        <w:t>Further, t</w:t>
      </w:r>
      <w:r w:rsidR="00B52D5F">
        <w:t xml:space="preserve">he “draft order” contained </w:t>
      </w:r>
      <w:r w:rsidR="001973F2">
        <w:t xml:space="preserve">some of new </w:t>
      </w:r>
      <w:r w:rsidR="00AF6256">
        <w:t>“</w:t>
      </w:r>
      <w:r w:rsidR="001973F2">
        <w:t>proposed directions</w:t>
      </w:r>
      <w:r w:rsidR="00AF6256">
        <w:t>”</w:t>
      </w:r>
      <w:r w:rsidR="001973F2">
        <w:t xml:space="preserve"> </w:t>
      </w:r>
      <w:r w:rsidR="00DC4B77">
        <w:t xml:space="preserve">suggested by the plaintiff </w:t>
      </w:r>
      <w:r w:rsidR="001973F2">
        <w:t>which basically included the time</w:t>
      </w:r>
      <w:r w:rsidR="00CD7070">
        <w:t>table of when Dr Tio should examine the plaintiff and</w:t>
      </w:r>
      <w:r w:rsidR="00E846EE">
        <w:t xml:space="preserve"> when his report should be </w:t>
      </w:r>
      <w:r w:rsidR="00E846EE" w:rsidRPr="00AF6256">
        <w:t>comp</w:t>
      </w:r>
      <w:r w:rsidR="00CD7070" w:rsidRPr="00AF6256">
        <w:t>i</w:t>
      </w:r>
      <w:r w:rsidR="00E846EE" w:rsidRPr="00AF6256">
        <w:t>l</w:t>
      </w:r>
      <w:r w:rsidR="00CD7070" w:rsidRPr="00AF6256">
        <w:t>ed</w:t>
      </w:r>
      <w:r w:rsidR="00CD7070">
        <w:t xml:space="preserve">.  It also tried to introduce a completely new </w:t>
      </w:r>
      <w:r w:rsidR="002948CC">
        <w:t>and</w:t>
      </w:r>
      <w:r w:rsidR="00AB1AF6">
        <w:t xml:space="preserve"> up until then </w:t>
      </w:r>
      <w:r w:rsidR="002948CC">
        <w:t>never been mentioned idea</w:t>
      </w:r>
      <w:r w:rsidR="00364F93">
        <w:t xml:space="preserve"> of </w:t>
      </w:r>
      <w:r w:rsidR="00AB1AF6">
        <w:t>the “</w:t>
      </w:r>
      <w:r w:rsidR="002948CC">
        <w:t xml:space="preserve">need for </w:t>
      </w:r>
      <w:r w:rsidR="00AB1AF6">
        <w:t>an e</w:t>
      </w:r>
      <w:r w:rsidR="00364F93">
        <w:t>mployment expert</w:t>
      </w:r>
      <w:r w:rsidR="00AB1AF6">
        <w:t>”</w:t>
      </w:r>
      <w:r w:rsidR="00F913E3">
        <w:t>.</w:t>
      </w:r>
      <w:r w:rsidR="002948CC">
        <w:t xml:space="preserve">  </w:t>
      </w:r>
    </w:p>
    <w:p w14:paraId="5E3C41F4" w14:textId="43EECF55" w:rsidR="00335647" w:rsidRDefault="00576205" w:rsidP="00335647">
      <w:pPr>
        <w:pStyle w:val="ListParagraph"/>
        <w:numPr>
          <w:ilvl w:val="0"/>
          <w:numId w:val="30"/>
        </w:numPr>
        <w:spacing w:after="418" w:line="360" w:lineRule="auto"/>
        <w:ind w:left="0" w:right="67" w:firstLine="0"/>
        <w:jc w:val="both"/>
      </w:pPr>
      <w:r>
        <w:t xml:space="preserve">One </w:t>
      </w:r>
      <w:r w:rsidR="00162E64">
        <w:t>must</w:t>
      </w:r>
      <w:r>
        <w:t xml:space="preserve"> bear in mind that t</w:t>
      </w:r>
      <w:r w:rsidR="002948CC">
        <w:t>h</w:t>
      </w:r>
      <w:r w:rsidR="00162E64">
        <w:t xml:space="preserve">e suggestion of having a new orthopaedic expert and an “employment expert” </w:t>
      </w:r>
      <w:r w:rsidR="002F7EB6">
        <w:t>was put forward</w:t>
      </w:r>
      <w:r w:rsidR="00DC4B77">
        <w:t xml:space="preserve"> </w:t>
      </w:r>
      <w:r w:rsidR="00335647">
        <w:t xml:space="preserve">for the </w:t>
      </w:r>
      <w:r w:rsidR="00162E64">
        <w:t xml:space="preserve">first time </w:t>
      </w:r>
      <w:r w:rsidR="00FA290B">
        <w:t>7</w:t>
      </w:r>
      <w:r w:rsidR="00DC47C1">
        <w:t>.5</w:t>
      </w:r>
      <w:r w:rsidR="00364F93">
        <w:t xml:space="preserve"> years after the Accident and </w:t>
      </w:r>
      <w:r w:rsidR="002948CC">
        <w:t xml:space="preserve">almost 5 years after interlocutory judgment was entered against the defendant.  </w:t>
      </w:r>
      <w:r w:rsidR="00F913E3">
        <w:t>In my judgment, t</w:t>
      </w:r>
      <w:r w:rsidR="002948CC">
        <w:t>o say this is a naked and shameless attempt on the part of the plaintiff’s solicitors to usurp the case management function</w:t>
      </w:r>
      <w:r w:rsidR="00AB1AF6">
        <w:t>s</w:t>
      </w:r>
      <w:r w:rsidR="002948CC">
        <w:t xml:space="preserve"> of the Court perhaps</w:t>
      </w:r>
      <w:r w:rsidR="00162E64">
        <w:t xml:space="preserve"> is </w:t>
      </w:r>
      <w:r w:rsidR="00B851D0">
        <w:t>an understatement</w:t>
      </w:r>
      <w:r w:rsidR="00AB1AF6">
        <w:t>.</w:t>
      </w:r>
      <w:r w:rsidR="00162E64">
        <w:t xml:space="preserve">  </w:t>
      </w:r>
    </w:p>
    <w:p w14:paraId="06E51792" w14:textId="71EB0F76" w:rsidR="00335647" w:rsidRDefault="00F913E3" w:rsidP="00335647">
      <w:pPr>
        <w:pStyle w:val="ListParagraph"/>
        <w:numPr>
          <w:ilvl w:val="0"/>
          <w:numId w:val="30"/>
        </w:numPr>
        <w:spacing w:after="418" w:line="360" w:lineRule="auto"/>
        <w:ind w:left="0" w:right="67" w:firstLine="0"/>
        <w:jc w:val="both"/>
      </w:pPr>
      <w:r>
        <w:t>At the hearing before me on 18 February 2022, Mr Burke for the plaintiff remained unrep</w:t>
      </w:r>
      <w:r w:rsidR="00FA290B">
        <w:t>entant</w:t>
      </w:r>
      <w:r>
        <w:t xml:space="preserve"> and unapologetic about his </w:t>
      </w:r>
      <w:r w:rsidR="00F950B2">
        <w:t>attempt</w:t>
      </w:r>
      <w:r w:rsidR="000D6602">
        <w:t>s</w:t>
      </w:r>
      <w:r w:rsidR="00F950B2">
        <w:t xml:space="preserve"> to introduce a </w:t>
      </w:r>
      <w:r w:rsidR="00576205">
        <w:t>completely</w:t>
      </w:r>
      <w:r w:rsidR="00F950B2">
        <w:t xml:space="preserve"> new orthopeadic expert without le</w:t>
      </w:r>
      <w:r w:rsidR="00576205">
        <w:t>a</w:t>
      </w:r>
      <w:r w:rsidR="00F950B2">
        <w:t>ve of the C</w:t>
      </w:r>
      <w:r w:rsidR="00576205">
        <w:t>ou</w:t>
      </w:r>
      <w:r w:rsidR="00F950B2">
        <w:t xml:space="preserve">rt and in </w:t>
      </w:r>
      <w:r>
        <w:t>what I</w:t>
      </w:r>
      <w:r w:rsidR="00335647">
        <w:t xml:space="preserve"> would</w:t>
      </w:r>
      <w:r>
        <w:t xml:space="preserve"> find</w:t>
      </w:r>
      <w:r w:rsidR="00FD54DE">
        <w:t xml:space="preserve"> as a</w:t>
      </w:r>
      <w:r>
        <w:t xml:space="preserve"> deliberate and </w:t>
      </w:r>
      <w:r w:rsidR="00F950B2">
        <w:t xml:space="preserve">contemptuous </w:t>
      </w:r>
      <w:r w:rsidR="00F830A8">
        <w:t>defiance</w:t>
      </w:r>
      <w:r>
        <w:t xml:space="preserve"> of the Master’s</w:t>
      </w:r>
      <w:r w:rsidR="0057312D">
        <w:t xml:space="preserve"> </w:t>
      </w:r>
      <w:r w:rsidR="00F950B2">
        <w:t>2</w:t>
      </w:r>
      <w:r w:rsidR="0057312D">
        <w:t xml:space="preserve"> </w:t>
      </w:r>
      <w:r w:rsidR="00162E64">
        <w:t xml:space="preserve">very specific </w:t>
      </w:r>
      <w:r w:rsidR="00F950B2">
        <w:t>Orders.</w:t>
      </w:r>
      <w:r w:rsidR="00F830A8">
        <w:t xml:space="preserve">  </w:t>
      </w:r>
    </w:p>
    <w:p w14:paraId="708392C9" w14:textId="689F6987" w:rsidR="00CC1240" w:rsidRPr="00335647" w:rsidRDefault="00F830A8" w:rsidP="00335647">
      <w:pPr>
        <w:pStyle w:val="ListParagraph"/>
        <w:numPr>
          <w:ilvl w:val="0"/>
          <w:numId w:val="30"/>
        </w:numPr>
        <w:spacing w:after="418" w:line="360" w:lineRule="auto"/>
        <w:ind w:left="0" w:right="67" w:firstLine="0"/>
        <w:jc w:val="both"/>
      </w:pPr>
      <w:r>
        <w:t xml:space="preserve">According to his own “interpretation”, </w:t>
      </w:r>
      <w:r w:rsidR="00162E64">
        <w:t>Mr Burke</w:t>
      </w:r>
      <w:r>
        <w:t xml:space="preserve"> considers that Dr Tio is not a “new” </w:t>
      </w:r>
      <w:r w:rsidR="00262372">
        <w:t xml:space="preserve">or “additional” </w:t>
      </w:r>
      <w:r>
        <w:t xml:space="preserve">expert </w:t>
      </w:r>
      <w:r w:rsidR="00262372">
        <w:t>as</w:t>
      </w:r>
      <w:r>
        <w:t xml:space="preserve"> he was merely asked to give an “update</w:t>
      </w:r>
      <w:r w:rsidR="00FA290B">
        <w:t>d</w:t>
      </w:r>
      <w:r>
        <w:t xml:space="preserve">” report of the plaintiff’s </w:t>
      </w:r>
      <w:r w:rsidR="00950E60">
        <w:t>orthopeadic condition.  I find nothing is further from the truth as reading from the joint instruction letter to Dr Tio (which</w:t>
      </w:r>
      <w:r w:rsidR="00FA290B">
        <w:t xml:space="preserve"> incidentally</w:t>
      </w:r>
      <w:r w:rsidR="00950E60">
        <w:t xml:space="preserve"> was </w:t>
      </w:r>
      <w:r w:rsidR="00DC4B77">
        <w:t xml:space="preserve">only </w:t>
      </w:r>
      <w:r w:rsidR="00950E60">
        <w:t xml:space="preserve">produced to the Court at the </w:t>
      </w:r>
      <w:r w:rsidR="00950E60">
        <w:lastRenderedPageBreak/>
        <w:t>hearing</w:t>
      </w:r>
      <w:r w:rsidR="00DC4B77">
        <w:t xml:space="preserve"> upon the Court’s request</w:t>
      </w:r>
      <w:r w:rsidR="00950E60">
        <w:t>) and Dr Tio’s subsequent unsanctioned and unsolicited report</w:t>
      </w:r>
      <w:r w:rsidR="00162E64">
        <w:t>,</w:t>
      </w:r>
      <w:r w:rsidR="00335647">
        <w:t xml:space="preserve"> </w:t>
      </w:r>
      <w:r w:rsidR="00162E64">
        <w:t xml:space="preserve">they </w:t>
      </w:r>
      <w:r w:rsidR="00950E60">
        <w:t xml:space="preserve">show that he was asked to </w:t>
      </w:r>
      <w:r w:rsidR="00335647">
        <w:t>prepare</w:t>
      </w:r>
      <w:r w:rsidR="0057312D">
        <w:t xml:space="preserve"> </w:t>
      </w:r>
      <w:r w:rsidR="00262372">
        <w:t>(</w:t>
      </w:r>
      <w:r w:rsidR="00950E60">
        <w:t>and duly obliged</w:t>
      </w:r>
      <w:r w:rsidR="00262372">
        <w:t xml:space="preserve">) </w:t>
      </w:r>
      <w:r w:rsidR="00950E60">
        <w:t xml:space="preserve">a completely </w:t>
      </w:r>
      <w:r w:rsidR="00950E60" w:rsidRPr="00335647">
        <w:rPr>
          <w:i/>
          <w:iCs/>
        </w:rPr>
        <w:t>fresh</w:t>
      </w:r>
      <w:r w:rsidR="00950E60">
        <w:t xml:space="preserve"> </w:t>
      </w:r>
      <w:r w:rsidR="002F7EB6" w:rsidRPr="00335647">
        <w:rPr>
          <w:i/>
          <w:iCs/>
        </w:rPr>
        <w:t>and new</w:t>
      </w:r>
      <w:r w:rsidR="002F7EB6">
        <w:t xml:space="preserve"> </w:t>
      </w:r>
      <w:r w:rsidR="00CC1240">
        <w:t xml:space="preserve">orthopaedic expert </w:t>
      </w:r>
      <w:r w:rsidR="00950E60">
        <w:t>report</w:t>
      </w:r>
      <w:r w:rsidR="002F7EB6">
        <w:t xml:space="preserve">, </w:t>
      </w:r>
      <w:r w:rsidR="00143302">
        <w:t xml:space="preserve">contrary to </w:t>
      </w:r>
      <w:r w:rsidR="002F7EB6">
        <w:t xml:space="preserve">the plaintiff’s </w:t>
      </w:r>
      <w:r w:rsidR="00335647">
        <w:t xml:space="preserve">so-called </w:t>
      </w:r>
      <w:r w:rsidR="00162E64">
        <w:t>“interpretation”</w:t>
      </w:r>
      <w:r w:rsidR="002F7EB6">
        <w:t xml:space="preserve">. </w:t>
      </w:r>
      <w:r w:rsidR="00143302">
        <w:t xml:space="preserve"> I find this </w:t>
      </w:r>
      <w:r>
        <w:t>arrogant and egotistical way of “inter</w:t>
      </w:r>
      <w:r w:rsidR="00143302">
        <w:t>pretation</w:t>
      </w:r>
      <w:r>
        <w:t>”</w:t>
      </w:r>
      <w:r w:rsidR="00143302">
        <w:t xml:space="preserve"> of</w:t>
      </w:r>
      <w:r>
        <w:t xml:space="preserve"> </w:t>
      </w:r>
      <w:r w:rsidR="00143302">
        <w:t>the plaintiff’s solicitor</w:t>
      </w:r>
      <w:r w:rsidR="00335647">
        <w:t>s</w:t>
      </w:r>
      <w:r w:rsidR="00143302">
        <w:t xml:space="preserve"> not only falls far short of the standard to be expected from an experienced PI </w:t>
      </w:r>
      <w:r w:rsidR="00FA290B">
        <w:t>solicitor</w:t>
      </w:r>
      <w:r w:rsidR="00143302">
        <w:t xml:space="preserve"> but also</w:t>
      </w:r>
      <w:r w:rsidR="00CC1240">
        <w:t xml:space="preserve"> an insult to the </w:t>
      </w:r>
      <w:r w:rsidR="00335647">
        <w:t xml:space="preserve">integrity </w:t>
      </w:r>
      <w:r w:rsidR="00CC1240">
        <w:t>of the Court</w:t>
      </w:r>
      <w:r w:rsidR="00335647">
        <w:t>.</w:t>
      </w:r>
      <w:r w:rsidR="00CC1240">
        <w:t xml:space="preserve"> </w:t>
      </w:r>
      <w:r w:rsidR="009F34F3">
        <w:t>I</w:t>
      </w:r>
      <w:r w:rsidR="00FD54DE">
        <w:t xml:space="preserve">n my </w:t>
      </w:r>
      <w:r w:rsidR="002F7EB6">
        <w:t>judgment</w:t>
      </w:r>
      <w:r w:rsidR="00FD54DE">
        <w:t>,</w:t>
      </w:r>
      <w:r w:rsidR="00335647">
        <w:t xml:space="preserve"> the plaintiff’s </w:t>
      </w:r>
      <w:r w:rsidR="000D6602">
        <w:t>attempts</w:t>
      </w:r>
      <w:r w:rsidR="00335647">
        <w:t xml:space="preserve"> to have a new orthopaedic expert report</w:t>
      </w:r>
      <w:r w:rsidR="009F34F3">
        <w:t xml:space="preserve"> is nothing short of having a second bite of the cherry when the plaintiff </w:t>
      </w:r>
      <w:r w:rsidR="000D6602">
        <w:t>and/</w:t>
      </w:r>
      <w:r w:rsidR="009F34F3">
        <w:t>or his solicitor</w:t>
      </w:r>
      <w:r w:rsidR="000D6602">
        <w:t>s are</w:t>
      </w:r>
      <w:r w:rsidR="009F34F3">
        <w:t xml:space="preserve"> clearly not happy with the opinions expressed by Dr Li in his </w:t>
      </w:r>
      <w:r w:rsidR="00162E64">
        <w:t>s</w:t>
      </w:r>
      <w:r w:rsidR="002F7EB6">
        <w:t xml:space="preserve">ingle joint expert report written </w:t>
      </w:r>
      <w:r w:rsidR="00162E64">
        <w:t xml:space="preserve">back </w:t>
      </w:r>
      <w:r w:rsidR="002F7EB6">
        <w:t xml:space="preserve">in </w:t>
      </w:r>
      <w:r w:rsidR="009F34F3">
        <w:t xml:space="preserve">2018.  </w:t>
      </w:r>
      <w:r w:rsidR="002F7EB6">
        <w:t>What they wer</w:t>
      </w:r>
      <w:r w:rsidR="00335647">
        <w:t xml:space="preserve">e hoping for and </w:t>
      </w:r>
      <w:r w:rsidR="000D6602">
        <w:t>did receive</w:t>
      </w:r>
      <w:r w:rsidR="00335647">
        <w:t xml:space="preserve"> was a report consisted of </w:t>
      </w:r>
      <w:r w:rsidR="002F7EB6">
        <w:t>completely different findings and conclu</w:t>
      </w:r>
      <w:r w:rsidR="00535393">
        <w:t xml:space="preserve">sions reached by a new “expert”. They then tried </w:t>
      </w:r>
      <w:r w:rsidR="002F7EB6">
        <w:t xml:space="preserve">to present it to the Court as a </w:t>
      </w:r>
      <w:r w:rsidR="002F7EB6" w:rsidRPr="00335647">
        <w:rPr>
          <w:i/>
          <w:iCs/>
        </w:rPr>
        <w:t>fait accompli</w:t>
      </w:r>
      <w:r w:rsidR="00162E64" w:rsidRPr="00335647">
        <w:rPr>
          <w:i/>
          <w:iCs/>
        </w:rPr>
        <w:t xml:space="preserve">, </w:t>
      </w:r>
      <w:r w:rsidR="00535393">
        <w:t>fully expecting the Court will</w:t>
      </w:r>
      <w:r w:rsidR="00162E64">
        <w:t xml:space="preserve"> accept the </w:t>
      </w:r>
      <w:r w:rsidR="00AF4728">
        <w:t>“</w:t>
      </w:r>
      <w:r w:rsidR="00FA290B">
        <w:t>done deed</w:t>
      </w:r>
      <w:r w:rsidR="00AF4728">
        <w:t>”</w:t>
      </w:r>
      <w:r w:rsidR="00535393">
        <w:t>.</w:t>
      </w:r>
    </w:p>
    <w:p w14:paraId="296AD8AA" w14:textId="022F5137" w:rsidR="00540DEC" w:rsidRDefault="00CC1240" w:rsidP="005B3BEC">
      <w:pPr>
        <w:pStyle w:val="ListParagraph"/>
        <w:numPr>
          <w:ilvl w:val="0"/>
          <w:numId w:val="30"/>
        </w:numPr>
        <w:spacing w:after="418" w:line="360" w:lineRule="auto"/>
        <w:ind w:left="0" w:right="67" w:firstLine="0"/>
        <w:jc w:val="both"/>
      </w:pPr>
      <w:r>
        <w:t xml:space="preserve">It was after much </w:t>
      </w:r>
      <w:r w:rsidR="00332C67">
        <w:t>direct questioning</w:t>
      </w:r>
      <w:r w:rsidR="00325B9A">
        <w:t>s</w:t>
      </w:r>
      <w:r w:rsidR="00332C67">
        <w:t xml:space="preserve"> from the </w:t>
      </w:r>
      <w:r w:rsidR="00162E64">
        <w:t xml:space="preserve">Court </w:t>
      </w:r>
      <w:r w:rsidR="00535393">
        <w:t xml:space="preserve">at the hearing </w:t>
      </w:r>
      <w:r w:rsidR="00AF4728">
        <w:t xml:space="preserve">before me </w:t>
      </w:r>
      <w:r w:rsidR="00332C67">
        <w:t xml:space="preserve">that Mr Burke finally was prepared to </w:t>
      </w:r>
      <w:r w:rsidR="00332C67" w:rsidRPr="00FD54DE">
        <w:rPr>
          <w:i/>
          <w:iCs/>
        </w:rPr>
        <w:t xml:space="preserve">“accept that there has been a breach of the </w:t>
      </w:r>
      <w:r w:rsidR="0057312D" w:rsidRPr="00FD54DE">
        <w:rPr>
          <w:i/>
          <w:iCs/>
        </w:rPr>
        <w:t xml:space="preserve">(March 2021) </w:t>
      </w:r>
      <w:r w:rsidR="00332C67" w:rsidRPr="00FD54DE">
        <w:rPr>
          <w:i/>
          <w:iCs/>
        </w:rPr>
        <w:t>Order”</w:t>
      </w:r>
      <w:r w:rsidR="00332C67">
        <w:t>.</w:t>
      </w:r>
      <w:r w:rsidR="0057312D">
        <w:t xml:space="preserve">  </w:t>
      </w:r>
      <w:r w:rsidR="00540DEC">
        <w:t xml:space="preserve">However, he still refused to accept that there was a breach of the October 2021 Order as he considered that by informing the Court by a letter before the CLR hearing containing the suggestion of a treating doctor of the plaintiff to do a fusion operation could justify him in introducing a complete new </w:t>
      </w:r>
      <w:r w:rsidR="00847420">
        <w:t xml:space="preserve">orthopaedic </w:t>
      </w:r>
      <w:r w:rsidR="00540DEC">
        <w:t>expert without leave.</w:t>
      </w:r>
      <w:r w:rsidR="00FD54DE">
        <w:t xml:space="preserve">  I find such feeble excuse to be contemptuous</w:t>
      </w:r>
      <w:r w:rsidR="00325B9A">
        <w:t xml:space="preserve"> and totally disingenuous.</w:t>
      </w:r>
      <w:r w:rsidR="00FD54DE">
        <w:t xml:space="preserve"> </w:t>
      </w:r>
    </w:p>
    <w:p w14:paraId="13C0E6E1" w14:textId="56D51B60" w:rsidR="00325B9A" w:rsidRDefault="00C809E8" w:rsidP="005B3BEC">
      <w:pPr>
        <w:pStyle w:val="ListParagraph"/>
        <w:numPr>
          <w:ilvl w:val="0"/>
          <w:numId w:val="30"/>
        </w:numPr>
        <w:spacing w:after="418" w:line="360" w:lineRule="auto"/>
        <w:ind w:left="0" w:right="67" w:firstLine="0"/>
        <w:jc w:val="both"/>
      </w:pPr>
      <w:r>
        <w:t>M</w:t>
      </w:r>
      <w:r w:rsidR="00FD54DE">
        <w:t>r</w:t>
      </w:r>
      <w:r>
        <w:t xml:space="preserve"> Tsang on the other hand repeated the explanations </w:t>
      </w:r>
      <w:r w:rsidR="00FD54DE">
        <w:t xml:space="preserve">he had </w:t>
      </w:r>
      <w:r>
        <w:t xml:space="preserve">given in the defendant’s written submissions dated 11 February 2022 and again </w:t>
      </w:r>
      <w:r w:rsidR="00854A24">
        <w:t>apologized</w:t>
      </w:r>
      <w:r>
        <w:t xml:space="preserve"> </w:t>
      </w:r>
      <w:r w:rsidR="00854A24">
        <w:t xml:space="preserve">profusely </w:t>
      </w:r>
      <w:r w:rsidR="00FA290B">
        <w:t xml:space="preserve">to the Court of </w:t>
      </w:r>
      <w:r w:rsidR="00854A24">
        <w:t xml:space="preserve">the mistake they made in </w:t>
      </w:r>
      <w:r w:rsidR="00854A24">
        <w:lastRenderedPageBreak/>
        <w:t xml:space="preserve">agreeing to the appointment of Dr Tio as an expert without leave.  Mr Tsang </w:t>
      </w:r>
      <w:r w:rsidR="00162E64">
        <w:t xml:space="preserve">stated </w:t>
      </w:r>
      <w:r w:rsidR="00854A24">
        <w:t xml:space="preserve">that as the parties were concentrating in discussing the substantial amount of money for a proposed fusion operation (which the plaintiff has up to now not undergone), he had omitted to check the Orders of the Master and </w:t>
      </w:r>
      <w:r w:rsidR="00847420">
        <w:t xml:space="preserve">to </w:t>
      </w:r>
      <w:r w:rsidR="00854A24">
        <w:t xml:space="preserve">seek the Court’s leave to do so before jointly instructed </w:t>
      </w:r>
      <w:r w:rsidR="00847420">
        <w:t>D</w:t>
      </w:r>
      <w:r w:rsidR="00854A24">
        <w:t>r Tio.  He regretted such an action and</w:t>
      </w:r>
      <w:r w:rsidR="00847420">
        <w:t xml:space="preserve"> stated that with hindsight he should have raised this matter with the Court first before agreeing to the appointment of a new expert without leave.</w:t>
      </w:r>
      <w:r w:rsidR="00FD54DE">
        <w:t xml:space="preserve">  </w:t>
      </w:r>
    </w:p>
    <w:p w14:paraId="27A306C0" w14:textId="3DBDBFC5" w:rsidR="00325B9A" w:rsidRPr="00162E64" w:rsidRDefault="00FD54DE" w:rsidP="00540DEC">
      <w:pPr>
        <w:pStyle w:val="ListParagraph"/>
        <w:numPr>
          <w:ilvl w:val="0"/>
          <w:numId w:val="30"/>
        </w:numPr>
        <w:spacing w:after="418" w:line="360" w:lineRule="auto"/>
        <w:ind w:left="0" w:right="67" w:firstLine="0"/>
        <w:jc w:val="both"/>
      </w:pPr>
      <w:r>
        <w:t xml:space="preserve">I accept </w:t>
      </w:r>
      <w:r w:rsidR="00654EBA">
        <w:t>Mr Tsang’s</w:t>
      </w:r>
      <w:r>
        <w:t xml:space="preserve"> explanation</w:t>
      </w:r>
      <w:r w:rsidR="00325B9A">
        <w:t>s</w:t>
      </w:r>
      <w:r>
        <w:t xml:space="preserve"> and apology to the Court.</w:t>
      </w:r>
      <w:r w:rsidR="00847420">
        <w:t xml:space="preserve"> </w:t>
      </w:r>
      <w:r w:rsidR="00854A24">
        <w:t xml:space="preserve">  </w:t>
      </w:r>
    </w:p>
    <w:p w14:paraId="160E67CC" w14:textId="3372CFBE" w:rsidR="00325B9A" w:rsidRDefault="00AB5BF3" w:rsidP="00540DEC">
      <w:pPr>
        <w:pStyle w:val="ListParagraph"/>
        <w:spacing w:after="418" w:line="360" w:lineRule="auto"/>
        <w:ind w:left="0" w:right="67"/>
        <w:jc w:val="both"/>
        <w:rPr>
          <w:i/>
          <w:iCs/>
        </w:rPr>
      </w:pPr>
      <w:r>
        <w:rPr>
          <w:i/>
          <w:iCs/>
        </w:rPr>
        <w:t>Protocol for commissioning expert reports</w:t>
      </w:r>
    </w:p>
    <w:p w14:paraId="5A873879" w14:textId="0731B7E2" w:rsidR="00AB5BF3" w:rsidRDefault="00AB5BF3" w:rsidP="009126BB">
      <w:pPr>
        <w:pStyle w:val="ListParagraph"/>
        <w:numPr>
          <w:ilvl w:val="0"/>
          <w:numId w:val="30"/>
        </w:numPr>
        <w:spacing w:after="418" w:line="360" w:lineRule="auto"/>
        <w:ind w:left="0" w:right="67" w:firstLine="0"/>
        <w:jc w:val="both"/>
      </w:pPr>
      <w:r>
        <w:t xml:space="preserve">It is perhaps worth reminding practitioners of </w:t>
      </w:r>
      <w:r w:rsidR="005A3460">
        <w:t xml:space="preserve">the protocol of commissioning expert reports </w:t>
      </w:r>
      <w:r w:rsidR="00162E64">
        <w:t>which has</w:t>
      </w:r>
      <w:r w:rsidR="005A3460">
        <w:t xml:space="preserve"> been clearly set out under §§69</w:t>
      </w:r>
      <w:r w:rsidR="000B3681">
        <w:t>-</w:t>
      </w:r>
      <w:r w:rsidR="005A3460">
        <w:t xml:space="preserve">90 of Practice Directions 18.1.  </w:t>
      </w:r>
    </w:p>
    <w:p w14:paraId="74701402" w14:textId="1105EDFB" w:rsidR="00AB5BF3" w:rsidRDefault="005A3460" w:rsidP="009126BB">
      <w:pPr>
        <w:pStyle w:val="ListParagraph"/>
        <w:numPr>
          <w:ilvl w:val="0"/>
          <w:numId w:val="30"/>
        </w:numPr>
        <w:spacing w:after="418" w:line="360" w:lineRule="auto"/>
        <w:ind w:left="0" w:right="67" w:firstLine="0"/>
        <w:jc w:val="both"/>
      </w:pPr>
      <w:r>
        <w:t>Of particular relevance to our case are §§</w:t>
      </w:r>
      <w:r w:rsidR="000B3681">
        <w:t>69-71</w:t>
      </w:r>
      <w:r w:rsidR="00933C79">
        <w:t xml:space="preserve"> which is produced here for ease of reference:-</w:t>
      </w:r>
    </w:p>
    <w:p w14:paraId="284C2278" w14:textId="29BDA6B7" w:rsidR="004404A9" w:rsidRDefault="004404A9" w:rsidP="004404A9">
      <w:pPr>
        <w:pStyle w:val="ListParagraph"/>
        <w:shd w:val="clear" w:color="auto" w:fill="FFFFFF"/>
        <w:tabs>
          <w:tab w:val="clear" w:pos="1440"/>
          <w:tab w:val="clear" w:pos="4320"/>
          <w:tab w:val="clear" w:pos="9072"/>
        </w:tabs>
        <w:snapToGrid/>
        <w:ind w:left="2160" w:right="746" w:hanging="720"/>
        <w:jc w:val="both"/>
        <w:rPr>
          <w:rFonts w:eastAsia="Times New Roman"/>
          <w:sz w:val="24"/>
          <w:szCs w:val="24"/>
        </w:rPr>
      </w:pPr>
      <w:bookmarkStart w:id="0" w:name="p69"/>
      <w:r>
        <w:rPr>
          <w:rFonts w:eastAsia="Times New Roman"/>
          <w:sz w:val="24"/>
          <w:szCs w:val="24"/>
        </w:rPr>
        <w:t>“</w:t>
      </w:r>
      <w:r w:rsidRPr="004404A9">
        <w:rPr>
          <w:rFonts w:eastAsia="Times New Roman"/>
          <w:sz w:val="24"/>
          <w:szCs w:val="24"/>
        </w:rPr>
        <w:t>69.</w:t>
      </w:r>
      <w:bookmarkEnd w:id="0"/>
      <w:r w:rsidRPr="004404A9">
        <w:rPr>
          <w:rFonts w:eastAsia="Times New Roman"/>
          <w:sz w:val="24"/>
          <w:szCs w:val="24"/>
        </w:rPr>
        <w:tab/>
        <w:t>As a general rule, leave of the Court or consent of the parties is required before any expert evidence can be adduced at trial.</w:t>
      </w:r>
    </w:p>
    <w:p w14:paraId="6BB1863B" w14:textId="77777777" w:rsidR="004404A9" w:rsidRPr="004404A9" w:rsidRDefault="004404A9" w:rsidP="004404A9">
      <w:pPr>
        <w:pStyle w:val="ListParagraph"/>
        <w:shd w:val="clear" w:color="auto" w:fill="FFFFFF"/>
        <w:tabs>
          <w:tab w:val="clear" w:pos="1440"/>
          <w:tab w:val="clear" w:pos="4320"/>
          <w:tab w:val="clear" w:pos="9072"/>
        </w:tabs>
        <w:snapToGrid/>
        <w:ind w:left="2160" w:right="746" w:hanging="720"/>
        <w:jc w:val="both"/>
        <w:rPr>
          <w:rFonts w:eastAsia="Times New Roman"/>
          <w:sz w:val="24"/>
          <w:szCs w:val="24"/>
        </w:rPr>
      </w:pPr>
    </w:p>
    <w:p w14:paraId="61B0A46E" w14:textId="77777777" w:rsidR="004404A9" w:rsidRDefault="004404A9" w:rsidP="004404A9">
      <w:pPr>
        <w:pStyle w:val="ListParagraph"/>
        <w:shd w:val="clear" w:color="auto" w:fill="FFFFFF"/>
        <w:tabs>
          <w:tab w:val="clear" w:pos="1440"/>
          <w:tab w:val="clear" w:pos="4320"/>
          <w:tab w:val="clear" w:pos="9072"/>
        </w:tabs>
        <w:snapToGrid/>
        <w:ind w:left="2160" w:right="746" w:hanging="720"/>
        <w:jc w:val="both"/>
        <w:rPr>
          <w:rFonts w:eastAsia="Times New Roman"/>
          <w:sz w:val="24"/>
          <w:szCs w:val="24"/>
        </w:rPr>
      </w:pPr>
      <w:bookmarkStart w:id="1" w:name="p70"/>
      <w:r w:rsidRPr="004404A9">
        <w:rPr>
          <w:rFonts w:eastAsia="Times New Roman"/>
          <w:sz w:val="24"/>
          <w:szCs w:val="24"/>
        </w:rPr>
        <w:t>70.</w:t>
      </w:r>
      <w:bookmarkEnd w:id="1"/>
      <w:r w:rsidRPr="004404A9">
        <w:rPr>
          <w:rFonts w:eastAsia="Times New Roman"/>
          <w:sz w:val="24"/>
          <w:szCs w:val="24"/>
        </w:rPr>
        <w:tab/>
        <w:t xml:space="preserve">A party who obtains expert evidence before obtaining leave, other than from a single joint expert or pursuant to joint examination and joint expert report with the expert(s) of the other party or parties, does so at his own risk as to costs and / or eventual refusal of leave to adduce such expert evidence. </w:t>
      </w:r>
    </w:p>
    <w:p w14:paraId="0BD31BCE" w14:textId="4BDC68E3" w:rsidR="004404A9" w:rsidRPr="004404A9" w:rsidRDefault="004404A9" w:rsidP="004404A9">
      <w:pPr>
        <w:pStyle w:val="ListParagraph"/>
        <w:shd w:val="clear" w:color="auto" w:fill="FFFFFF"/>
        <w:tabs>
          <w:tab w:val="clear" w:pos="1440"/>
          <w:tab w:val="clear" w:pos="4320"/>
          <w:tab w:val="clear" w:pos="9072"/>
        </w:tabs>
        <w:snapToGrid/>
        <w:ind w:left="2160" w:right="746" w:hanging="720"/>
        <w:jc w:val="both"/>
        <w:rPr>
          <w:rFonts w:eastAsia="Times New Roman"/>
          <w:sz w:val="24"/>
          <w:szCs w:val="24"/>
        </w:rPr>
      </w:pPr>
      <w:r w:rsidRPr="004404A9">
        <w:rPr>
          <w:rFonts w:eastAsia="Times New Roman"/>
          <w:sz w:val="24"/>
          <w:szCs w:val="24"/>
        </w:rPr>
        <w:t xml:space="preserve"> </w:t>
      </w:r>
    </w:p>
    <w:p w14:paraId="2B876072" w14:textId="31F71E57" w:rsidR="004404A9" w:rsidRDefault="004404A9" w:rsidP="004404A9">
      <w:pPr>
        <w:shd w:val="clear" w:color="auto" w:fill="FFFFFF"/>
        <w:tabs>
          <w:tab w:val="clear" w:pos="1440"/>
          <w:tab w:val="clear" w:pos="4320"/>
          <w:tab w:val="clear" w:pos="9072"/>
        </w:tabs>
        <w:snapToGrid/>
        <w:ind w:left="2160" w:right="746" w:hanging="720"/>
        <w:jc w:val="both"/>
        <w:rPr>
          <w:rFonts w:eastAsia="Times New Roman"/>
          <w:sz w:val="24"/>
          <w:szCs w:val="24"/>
        </w:rPr>
      </w:pPr>
      <w:bookmarkStart w:id="2" w:name="p71"/>
      <w:r w:rsidRPr="004404A9">
        <w:rPr>
          <w:rFonts w:eastAsia="Times New Roman"/>
          <w:sz w:val="24"/>
          <w:szCs w:val="24"/>
        </w:rPr>
        <w:t>71.</w:t>
      </w:r>
      <w:bookmarkEnd w:id="2"/>
      <w:r w:rsidRPr="004404A9">
        <w:rPr>
          <w:rFonts w:eastAsia="Times New Roman"/>
          <w:sz w:val="24"/>
          <w:szCs w:val="24"/>
        </w:rPr>
        <w:tab/>
        <w:t>As soon as it is realized there exists a need or an anticipated need for adducing expert evidence at trial or if parties failed to reach agreement on arranging joint examination and / or compiling joi</w:t>
      </w:r>
      <w:r w:rsidR="00535393">
        <w:rPr>
          <w:rFonts w:eastAsia="Times New Roman"/>
          <w:sz w:val="24"/>
          <w:szCs w:val="24"/>
        </w:rPr>
        <w:t>nt expert report by the parties’</w:t>
      </w:r>
      <w:r w:rsidRPr="004404A9">
        <w:rPr>
          <w:rFonts w:eastAsia="Times New Roman"/>
          <w:sz w:val="24"/>
          <w:szCs w:val="24"/>
        </w:rPr>
        <w:t xml:space="preserve"> respective experts before or after the </w:t>
      </w:r>
      <w:r w:rsidRPr="004404A9">
        <w:rPr>
          <w:rFonts w:eastAsia="Times New Roman"/>
          <w:sz w:val="24"/>
          <w:szCs w:val="24"/>
        </w:rPr>
        <w:lastRenderedPageBreak/>
        <w:t xml:space="preserve">commencement of proceedings or if no agreement can be reached as to directions on obtaining expert evidence and / or for permission to adduce expert evidence, a party shall apply (by </w:t>
      </w:r>
      <w:r w:rsidRPr="004404A9">
        <w:rPr>
          <w:rFonts w:eastAsia="Times New Roman"/>
          <w:i/>
          <w:iCs/>
          <w:sz w:val="24"/>
          <w:szCs w:val="24"/>
        </w:rPr>
        <w:t>inter partes</w:t>
      </w:r>
      <w:r w:rsidRPr="004404A9">
        <w:rPr>
          <w:rFonts w:eastAsia="Times New Roman"/>
          <w:sz w:val="24"/>
          <w:szCs w:val="24"/>
        </w:rPr>
        <w:t xml:space="preserve"> summons or by restoring the case for Check List Review Hearing) or the parties shall jointly apply (by Consent Summons to expedite or restore the hearing of the Check List Review) to the PI Master as soon as possible upon the commencement of or in the course of proceedings, as the case may be, for directions on obtaining expert evidence and / or for permission to adduce expert evidence.</w:t>
      </w:r>
      <w:r>
        <w:rPr>
          <w:rFonts w:eastAsia="Times New Roman"/>
          <w:sz w:val="24"/>
          <w:szCs w:val="24"/>
        </w:rPr>
        <w:t>”</w:t>
      </w:r>
    </w:p>
    <w:p w14:paraId="19644F19" w14:textId="77777777" w:rsidR="004404A9" w:rsidRPr="004404A9" w:rsidRDefault="004404A9" w:rsidP="004404A9">
      <w:pPr>
        <w:shd w:val="clear" w:color="auto" w:fill="FFFFFF"/>
        <w:tabs>
          <w:tab w:val="clear" w:pos="1440"/>
          <w:tab w:val="clear" w:pos="4320"/>
          <w:tab w:val="clear" w:pos="9072"/>
        </w:tabs>
        <w:snapToGrid/>
        <w:spacing w:line="360" w:lineRule="auto"/>
        <w:ind w:left="2160" w:right="746" w:hanging="720"/>
        <w:jc w:val="both"/>
        <w:rPr>
          <w:rFonts w:eastAsia="Times New Roman"/>
          <w:szCs w:val="28"/>
        </w:rPr>
      </w:pPr>
    </w:p>
    <w:p w14:paraId="1831B07B" w14:textId="1A576580" w:rsidR="00933C79" w:rsidRDefault="00933C79" w:rsidP="00933C79">
      <w:pPr>
        <w:pStyle w:val="ListParagraph"/>
        <w:numPr>
          <w:ilvl w:val="0"/>
          <w:numId w:val="30"/>
        </w:numPr>
        <w:spacing w:after="418" w:line="360" w:lineRule="auto"/>
        <w:ind w:left="0" w:right="67" w:firstLine="0"/>
        <w:jc w:val="both"/>
      </w:pPr>
      <w:r>
        <w:t xml:space="preserve">In </w:t>
      </w:r>
      <w:r w:rsidRPr="00933C79">
        <w:rPr>
          <w:i/>
          <w:iCs/>
        </w:rPr>
        <w:t>Fung Chun Man v Hospital Authority &amp; Another</w:t>
      </w:r>
      <w:r>
        <w:t>, unreported, HCPI 1113/2006 (Bharwaney J; 24 June 2011), the Court has summed up the consequences of when a party or parties in a PI case in obtaining an expert report without leave of the court in §§18-21 of the reason for decision:-</w:t>
      </w:r>
    </w:p>
    <w:p w14:paraId="617DB284" w14:textId="119525EE" w:rsidR="004404A9" w:rsidRDefault="004404A9" w:rsidP="004404A9">
      <w:pPr>
        <w:pStyle w:val="NormalWeb"/>
        <w:spacing w:before="0" w:beforeAutospacing="0" w:after="0" w:afterAutospacing="0"/>
        <w:ind w:left="2160" w:right="746" w:hanging="720"/>
        <w:jc w:val="both"/>
        <w:rPr>
          <w:color w:val="auto"/>
        </w:rPr>
      </w:pPr>
      <w:bookmarkStart w:id="3" w:name="p18"/>
      <w:r>
        <w:t>“</w:t>
      </w:r>
      <w:r w:rsidRPr="004404A9">
        <w:rPr>
          <w:color w:val="auto"/>
        </w:rPr>
        <w:t>18.</w:t>
      </w:r>
      <w:bookmarkEnd w:id="3"/>
      <w:r w:rsidRPr="004404A9">
        <w:rPr>
          <w:color w:val="auto"/>
        </w:rPr>
        <w:t>  </w:t>
      </w:r>
      <w:r>
        <w:rPr>
          <w:color w:val="auto"/>
        </w:rPr>
        <w:tab/>
      </w:r>
      <w:r w:rsidRPr="004404A9">
        <w:rPr>
          <w:color w:val="auto"/>
        </w:rPr>
        <w:t>It must be emphasised that the courts do not purport to control or inhibit a party’s right to consult experts and to obtain reports from them.  The party with means may do so.  The party, not under disability, who has obtained an interim payment, may deploy part of that payment towards the costs of such experts.  In a recent case involving a plaintiff who was either in a permanent vegetative state or minimally conscious state, I indicated that I might be willing to grant leave for part of the interim payment received to be used in obtaining a functional MRI report to ascertain the true level of consciousness of the plaintiff.  In a legal aided case, such as the present one, the plaintiff or his legal advisers may be able to persuade the Director of Legal Aid to grant permission to obtain an expert’s report.  However, the point to emphasise, as reflected in §70 of PD18.1, is that, whilst a party is free to obtain his own expert report, he does so at his own risk as to costs and possible refusal of leave to adduce such expert evidence. In addition, parties need to know that non-compliance with PD18.1 and the pre-action protocol set out therein without good reason may result in adverse costs consequences and sanctions, including wasted costs orders.</w:t>
      </w:r>
    </w:p>
    <w:p w14:paraId="1447F0FD" w14:textId="77777777" w:rsidR="004404A9" w:rsidRPr="004404A9" w:rsidRDefault="004404A9" w:rsidP="004404A9">
      <w:pPr>
        <w:pStyle w:val="NormalWeb"/>
        <w:spacing w:before="0" w:beforeAutospacing="0" w:after="0" w:afterAutospacing="0"/>
        <w:ind w:left="2160" w:right="746" w:hanging="720"/>
        <w:jc w:val="both"/>
        <w:rPr>
          <w:color w:val="auto"/>
          <w:sz w:val="28"/>
        </w:rPr>
      </w:pPr>
    </w:p>
    <w:p w14:paraId="2E365C5A" w14:textId="750EAAD4" w:rsidR="004404A9" w:rsidRDefault="004404A9" w:rsidP="004404A9">
      <w:pPr>
        <w:pStyle w:val="NormalWeb"/>
        <w:spacing w:before="0" w:beforeAutospacing="0" w:after="0" w:afterAutospacing="0"/>
        <w:ind w:left="2160" w:right="746" w:hanging="720"/>
        <w:jc w:val="both"/>
        <w:rPr>
          <w:color w:val="auto"/>
        </w:rPr>
      </w:pPr>
      <w:bookmarkStart w:id="4" w:name="p19"/>
      <w:r w:rsidRPr="004404A9">
        <w:rPr>
          <w:color w:val="auto"/>
        </w:rPr>
        <w:t>19.</w:t>
      </w:r>
      <w:bookmarkEnd w:id="4"/>
      <w:r w:rsidRPr="004404A9">
        <w:rPr>
          <w:color w:val="auto"/>
        </w:rPr>
        <w:t>  </w:t>
      </w:r>
      <w:r>
        <w:rPr>
          <w:color w:val="auto"/>
        </w:rPr>
        <w:tab/>
      </w:r>
      <w:r w:rsidRPr="004404A9">
        <w:rPr>
          <w:color w:val="auto"/>
        </w:rPr>
        <w:t xml:space="preserve">Another point to emphasise is that the party who obtains an expert’s report, without agreement of the other party and without leave of court, runs the risk of disqualifying </w:t>
      </w:r>
      <w:r w:rsidRPr="004404A9">
        <w:rPr>
          <w:color w:val="auto"/>
        </w:rPr>
        <w:lastRenderedPageBreak/>
        <w:t>that expert from appointment by the court as the single joint expert. The risk may not be high at the beginning of proceedings when the court, although refusing leave for the party to adduce his solo expert report, may be amenable, nevertheless, to grant leave for a joint examination to be carried out by the expert concerned in conjunction with the expert nominated by the other party, and for a joint report to be prepared by them. However, if application is made, late in the day and when trial is imminent, for expert evidence to be adduced, the court may refuse the application or may only allow it on the basis of a single joint expert being appointed.</w:t>
      </w:r>
    </w:p>
    <w:p w14:paraId="4EBC8651" w14:textId="77777777" w:rsidR="004404A9" w:rsidRPr="004404A9" w:rsidRDefault="004404A9" w:rsidP="004404A9">
      <w:pPr>
        <w:pStyle w:val="NormalWeb"/>
        <w:spacing w:before="0" w:beforeAutospacing="0" w:after="0" w:afterAutospacing="0"/>
        <w:ind w:left="2160" w:right="746" w:hanging="720"/>
        <w:jc w:val="both"/>
        <w:rPr>
          <w:color w:val="auto"/>
        </w:rPr>
      </w:pPr>
    </w:p>
    <w:p w14:paraId="7681BFD5" w14:textId="6AABBAB6" w:rsidR="004404A9" w:rsidRDefault="004404A9" w:rsidP="004404A9">
      <w:pPr>
        <w:pStyle w:val="NormalWeb"/>
        <w:spacing w:before="0" w:beforeAutospacing="0" w:after="0" w:afterAutospacing="0"/>
        <w:ind w:left="2160" w:right="746" w:hanging="720"/>
        <w:jc w:val="both"/>
        <w:rPr>
          <w:color w:val="auto"/>
        </w:rPr>
      </w:pPr>
      <w:bookmarkStart w:id="5" w:name="p20"/>
      <w:r w:rsidRPr="004404A9">
        <w:rPr>
          <w:color w:val="auto"/>
        </w:rPr>
        <w:t>20.</w:t>
      </w:r>
      <w:bookmarkEnd w:id="5"/>
      <w:r w:rsidRPr="004404A9">
        <w:rPr>
          <w:color w:val="auto"/>
        </w:rPr>
        <w:t>  </w:t>
      </w:r>
      <w:r>
        <w:rPr>
          <w:color w:val="auto"/>
        </w:rPr>
        <w:tab/>
      </w:r>
      <w:r w:rsidRPr="004404A9">
        <w:rPr>
          <w:color w:val="auto"/>
        </w:rPr>
        <w:t>Another point to note is that the party who obtains an expert’s report without agreement of the other party and without leave of court runs the risk of losing his right to claim privilege over such a report, if leave is later granted to appoint the same expert as one of the 2 joints experts to examine the plaintiff and to report on the case.</w:t>
      </w:r>
    </w:p>
    <w:p w14:paraId="5926B94C" w14:textId="77777777" w:rsidR="004404A9" w:rsidRPr="004404A9" w:rsidRDefault="004404A9" w:rsidP="004404A9">
      <w:pPr>
        <w:pStyle w:val="NormalWeb"/>
        <w:spacing w:before="0" w:beforeAutospacing="0" w:after="0" w:afterAutospacing="0"/>
        <w:ind w:left="2160" w:right="746" w:hanging="720"/>
        <w:jc w:val="both"/>
        <w:rPr>
          <w:color w:val="auto"/>
        </w:rPr>
      </w:pPr>
    </w:p>
    <w:p w14:paraId="4201F1E5" w14:textId="1781136C" w:rsidR="00933C79" w:rsidRDefault="004404A9" w:rsidP="004404A9">
      <w:pPr>
        <w:pStyle w:val="NormalWeb"/>
        <w:spacing w:before="0" w:beforeAutospacing="0" w:after="0" w:afterAutospacing="0"/>
        <w:ind w:left="2160" w:right="746" w:hanging="720"/>
        <w:jc w:val="both"/>
        <w:rPr>
          <w:color w:val="auto"/>
        </w:rPr>
      </w:pPr>
      <w:bookmarkStart w:id="6" w:name="p21"/>
      <w:r w:rsidRPr="004404A9">
        <w:rPr>
          <w:color w:val="auto"/>
        </w:rPr>
        <w:t>21.</w:t>
      </w:r>
      <w:bookmarkEnd w:id="6"/>
      <w:r w:rsidRPr="004404A9">
        <w:rPr>
          <w:color w:val="auto"/>
        </w:rPr>
        <w:t>  </w:t>
      </w:r>
      <w:r>
        <w:rPr>
          <w:color w:val="auto"/>
        </w:rPr>
        <w:tab/>
      </w:r>
      <w:r w:rsidRPr="004404A9">
        <w:rPr>
          <w:color w:val="auto"/>
        </w:rPr>
        <w:t xml:space="preserve">A detailed exposition on the protocol for commissioning expert reports, both at the pre-action stage and at the post-writ stage, is contained in the post-CJR decision of Master Marlene Ng in </w:t>
      </w:r>
      <w:r w:rsidRPr="004404A9">
        <w:rPr>
          <w:i/>
          <w:iCs/>
          <w:color w:val="auto"/>
        </w:rPr>
        <w:t>Siu Fook Cheong v Siu Kwok Fai</w:t>
      </w:r>
      <w:r w:rsidRPr="004404A9">
        <w:rPr>
          <w:color w:val="auto"/>
        </w:rPr>
        <w:t xml:space="preserve"> (HCPI768/2009, 2 February 2010).  The judgment provides particular guidance on the proper approach to be adopted in commissioning expert reports at the pre-action stage.  If pre-action communications do not result in agreed arrangements for single joint report or joint expert medical examination and report, the intended plaintiff is entitled to commence legal proceedings forthwith, without risk as to costs, and to issue an </w:t>
      </w:r>
      <w:r w:rsidRPr="004404A9">
        <w:rPr>
          <w:i/>
          <w:iCs/>
          <w:color w:val="auto"/>
        </w:rPr>
        <w:t>inter partes</w:t>
      </w:r>
      <w:r w:rsidRPr="004404A9">
        <w:rPr>
          <w:color w:val="auto"/>
        </w:rPr>
        <w:t xml:space="preserve"> summons, as soon as possible after the commencement of proceedings, returnable before the PI Master, to seek directions on obtaining expert medical evidence. Alternatively, the intended plaintiff can apply for the CLR hearing to be expedited for the same purpose.</w:t>
      </w:r>
      <w:r>
        <w:rPr>
          <w:color w:val="auto"/>
        </w:rPr>
        <w:t>”</w:t>
      </w:r>
    </w:p>
    <w:p w14:paraId="4DD2C2E4" w14:textId="77777777" w:rsidR="004404A9" w:rsidRPr="004404A9" w:rsidRDefault="004404A9" w:rsidP="004404A9">
      <w:pPr>
        <w:pStyle w:val="NormalWeb"/>
        <w:spacing w:before="0" w:beforeAutospacing="0" w:after="0" w:afterAutospacing="0" w:line="360" w:lineRule="auto"/>
        <w:ind w:left="2160" w:right="746" w:hanging="720"/>
        <w:jc w:val="both"/>
        <w:rPr>
          <w:color w:val="auto"/>
          <w:sz w:val="28"/>
          <w:szCs w:val="28"/>
        </w:rPr>
      </w:pPr>
    </w:p>
    <w:p w14:paraId="7A68B234" w14:textId="4235E91F" w:rsidR="00DC47C1" w:rsidRPr="00DC47C1" w:rsidRDefault="00DC47C1" w:rsidP="00AB5BF3">
      <w:pPr>
        <w:pStyle w:val="ListParagraph"/>
        <w:numPr>
          <w:ilvl w:val="0"/>
          <w:numId w:val="30"/>
        </w:numPr>
        <w:spacing w:after="418" w:line="360" w:lineRule="auto"/>
        <w:ind w:left="0" w:right="67" w:firstLine="0"/>
        <w:jc w:val="both"/>
        <w:rPr>
          <w:i/>
          <w:iCs/>
        </w:rPr>
      </w:pPr>
      <w:r>
        <w:t xml:space="preserve">I would like to </w:t>
      </w:r>
      <w:r w:rsidR="00B9190F">
        <w:t>reiterate</w:t>
      </w:r>
      <w:r>
        <w:t xml:space="preserve"> that the Court will not normally dictate or control a party’s right to consult experts or obtain reports from them. In the spirit of the CJR, in fact the parties are encouraged to appoint single joint expert, and, if possible, to do so by consent together. However, where there is a specific Court order to prohibit a party to do so, the parties must not go ahead to appoint a new or additional expert without leave of </w:t>
      </w:r>
      <w:r>
        <w:lastRenderedPageBreak/>
        <w:t>the Court. To do so will</w:t>
      </w:r>
      <w:r w:rsidR="00B9190F" w:rsidRPr="00B9190F">
        <w:t xml:space="preserve"> </w:t>
      </w:r>
      <w:r w:rsidR="00B9190F">
        <w:t>not only</w:t>
      </w:r>
      <w:r>
        <w:t xml:space="preserve"> amount </w:t>
      </w:r>
      <w:r w:rsidR="00B9190F">
        <w:t>to a</w:t>
      </w:r>
      <w:r>
        <w:t xml:space="preserve"> breach of the Court’s order </w:t>
      </w:r>
      <w:r w:rsidR="00B9190F">
        <w:t>but also</w:t>
      </w:r>
      <w:r>
        <w:t xml:space="preserve"> any report obtained in such a way, </w:t>
      </w:r>
      <w:r w:rsidR="00B9190F">
        <w:t xml:space="preserve">whether </w:t>
      </w:r>
      <w:r>
        <w:t xml:space="preserve">with or without the consent with the other party, will most likely not </w:t>
      </w:r>
      <w:r w:rsidR="00B9190F">
        <w:t xml:space="preserve">going to be </w:t>
      </w:r>
      <w:r>
        <w:t>recognize</w:t>
      </w:r>
      <w:r w:rsidR="00B9190F">
        <w:t>d</w:t>
      </w:r>
      <w:r>
        <w:t xml:space="preserve"> by the Court</w:t>
      </w:r>
      <w:r w:rsidR="00B9190F">
        <w:t xml:space="preserve"> with adverse costs consequences</w:t>
      </w:r>
      <w:r>
        <w:t xml:space="preserve">. </w:t>
      </w:r>
    </w:p>
    <w:p w14:paraId="7B296F07" w14:textId="2629F883" w:rsidR="00AB5BF3" w:rsidRPr="00933C79" w:rsidRDefault="00B9190F" w:rsidP="00AB5BF3">
      <w:pPr>
        <w:pStyle w:val="ListParagraph"/>
        <w:spacing w:after="418" w:line="360" w:lineRule="auto"/>
        <w:ind w:left="0" w:right="67"/>
        <w:jc w:val="both"/>
        <w:rPr>
          <w:i/>
          <w:iCs/>
        </w:rPr>
      </w:pPr>
      <w:r>
        <w:rPr>
          <w:i/>
          <w:iCs/>
        </w:rPr>
        <w:t>(B</w:t>
      </w:r>
      <w:r w:rsidR="00AF4728">
        <w:rPr>
          <w:i/>
          <w:iCs/>
        </w:rPr>
        <w:t xml:space="preserve">) </w:t>
      </w:r>
      <w:r w:rsidR="00933C79" w:rsidRPr="00933C79">
        <w:rPr>
          <w:i/>
          <w:iCs/>
        </w:rPr>
        <w:t>Findings of the Court</w:t>
      </w:r>
    </w:p>
    <w:p w14:paraId="70990889" w14:textId="2C268C92" w:rsidR="00933C79" w:rsidRDefault="009F34F3" w:rsidP="004404A9">
      <w:pPr>
        <w:pStyle w:val="ListParagraph"/>
        <w:numPr>
          <w:ilvl w:val="0"/>
          <w:numId w:val="30"/>
        </w:numPr>
        <w:spacing w:line="360" w:lineRule="auto"/>
        <w:ind w:left="0" w:right="67" w:firstLine="0"/>
        <w:jc w:val="both"/>
      </w:pPr>
      <w:r>
        <w:t>I</w:t>
      </w:r>
      <w:r w:rsidR="00B9190F">
        <w:t>n this case, I</w:t>
      </w:r>
      <w:r>
        <w:t xml:space="preserve"> do not </w:t>
      </w:r>
      <w:r w:rsidR="00C54F49">
        <w:t>d</w:t>
      </w:r>
      <w:r w:rsidR="00933C79">
        <w:t>ispute</w:t>
      </w:r>
      <w:r w:rsidR="00C54F49">
        <w:t xml:space="preserve"> </w:t>
      </w:r>
      <w:r w:rsidR="00162E64">
        <w:t xml:space="preserve">the fact </w:t>
      </w:r>
      <w:r w:rsidR="00C54F49">
        <w:t xml:space="preserve">that there </w:t>
      </w:r>
      <w:r w:rsidR="00162E64">
        <w:t>i</w:t>
      </w:r>
      <w:r w:rsidR="00933C79">
        <w:t xml:space="preserve">s </w:t>
      </w:r>
      <w:r w:rsidR="00C54F49">
        <w:t xml:space="preserve">a </w:t>
      </w:r>
      <w:r w:rsidR="0031707D">
        <w:t xml:space="preserve">genuine </w:t>
      </w:r>
      <w:r w:rsidR="00C54F49">
        <w:t xml:space="preserve">need for an updated orthopeadic expert report as Dr Li’s </w:t>
      </w:r>
      <w:r w:rsidR="00933C79">
        <w:t xml:space="preserve">single joint </w:t>
      </w:r>
      <w:r w:rsidR="00C54F49">
        <w:t xml:space="preserve">report was dated back to January 2018.  </w:t>
      </w:r>
      <w:r w:rsidR="00257CBE">
        <w:t xml:space="preserve">However, </w:t>
      </w:r>
      <w:r w:rsidR="00933C79">
        <w:t xml:space="preserve">there </w:t>
      </w:r>
      <w:r w:rsidR="00B9190F">
        <w:t>had been</w:t>
      </w:r>
      <w:r w:rsidR="00933C79">
        <w:t xml:space="preserve"> inordinate and </w:t>
      </w:r>
      <w:r w:rsidR="00535393">
        <w:t xml:space="preserve">unexplained </w:t>
      </w:r>
      <w:r w:rsidR="00933C79">
        <w:t xml:space="preserve">delay in obtaining it.  </w:t>
      </w:r>
      <w:r w:rsidR="00535393">
        <w:t>In my view, t</w:t>
      </w:r>
      <w:r w:rsidR="00AF4728">
        <w:t xml:space="preserve">he delay </w:t>
      </w:r>
      <w:r w:rsidR="00B9190F">
        <w:t>was</w:t>
      </w:r>
      <w:r w:rsidR="00AF4728">
        <w:t xml:space="preserve"> </w:t>
      </w:r>
      <w:r w:rsidR="00E37781">
        <w:t xml:space="preserve">not </w:t>
      </w:r>
      <w:r w:rsidR="00162E64">
        <w:t xml:space="preserve">caused by </w:t>
      </w:r>
      <w:r w:rsidR="00933C79">
        <w:t xml:space="preserve">the defendant or </w:t>
      </w:r>
      <w:r w:rsidR="00535393">
        <w:t>Dr Li</w:t>
      </w:r>
      <w:r w:rsidR="00DC0D69">
        <w:t xml:space="preserve"> but</w:t>
      </w:r>
      <w:r w:rsidR="00257CBE">
        <w:t xml:space="preserve"> </w:t>
      </w:r>
      <w:r w:rsidR="00162E64">
        <w:t xml:space="preserve">by </w:t>
      </w:r>
      <w:r w:rsidR="00257CBE">
        <w:t>the plaintiff</w:t>
      </w:r>
      <w:r w:rsidR="00DC0D69">
        <w:t xml:space="preserve"> </w:t>
      </w:r>
      <w:r w:rsidR="00AF4728">
        <w:t>alone</w:t>
      </w:r>
      <w:r w:rsidR="00257CBE">
        <w:t xml:space="preserve">. </w:t>
      </w:r>
      <w:r w:rsidR="00DC0D69">
        <w:t xml:space="preserve"> </w:t>
      </w:r>
      <w:r w:rsidR="009126BB">
        <w:t xml:space="preserve">The fault in my view lies squarely with the plaintiff’s </w:t>
      </w:r>
      <w:r w:rsidR="00933C79">
        <w:t xml:space="preserve">failure to </w:t>
      </w:r>
      <w:r w:rsidR="009126BB">
        <w:t>prosecut</w:t>
      </w:r>
      <w:r w:rsidR="00933C79">
        <w:t>e</w:t>
      </w:r>
      <w:r w:rsidR="009126BB">
        <w:t xml:space="preserve"> the case conscientiously.</w:t>
      </w:r>
      <w:r w:rsidR="00933C79">
        <w:t xml:space="preserve"> As mentioned, there </w:t>
      </w:r>
      <w:r w:rsidR="00FA290B">
        <w:t>have been</w:t>
      </w:r>
      <w:r w:rsidR="00933C79">
        <w:t xml:space="preserve"> inordinate and unacceptable delays on the part of the plaintiff in prosecuting the case since interlocutory judgments </w:t>
      </w:r>
      <w:r w:rsidR="00535393">
        <w:t xml:space="preserve">was </w:t>
      </w:r>
      <w:r w:rsidR="00933C79">
        <w:t xml:space="preserve">entered against the defendant </w:t>
      </w:r>
      <w:r w:rsidR="00162E64">
        <w:t>in</w:t>
      </w:r>
      <w:r w:rsidR="00933C79">
        <w:t xml:space="preserve"> March 2017.  Instead of obtaining the agreed single joint expert reports in an expeditious manner pursuant to the Order o</w:t>
      </w:r>
      <w:r w:rsidR="00DC47C1">
        <w:t>f Ma</w:t>
      </w:r>
      <w:r w:rsidR="00227D8D">
        <w:t>s</w:t>
      </w:r>
      <w:r w:rsidR="00DC47C1">
        <w:t>ter Roy Yu</w:t>
      </w:r>
      <w:r w:rsidR="00162E64">
        <w:t xml:space="preserve"> </w:t>
      </w:r>
      <w:r w:rsidR="00535393" w:rsidRPr="00535393">
        <w:t>dated 21 September 2017,</w:t>
      </w:r>
      <w:r w:rsidR="00933C79">
        <w:t xml:space="preserve"> the plaintiff was clearly dragging his feet, particularly in the case of the </w:t>
      </w:r>
      <w:r w:rsidR="00AF4728">
        <w:t>ENT and</w:t>
      </w:r>
      <w:r w:rsidR="006C6BD1" w:rsidRPr="0029202C">
        <w:t xml:space="preserve"> </w:t>
      </w:r>
      <w:r w:rsidR="00933C79" w:rsidRPr="0029202C">
        <w:t xml:space="preserve">psychology </w:t>
      </w:r>
      <w:r w:rsidR="00933C79">
        <w:t xml:space="preserve">experts as </w:t>
      </w:r>
      <w:r w:rsidR="00FA290B">
        <w:t>those reports</w:t>
      </w:r>
      <w:r w:rsidR="00933C79">
        <w:t xml:space="preserve"> had not been obtained until </w:t>
      </w:r>
      <w:r w:rsidR="00933C79" w:rsidRPr="0029202C">
        <w:t>February 2022 and July 2021</w:t>
      </w:r>
      <w:r w:rsidR="00933C79">
        <w:t xml:space="preserve"> </w:t>
      </w:r>
      <w:r w:rsidR="00FA290B">
        <w:t>respectively</w:t>
      </w:r>
      <w:r w:rsidR="00B9190F">
        <w:t xml:space="preserve"> only. In my view, i</w:t>
      </w:r>
      <w:r w:rsidR="00933C79">
        <w:t xml:space="preserve">n </w:t>
      </w:r>
      <w:r w:rsidR="00162E64">
        <w:t>respect of the</w:t>
      </w:r>
      <w:r w:rsidR="00933C79">
        <w:t xml:space="preserve"> orthopaedic </w:t>
      </w:r>
      <w:r w:rsidR="00162E64">
        <w:t xml:space="preserve">expert </w:t>
      </w:r>
      <w:r w:rsidR="00933C79">
        <w:t>report, t</w:t>
      </w:r>
      <w:r w:rsidR="009126BB">
        <w:t>he</w:t>
      </w:r>
      <w:r w:rsidR="00162E64">
        <w:t xml:space="preserve"> plaintiff</w:t>
      </w:r>
      <w:r w:rsidR="009126BB">
        <w:t xml:space="preserve"> should have asked for </w:t>
      </w:r>
      <w:r w:rsidR="00162E64">
        <w:t>the</w:t>
      </w:r>
      <w:r w:rsidR="00933C79">
        <w:t xml:space="preserve"> update</w:t>
      </w:r>
      <w:r w:rsidR="00FA290B">
        <w:t>d</w:t>
      </w:r>
      <w:r w:rsidR="009126BB">
        <w:t xml:space="preserve"> report </w:t>
      </w:r>
      <w:r w:rsidR="00933C79">
        <w:t xml:space="preserve">from Dr Li </w:t>
      </w:r>
      <w:r w:rsidR="009126BB">
        <w:t>when the case was first</w:t>
      </w:r>
      <w:r w:rsidR="00933C79">
        <w:t xml:space="preserve"> </w:t>
      </w:r>
      <w:r w:rsidR="009126BB">
        <w:t>transferred to the District Court</w:t>
      </w:r>
      <w:r w:rsidR="00933C79">
        <w:t xml:space="preserve"> in October 2020</w:t>
      </w:r>
      <w:r w:rsidR="00162E64">
        <w:t xml:space="preserve"> or at the latest </w:t>
      </w:r>
      <w:r w:rsidR="006C6BD1">
        <w:t xml:space="preserve">by way of </w:t>
      </w:r>
      <w:r w:rsidR="00FA290B">
        <w:t xml:space="preserve">the </w:t>
      </w:r>
      <w:r w:rsidR="006C6BD1">
        <w:t xml:space="preserve">consent summons </w:t>
      </w:r>
      <w:r w:rsidR="00FA290B">
        <w:t>when they sought</w:t>
      </w:r>
      <w:r w:rsidR="006C6BD1">
        <w:t xml:space="preserve"> the Court’s directions </w:t>
      </w:r>
      <w:r w:rsidR="00162E64">
        <w:t>at the 1</w:t>
      </w:r>
      <w:r w:rsidR="00162E64" w:rsidRPr="00162E64">
        <w:rPr>
          <w:vertAlign w:val="superscript"/>
        </w:rPr>
        <w:t>st</w:t>
      </w:r>
      <w:r w:rsidR="00162E64">
        <w:t xml:space="preserve"> CLR in March 2021.</w:t>
      </w:r>
      <w:r w:rsidR="009126BB">
        <w:t xml:space="preserve">  </w:t>
      </w:r>
      <w:r w:rsidR="00933C79">
        <w:t xml:space="preserve">However, </w:t>
      </w:r>
      <w:r w:rsidR="00B9190F">
        <w:t>in my judgment</w:t>
      </w:r>
      <w:r w:rsidR="00FA290B">
        <w:t xml:space="preserve">, </w:t>
      </w:r>
      <w:r w:rsidR="00933C79">
        <w:t xml:space="preserve">it is not whether the parties should or should not </w:t>
      </w:r>
      <w:r w:rsidR="00533CAD">
        <w:t xml:space="preserve">have </w:t>
      </w:r>
      <w:r w:rsidR="00933C79">
        <w:t>obtain</w:t>
      </w:r>
      <w:r w:rsidR="00533CAD">
        <w:t>ed</w:t>
      </w:r>
      <w:r w:rsidR="00933C79">
        <w:t xml:space="preserve"> such an update</w:t>
      </w:r>
      <w:r w:rsidR="00FA290B">
        <w:t>d</w:t>
      </w:r>
      <w:r w:rsidR="00933C79">
        <w:t xml:space="preserve"> orthopaedic report or even the delay in obtaining such a report that </w:t>
      </w:r>
      <w:r w:rsidR="00FA290B">
        <w:t>maters in this case</w:t>
      </w:r>
      <w:r w:rsidR="00933C79">
        <w:t>, i</w:t>
      </w:r>
      <w:r w:rsidR="0031707D">
        <w:t xml:space="preserve">t </w:t>
      </w:r>
      <w:r w:rsidR="00DC0D69">
        <w:t>is</w:t>
      </w:r>
      <w:r w:rsidR="0031707D">
        <w:t xml:space="preserve"> the arrogant </w:t>
      </w:r>
      <w:r w:rsidR="0031707D">
        <w:lastRenderedPageBreak/>
        <w:t xml:space="preserve">and supercilious way of going about it by the plaintiff’s solicitors that I find to be extremely disturbing. </w:t>
      </w:r>
    </w:p>
    <w:p w14:paraId="7C226342" w14:textId="77777777" w:rsidR="004404A9" w:rsidRDefault="004404A9" w:rsidP="004404A9">
      <w:pPr>
        <w:pStyle w:val="ListParagraph"/>
        <w:spacing w:line="360" w:lineRule="auto"/>
        <w:ind w:left="0" w:right="67"/>
        <w:jc w:val="both"/>
      </w:pPr>
    </w:p>
    <w:p w14:paraId="29E39367" w14:textId="4EF98351" w:rsidR="00933C79" w:rsidRDefault="00933C79" w:rsidP="004404A9">
      <w:pPr>
        <w:pStyle w:val="ListParagraph"/>
        <w:numPr>
          <w:ilvl w:val="0"/>
          <w:numId w:val="30"/>
        </w:numPr>
        <w:spacing w:line="360" w:lineRule="auto"/>
        <w:ind w:left="0" w:right="67" w:firstLine="0"/>
        <w:jc w:val="both"/>
      </w:pPr>
      <w:r>
        <w:t>There is no doubt in my mind that the directions of the March 2021 Order and October 2021 Order of the Master in prohibiting the parties to obtain</w:t>
      </w:r>
      <w:r w:rsidR="00FA290B">
        <w:t xml:space="preserve"> or to adduce</w:t>
      </w:r>
      <w:r>
        <w:t xml:space="preserve"> further medical reports or evidence without leave of the </w:t>
      </w:r>
      <w:r w:rsidR="00FA290B">
        <w:t>C</w:t>
      </w:r>
      <w:r>
        <w:t>ourt have been breached by the parties, particularly on the part of the plaintiff.</w:t>
      </w:r>
      <w:r w:rsidR="00AF4728">
        <w:t xml:space="preserve">  In my judgment, t</w:t>
      </w:r>
      <w:r>
        <w:t xml:space="preserve">here is </w:t>
      </w:r>
      <w:r w:rsidR="00533CAD">
        <w:t xml:space="preserve">absolutely </w:t>
      </w:r>
      <w:r>
        <w:t>no room for argument</w:t>
      </w:r>
      <w:r w:rsidR="00533CAD">
        <w:t xml:space="preserve"> that it was </w:t>
      </w:r>
      <w:r w:rsidR="00AF4728">
        <w:t xml:space="preserve">not </w:t>
      </w:r>
      <w:r w:rsidR="00533CAD">
        <w:t>the case</w:t>
      </w:r>
      <w:r>
        <w:t>.  To suggest anything otherwise as the plaintiff’s solicitor</w:t>
      </w:r>
      <w:r w:rsidR="006C6BD1">
        <w:t>s have</w:t>
      </w:r>
      <w:r>
        <w:t xml:space="preserve"> arrogantly </w:t>
      </w:r>
      <w:r w:rsidR="006C6BD1">
        <w:t xml:space="preserve">been </w:t>
      </w:r>
      <w:r>
        <w:t xml:space="preserve">trying to do at the hearing before me is an insult to the integrity of the </w:t>
      </w:r>
      <w:r w:rsidR="00533CAD">
        <w:t>C</w:t>
      </w:r>
      <w:r>
        <w:t>ourt.</w:t>
      </w:r>
    </w:p>
    <w:p w14:paraId="0BB3088E" w14:textId="5FCD8312" w:rsidR="004404A9" w:rsidRDefault="004404A9" w:rsidP="004404A9">
      <w:pPr>
        <w:pStyle w:val="ListParagraph"/>
        <w:spacing w:line="360" w:lineRule="auto"/>
        <w:ind w:left="0" w:right="67"/>
        <w:jc w:val="both"/>
      </w:pPr>
    </w:p>
    <w:p w14:paraId="72456487" w14:textId="4E75E5AE" w:rsidR="000B004F" w:rsidRPr="004404A9" w:rsidRDefault="00933C79" w:rsidP="004404A9">
      <w:pPr>
        <w:pStyle w:val="ListParagraph"/>
        <w:numPr>
          <w:ilvl w:val="0"/>
          <w:numId w:val="30"/>
        </w:numPr>
        <w:spacing w:line="360" w:lineRule="auto"/>
        <w:ind w:left="0" w:right="67" w:firstLine="0"/>
        <w:jc w:val="both"/>
      </w:pPr>
      <w:r>
        <w:t>Nonetheless, the plaintiff’s solicitor</w:t>
      </w:r>
      <w:r w:rsidR="00533CAD">
        <w:t>s</w:t>
      </w:r>
      <w:r w:rsidR="00DC26F7">
        <w:t xml:space="preserve">, </w:t>
      </w:r>
      <w:r>
        <w:t xml:space="preserve">in clear defiance of the </w:t>
      </w:r>
      <w:r w:rsidR="00533CAD">
        <w:t>C</w:t>
      </w:r>
      <w:r>
        <w:t xml:space="preserve">ourt’s </w:t>
      </w:r>
      <w:r w:rsidR="00533CAD">
        <w:t>March 2021 and October 2021 O</w:t>
      </w:r>
      <w:r>
        <w:t>rders</w:t>
      </w:r>
      <w:r w:rsidR="00DC26F7">
        <w:t>,</w:t>
      </w:r>
      <w:r>
        <w:t xml:space="preserve"> went ahead to perform </w:t>
      </w:r>
      <w:r w:rsidR="00533CAD">
        <w:t>several</w:t>
      </w:r>
      <w:r>
        <w:t xml:space="preserve"> </w:t>
      </w:r>
      <w:r w:rsidRPr="00933C79">
        <w:rPr>
          <w:i/>
          <w:iCs/>
        </w:rPr>
        <w:t>fait accompli</w:t>
      </w:r>
      <w:r>
        <w:t xml:space="preserve"> as highlighted above,</w:t>
      </w:r>
      <w:r w:rsidR="00533CAD">
        <w:t xml:space="preserve"> </w:t>
      </w:r>
      <w:r>
        <w:t xml:space="preserve">thinking that by doing so it would force </w:t>
      </w:r>
      <w:r w:rsidR="00DC26F7">
        <w:t>t</w:t>
      </w:r>
      <w:r>
        <w:t xml:space="preserve">he </w:t>
      </w:r>
      <w:r w:rsidR="00533CAD">
        <w:t>C</w:t>
      </w:r>
      <w:r>
        <w:t xml:space="preserve">ourt to accept the new and unsanctioned report of Dr Tio.  </w:t>
      </w:r>
      <w:r w:rsidR="000B004F" w:rsidRPr="00933C79">
        <w:rPr>
          <w:rFonts w:eastAsia="Times New Roman"/>
        </w:rPr>
        <w:t xml:space="preserve">The plaintiff’s </w:t>
      </w:r>
      <w:r w:rsidR="00533CAD">
        <w:rPr>
          <w:rFonts w:eastAsia="Times New Roman"/>
        </w:rPr>
        <w:t xml:space="preserve">handling </w:t>
      </w:r>
      <w:r w:rsidR="000B004F" w:rsidRPr="00933C79">
        <w:rPr>
          <w:rFonts w:eastAsia="Times New Roman"/>
        </w:rPr>
        <w:t xml:space="preserve">solicitor obviously thought that he could do whatever he liked and whenever he liked when it comes to appointing new medical experts in an ongoing case, despite of </w:t>
      </w:r>
      <w:r w:rsidRPr="00933C79">
        <w:rPr>
          <w:rFonts w:eastAsia="Times New Roman"/>
        </w:rPr>
        <w:t xml:space="preserve">the </w:t>
      </w:r>
      <w:r w:rsidR="000B004F" w:rsidRPr="00933C79">
        <w:rPr>
          <w:rFonts w:eastAsia="Times New Roman"/>
        </w:rPr>
        <w:t xml:space="preserve">clear directions of the Court to the contrary.  </w:t>
      </w:r>
      <w:r>
        <w:rPr>
          <w:rFonts w:eastAsia="Times New Roman"/>
        </w:rPr>
        <w:t>Perhaps he thought all</w:t>
      </w:r>
      <w:r w:rsidR="000B004F" w:rsidRPr="00933C79">
        <w:rPr>
          <w:rFonts w:eastAsia="Times New Roman"/>
        </w:rPr>
        <w:t xml:space="preserve"> he needed to do </w:t>
      </w:r>
      <w:r>
        <w:rPr>
          <w:rFonts w:eastAsia="Times New Roman"/>
        </w:rPr>
        <w:t>is</w:t>
      </w:r>
      <w:r w:rsidR="000B004F" w:rsidRPr="00933C79">
        <w:rPr>
          <w:rFonts w:eastAsia="Times New Roman"/>
        </w:rPr>
        <w:t xml:space="preserve"> to report to the Court </w:t>
      </w:r>
      <w:r w:rsidR="000B004F" w:rsidRPr="00933C79">
        <w:rPr>
          <w:rFonts w:eastAsia="Times New Roman"/>
          <w:i/>
        </w:rPr>
        <w:t>after the even</w:t>
      </w:r>
      <w:r>
        <w:rPr>
          <w:rFonts w:eastAsia="Times New Roman"/>
          <w:i/>
        </w:rPr>
        <w:t xml:space="preserve">t </w:t>
      </w:r>
      <w:r w:rsidRPr="00933C79">
        <w:rPr>
          <w:rFonts w:eastAsia="Times New Roman"/>
          <w:iCs/>
        </w:rPr>
        <w:t>when the</w:t>
      </w:r>
      <w:r w:rsidR="00533CAD">
        <w:rPr>
          <w:rFonts w:eastAsia="Times New Roman"/>
          <w:iCs/>
        </w:rPr>
        <w:t xml:space="preserve"> matters</w:t>
      </w:r>
      <w:r w:rsidRPr="00933C79">
        <w:rPr>
          <w:rFonts w:eastAsia="Times New Roman"/>
          <w:iCs/>
        </w:rPr>
        <w:t xml:space="preserve"> </w:t>
      </w:r>
      <w:r w:rsidR="006C6BD1">
        <w:rPr>
          <w:rFonts w:eastAsia="Times New Roman"/>
          <w:iCs/>
        </w:rPr>
        <w:t xml:space="preserve">have already </w:t>
      </w:r>
      <w:r w:rsidR="00FA290B">
        <w:rPr>
          <w:rFonts w:eastAsia="Times New Roman"/>
          <w:iCs/>
        </w:rPr>
        <w:t>become “done deeds</w:t>
      </w:r>
      <w:r w:rsidRPr="00933C79">
        <w:rPr>
          <w:rFonts w:eastAsia="Times New Roman"/>
          <w:iCs/>
        </w:rPr>
        <w:t>”.</w:t>
      </w:r>
    </w:p>
    <w:p w14:paraId="14956824" w14:textId="4E364EF6" w:rsidR="004404A9" w:rsidRPr="00933C79" w:rsidRDefault="004404A9" w:rsidP="004404A9">
      <w:pPr>
        <w:pStyle w:val="ListParagraph"/>
        <w:spacing w:line="360" w:lineRule="auto"/>
        <w:ind w:left="0" w:right="67"/>
        <w:jc w:val="both"/>
      </w:pPr>
    </w:p>
    <w:p w14:paraId="1207D470" w14:textId="77777777" w:rsidR="004404A9" w:rsidRDefault="00082931" w:rsidP="004404A9">
      <w:pPr>
        <w:pStyle w:val="ListParagraph"/>
        <w:numPr>
          <w:ilvl w:val="0"/>
          <w:numId w:val="30"/>
        </w:numPr>
        <w:spacing w:line="360" w:lineRule="auto"/>
        <w:ind w:left="0" w:right="67" w:firstLine="0"/>
        <w:jc w:val="both"/>
      </w:pPr>
      <w:r w:rsidRPr="00DC26F7">
        <w:t xml:space="preserve">In doing so, </w:t>
      </w:r>
      <w:r w:rsidR="00DC26F7">
        <w:t xml:space="preserve">I find </w:t>
      </w:r>
      <w:r w:rsidRPr="00DC26F7">
        <w:t xml:space="preserve">the plaintiff has completely taken matters in his own hands and </w:t>
      </w:r>
      <w:r w:rsidR="00533CAD">
        <w:t xml:space="preserve">deliberately </w:t>
      </w:r>
      <w:r w:rsidRPr="00DC26F7">
        <w:t>defiled the</w:t>
      </w:r>
      <w:r w:rsidR="00DC26F7">
        <w:t xml:space="preserve"> </w:t>
      </w:r>
      <w:r w:rsidR="00533CAD">
        <w:t>O</w:t>
      </w:r>
      <w:r w:rsidRPr="00DC26F7">
        <w:t xml:space="preserve">rders of the </w:t>
      </w:r>
      <w:r w:rsidR="00533CAD">
        <w:t>C</w:t>
      </w:r>
      <w:r w:rsidRPr="00DC26F7">
        <w:t>ourt.  This makes the underlying objectives of the CJR to expedite the proceedings in a time efficient and economic manner difficult if not impossible to achieve</w:t>
      </w:r>
      <w:r w:rsidR="00533CAD">
        <w:t>.</w:t>
      </w:r>
    </w:p>
    <w:p w14:paraId="0B1DC25B" w14:textId="00D351D0" w:rsidR="00082931" w:rsidRPr="00DC26F7" w:rsidRDefault="00082931" w:rsidP="004404A9">
      <w:pPr>
        <w:pStyle w:val="ListParagraph"/>
        <w:spacing w:line="360" w:lineRule="auto"/>
        <w:ind w:left="0" w:right="67"/>
        <w:jc w:val="both"/>
      </w:pPr>
      <w:r w:rsidRPr="00DC26F7">
        <w:t xml:space="preserve"> </w:t>
      </w:r>
    </w:p>
    <w:p w14:paraId="5731BCE7" w14:textId="47E21F4B" w:rsidR="0028556A" w:rsidRDefault="00DC26F7" w:rsidP="004404A9">
      <w:pPr>
        <w:pStyle w:val="ListParagraph"/>
        <w:numPr>
          <w:ilvl w:val="0"/>
          <w:numId w:val="30"/>
        </w:numPr>
        <w:spacing w:line="360" w:lineRule="auto"/>
        <w:ind w:left="0" w:right="67" w:firstLine="0"/>
        <w:jc w:val="both"/>
      </w:pPr>
      <w:r>
        <w:lastRenderedPageBreak/>
        <w:t>In my judgment, t</w:t>
      </w:r>
      <w:r w:rsidR="00C809E8">
        <w:t xml:space="preserve">o use Dr Li’s retirement as an excuse </w:t>
      </w:r>
      <w:r w:rsidR="0031707D">
        <w:t>to</w:t>
      </w:r>
      <w:r w:rsidR="00C809E8">
        <w:t xml:space="preserve"> justify the appointment of an unsanctioned expert is not only pathetic but entirely self-serving.  </w:t>
      </w:r>
      <w:r w:rsidR="00D9398D">
        <w:t>First, b</w:t>
      </w:r>
      <w:r w:rsidR="00C809E8">
        <w:t>efore agreeing with the defenda</w:t>
      </w:r>
      <w:r w:rsidR="00847420">
        <w:t>n</w:t>
      </w:r>
      <w:r w:rsidR="00C809E8">
        <w:t>t’s sol</w:t>
      </w:r>
      <w:r w:rsidR="00847420">
        <w:t>icitor</w:t>
      </w:r>
      <w:r w:rsidR="00C809E8">
        <w:t xml:space="preserve">s </w:t>
      </w:r>
      <w:r w:rsidR="0031707D">
        <w:t xml:space="preserve">to appoint Dr Tio to examine the </w:t>
      </w:r>
      <w:r w:rsidR="00C150A4">
        <w:t>plaintiff</w:t>
      </w:r>
      <w:r w:rsidR="0031707D">
        <w:t xml:space="preserve"> and to compile a report, the plaintiff</w:t>
      </w:r>
      <w:r w:rsidR="004C1CE4">
        <w:t xml:space="preserve">’s </w:t>
      </w:r>
      <w:r w:rsidR="00C150A4">
        <w:t>solicitors</w:t>
      </w:r>
      <w:r w:rsidR="0031707D">
        <w:t xml:space="preserve"> </w:t>
      </w:r>
      <w:r w:rsidR="004C1CE4">
        <w:t xml:space="preserve">did not even bother to mention to the Master </w:t>
      </w:r>
      <w:r w:rsidR="006C6BD1">
        <w:t xml:space="preserve">before the </w:t>
      </w:r>
      <w:r w:rsidR="0029202C">
        <w:t>1</w:t>
      </w:r>
      <w:r w:rsidR="0029202C" w:rsidRPr="0029202C">
        <w:rPr>
          <w:vertAlign w:val="superscript"/>
        </w:rPr>
        <w:t>st</w:t>
      </w:r>
      <w:r w:rsidR="0029202C">
        <w:t xml:space="preserve"> CLR hearing or </w:t>
      </w:r>
      <w:r w:rsidR="00533CAD">
        <w:t xml:space="preserve">at the </w:t>
      </w:r>
      <w:r w:rsidR="0029202C">
        <w:t>2</w:t>
      </w:r>
      <w:r w:rsidR="0029202C" w:rsidRPr="0029202C">
        <w:rPr>
          <w:vertAlign w:val="superscript"/>
        </w:rPr>
        <w:t>nd</w:t>
      </w:r>
      <w:r w:rsidR="0029202C">
        <w:t xml:space="preserve"> CLR hearing</w:t>
      </w:r>
      <w:r w:rsidR="00533CAD">
        <w:t xml:space="preserve"> </w:t>
      </w:r>
      <w:r w:rsidR="004C1CE4">
        <w:t>of the fact that Dr Li had retired</w:t>
      </w:r>
      <w:r w:rsidR="0029202C">
        <w:t>,</w:t>
      </w:r>
      <w:r>
        <w:t xml:space="preserve"> a fact which was </w:t>
      </w:r>
      <w:r w:rsidR="00FA290B">
        <w:t xml:space="preserve">fully </w:t>
      </w:r>
      <w:r>
        <w:t>known to the plaintiff’s solicitors at the time.</w:t>
      </w:r>
      <w:r w:rsidR="004C1CE4">
        <w:t xml:space="preserve"> </w:t>
      </w:r>
      <w:r w:rsidR="00D9398D">
        <w:t>Second,</w:t>
      </w:r>
      <w:r w:rsidR="004C1CE4">
        <w:t xml:space="preserve"> they </w:t>
      </w:r>
      <w:r w:rsidR="00D9398D">
        <w:t xml:space="preserve">had failed to provide any evidence or record of correspondence to the defendant to show when </w:t>
      </w:r>
      <w:r w:rsidR="00C150A4">
        <w:t xml:space="preserve">Dr Li </w:t>
      </w:r>
      <w:r w:rsidR="00BA4601">
        <w:t xml:space="preserve">was </w:t>
      </w:r>
      <w:r w:rsidR="00C150A4">
        <w:t>supposed to have retired and why</w:t>
      </w:r>
      <w:r w:rsidR="00BA4601">
        <w:t xml:space="preserve">, even </w:t>
      </w:r>
      <w:r w:rsidR="00AF4728">
        <w:t xml:space="preserve">if </w:t>
      </w:r>
      <w:r w:rsidR="00BA4601">
        <w:t>he has</w:t>
      </w:r>
      <w:r w:rsidR="009126BB">
        <w:t xml:space="preserve"> </w:t>
      </w:r>
      <w:r w:rsidR="00BA4601">
        <w:t>retired</w:t>
      </w:r>
      <w:r w:rsidR="00533CAD">
        <w:t xml:space="preserve">, </w:t>
      </w:r>
      <w:r w:rsidR="00C150A4">
        <w:t>he could not</w:t>
      </w:r>
      <w:r w:rsidR="00BA4601">
        <w:t xml:space="preserve"> continue to act as an expert</w:t>
      </w:r>
      <w:r w:rsidR="00533CAD">
        <w:t xml:space="preserve"> of the Court</w:t>
      </w:r>
      <w:r w:rsidR="00BA4601">
        <w:t xml:space="preserve">. </w:t>
      </w:r>
      <w:r w:rsidR="00533CAD">
        <w:t xml:space="preserve"> </w:t>
      </w:r>
      <w:r w:rsidR="00022BE9">
        <w:t>Third</w:t>
      </w:r>
      <w:r>
        <w:t xml:space="preserve"> and most important of all</w:t>
      </w:r>
      <w:r w:rsidR="00022BE9">
        <w:t xml:space="preserve">, they had failed to seek the </w:t>
      </w:r>
      <w:r w:rsidR="00533CAD">
        <w:t>C</w:t>
      </w:r>
      <w:r w:rsidR="00022BE9">
        <w:t>ourt’s direction</w:t>
      </w:r>
      <w:r w:rsidR="00294923">
        <w:t xml:space="preserve"> </w:t>
      </w:r>
      <w:r w:rsidR="009126BB">
        <w:t xml:space="preserve">on this when they had ample of </w:t>
      </w:r>
      <w:r w:rsidR="00AF4728">
        <w:t xml:space="preserve">time and </w:t>
      </w:r>
      <w:r w:rsidR="009126BB">
        <w:t>opportunities to do so.</w:t>
      </w:r>
      <w:r w:rsidR="00022BE9">
        <w:t xml:space="preserve"> </w:t>
      </w:r>
      <w:r w:rsidR="00BA4601">
        <w:t xml:space="preserve"> </w:t>
      </w:r>
    </w:p>
    <w:p w14:paraId="6968A69A" w14:textId="48800ACD" w:rsidR="004404A9" w:rsidRDefault="004404A9" w:rsidP="004404A9">
      <w:pPr>
        <w:pStyle w:val="ListParagraph"/>
        <w:spacing w:line="360" w:lineRule="auto"/>
        <w:ind w:left="0" w:right="67"/>
        <w:jc w:val="both"/>
      </w:pPr>
    </w:p>
    <w:p w14:paraId="4D36984C" w14:textId="682DE532" w:rsidR="00AC251C" w:rsidRDefault="0028556A" w:rsidP="004404A9">
      <w:pPr>
        <w:pStyle w:val="ListParagraph"/>
        <w:numPr>
          <w:ilvl w:val="0"/>
          <w:numId w:val="30"/>
        </w:numPr>
        <w:spacing w:line="360" w:lineRule="auto"/>
        <w:ind w:left="0" w:right="67" w:firstLine="0"/>
        <w:jc w:val="both"/>
      </w:pPr>
      <w:r>
        <w:t xml:space="preserve">In another act of </w:t>
      </w:r>
      <w:r w:rsidRPr="0028556A">
        <w:rPr>
          <w:i/>
          <w:iCs/>
        </w:rPr>
        <w:t>fait accompli</w:t>
      </w:r>
      <w:r>
        <w:t xml:space="preserve">, the plaintiff wrote a letter </w:t>
      </w:r>
      <w:r w:rsidR="00FC7E0E">
        <w:t xml:space="preserve">on 30 December 2021 </w:t>
      </w:r>
      <w:r>
        <w:t xml:space="preserve">to the defendant enclosing </w:t>
      </w:r>
      <w:r w:rsidR="00FC7E0E">
        <w:t>a draft letter to the Master by</w:t>
      </w:r>
      <w:r w:rsidR="00294923">
        <w:t xml:space="preserve"> purportedly jointly</w:t>
      </w:r>
      <w:r w:rsidR="00FC7E0E">
        <w:t xml:space="preserve"> “reporting” to her</w:t>
      </w:r>
      <w:r w:rsidR="00294923">
        <w:t xml:space="preserve"> </w:t>
      </w:r>
      <w:r w:rsidR="00FC7E0E">
        <w:t>that,</w:t>
      </w:r>
      <w:r w:rsidR="00294923">
        <w:t xml:space="preserve"> </w:t>
      </w:r>
      <w:r w:rsidR="00294923" w:rsidRPr="00620B8A">
        <w:rPr>
          <w:i/>
          <w:iCs/>
        </w:rPr>
        <w:t>inter alia</w:t>
      </w:r>
      <w:r w:rsidR="00294923">
        <w:t>, “the Single joint orth</w:t>
      </w:r>
      <w:r w:rsidR="00AC5941">
        <w:t>opaedic expert Dr. LI Wing Kin has retired, and the partie</w:t>
      </w:r>
      <w:r w:rsidR="00E846EE">
        <w:t xml:space="preserve">s have jointly instructed in </w:t>
      </w:r>
      <w:r w:rsidR="00E846EE" w:rsidRPr="00DC26F7">
        <w:t>has (sic)</w:t>
      </w:r>
      <w:r w:rsidR="00AC5941">
        <w:t xml:space="preserve"> place Dr. Peter Tio, to do examination on the 7</w:t>
      </w:r>
      <w:r w:rsidR="00AC5941" w:rsidRPr="00AC5941">
        <w:rPr>
          <w:vertAlign w:val="superscript"/>
        </w:rPr>
        <w:t>th</w:t>
      </w:r>
      <w:r w:rsidR="00AC5941">
        <w:t xml:space="preserve"> January 2022”.  When the defendant was not able to reply in time on the </w:t>
      </w:r>
      <w:r w:rsidR="00AF4728">
        <w:t>unilaterally imposed</w:t>
      </w:r>
      <w:r w:rsidR="00533CAD">
        <w:t xml:space="preserve"> </w:t>
      </w:r>
      <w:r w:rsidR="00AC5941">
        <w:t xml:space="preserve">deadline </w:t>
      </w:r>
      <w:r w:rsidR="0029202C">
        <w:t xml:space="preserve">by the plaintiff </w:t>
      </w:r>
      <w:r w:rsidR="00DC26F7">
        <w:t xml:space="preserve">due to the case handler </w:t>
      </w:r>
      <w:r w:rsidR="0029202C">
        <w:t xml:space="preserve">at the defendants’ solicitors </w:t>
      </w:r>
      <w:r w:rsidR="00DC26F7">
        <w:t xml:space="preserve">Mr Tsang had been taken ill at the time, </w:t>
      </w:r>
      <w:r w:rsidR="00AC5941">
        <w:t xml:space="preserve">the plaintiff’s solicitors </w:t>
      </w:r>
      <w:r w:rsidR="00DC26F7">
        <w:t xml:space="preserve">saw fit to </w:t>
      </w:r>
      <w:r w:rsidR="00AC251C">
        <w:t>send th</w:t>
      </w:r>
      <w:r w:rsidR="00620B8A">
        <w:t xml:space="preserve">e letter </w:t>
      </w:r>
      <w:r w:rsidR="00AC251C">
        <w:t>to the Master</w:t>
      </w:r>
      <w:r w:rsidR="00DC26F7">
        <w:t>,</w:t>
      </w:r>
      <w:r w:rsidR="00AC251C">
        <w:t xml:space="preserve"> </w:t>
      </w:r>
      <w:r w:rsidR="00DC26F7">
        <w:t xml:space="preserve">by </w:t>
      </w:r>
      <w:r w:rsidR="0029202C">
        <w:t>unilaterally</w:t>
      </w:r>
      <w:r w:rsidR="009126BB">
        <w:t xml:space="preserve"> assuming that the defendant did not object to such an appointment</w:t>
      </w:r>
      <w:r w:rsidR="00AC251C">
        <w:t>.</w:t>
      </w:r>
      <w:r w:rsidR="00B9190F">
        <w:t xml:space="preserve">  In my view, this is an oppressive </w:t>
      </w:r>
      <w:r w:rsidR="004D4A4E">
        <w:t>and reprehensive way</w:t>
      </w:r>
      <w:r w:rsidR="00533CAD">
        <w:t xml:space="preserve"> of conducting litigation.</w:t>
      </w:r>
    </w:p>
    <w:p w14:paraId="03288BF1" w14:textId="7E005709" w:rsidR="004404A9" w:rsidRDefault="004404A9" w:rsidP="004404A9">
      <w:pPr>
        <w:pStyle w:val="ListParagraph"/>
        <w:spacing w:line="360" w:lineRule="auto"/>
        <w:ind w:left="0" w:right="67"/>
        <w:jc w:val="both"/>
      </w:pPr>
    </w:p>
    <w:p w14:paraId="0012B1BA" w14:textId="5F920AE5" w:rsidR="00BC32B2" w:rsidRDefault="004D4A4E" w:rsidP="004404A9">
      <w:pPr>
        <w:pStyle w:val="ListParagraph"/>
        <w:numPr>
          <w:ilvl w:val="0"/>
          <w:numId w:val="30"/>
        </w:numPr>
        <w:spacing w:line="360" w:lineRule="auto"/>
        <w:ind w:left="0" w:right="67" w:firstLine="0"/>
        <w:jc w:val="both"/>
      </w:pPr>
      <w:r>
        <w:t>Further, i</w:t>
      </w:r>
      <w:r w:rsidR="00AC251C">
        <w:t xml:space="preserve">t was not until at the hearing before me </w:t>
      </w:r>
      <w:r w:rsidR="009126BB">
        <w:t xml:space="preserve">on 18 February 2022 </w:t>
      </w:r>
      <w:r w:rsidR="00AC251C">
        <w:t>that</w:t>
      </w:r>
      <w:r w:rsidR="00620B8A">
        <w:t xml:space="preserve"> copies of the correspondence between the plaintiff’s solicitors and Dr Li w</w:t>
      </w:r>
      <w:r w:rsidR="00533CAD">
        <w:t>ere</w:t>
      </w:r>
      <w:r w:rsidR="00620B8A">
        <w:t xml:space="preserve"> produced to the </w:t>
      </w:r>
      <w:r w:rsidR="00533CAD">
        <w:t>C</w:t>
      </w:r>
      <w:r w:rsidR="00620B8A">
        <w:t>ourt</w:t>
      </w:r>
      <w:r w:rsidR="009126BB">
        <w:t xml:space="preserve"> for the first time</w:t>
      </w:r>
      <w:r w:rsidR="00620B8A">
        <w:t xml:space="preserve">.  Mr </w:t>
      </w:r>
      <w:r w:rsidR="00620B8A">
        <w:lastRenderedPageBreak/>
        <w:t xml:space="preserve">Tsang confirmed that they were not shown </w:t>
      </w:r>
      <w:r w:rsidR="00BC32B2">
        <w:t xml:space="preserve">copies of </w:t>
      </w:r>
      <w:r w:rsidR="00620B8A">
        <w:t xml:space="preserve">those correspondence </w:t>
      </w:r>
      <w:r w:rsidR="00BC32B2">
        <w:t>until the day before the hearing.</w:t>
      </w:r>
    </w:p>
    <w:p w14:paraId="17A2255D" w14:textId="05C92DB9" w:rsidR="004404A9" w:rsidRDefault="004404A9" w:rsidP="004404A9">
      <w:pPr>
        <w:pStyle w:val="ListParagraph"/>
        <w:spacing w:line="360" w:lineRule="auto"/>
        <w:ind w:left="0" w:right="67"/>
        <w:jc w:val="both"/>
      </w:pPr>
    </w:p>
    <w:p w14:paraId="131E21B2" w14:textId="77777777" w:rsidR="00DC47C1" w:rsidRDefault="00BC32B2" w:rsidP="004404A9">
      <w:pPr>
        <w:pStyle w:val="ListParagraph"/>
        <w:numPr>
          <w:ilvl w:val="0"/>
          <w:numId w:val="30"/>
        </w:numPr>
        <w:spacing w:line="360" w:lineRule="auto"/>
        <w:ind w:left="0" w:right="67" w:firstLine="0"/>
        <w:jc w:val="both"/>
      </w:pPr>
      <w:r>
        <w:t xml:space="preserve">A quick </w:t>
      </w:r>
      <w:r w:rsidR="00E846EE" w:rsidRPr="00DC26F7">
        <w:t>glance</w:t>
      </w:r>
      <w:r w:rsidR="00E846EE">
        <w:t xml:space="preserve"> </w:t>
      </w:r>
      <w:r>
        <w:t xml:space="preserve">of those correspondence confirmed that the plaintiff’s solicitors wrote to Dr Li </w:t>
      </w:r>
      <w:r w:rsidR="004D4A4E">
        <w:t>as</w:t>
      </w:r>
      <w:r w:rsidR="00533CAD">
        <w:t xml:space="preserve"> early</w:t>
      </w:r>
      <w:r w:rsidR="004D4A4E">
        <w:t xml:space="preserve"> as in</w:t>
      </w:r>
      <w:r w:rsidR="00533CAD">
        <w:t xml:space="preserve"> May 2020 </w:t>
      </w:r>
      <w:r>
        <w:t>to ask him</w:t>
      </w:r>
      <w:r w:rsidR="00DC26F7">
        <w:t xml:space="preserve"> </w:t>
      </w:r>
      <w:r w:rsidR="00E846EE" w:rsidRPr="00DC26F7">
        <w:t>for</w:t>
      </w:r>
      <w:r w:rsidR="00E846EE">
        <w:t xml:space="preserve"> </w:t>
      </w:r>
      <w:r>
        <w:t xml:space="preserve">an update examination of the plaintiff and to review the further treatments the plaintiff had received </w:t>
      </w:r>
      <w:r w:rsidR="00DC26F7">
        <w:t xml:space="preserve">up to that time </w:t>
      </w:r>
      <w:r>
        <w:t>and to advise his current condition and further treatment that he may require: (See letter from the plaintiff’s solicitors to Dr Li dated 4 May 2020).  However, despite Dr Li was appointed as a single joint expert</w:t>
      </w:r>
      <w:r w:rsidR="00533CAD">
        <w:t xml:space="preserve"> by both parties</w:t>
      </w:r>
      <w:r>
        <w:t xml:space="preserve">, the letter was not copied to the defendant.  </w:t>
      </w:r>
      <w:r w:rsidR="003A43D2">
        <w:t xml:space="preserve">Dr Li replied by </w:t>
      </w:r>
      <w:r w:rsidR="00DC26F7">
        <w:t xml:space="preserve">an </w:t>
      </w:r>
      <w:r w:rsidR="003A43D2">
        <w:t xml:space="preserve">email on the same date and </w:t>
      </w:r>
      <w:r w:rsidR="00DD1712">
        <w:t>indicated</w:t>
      </w:r>
      <w:r w:rsidR="003A43D2">
        <w:t xml:space="preserve"> that he had retired and had removed himself </w:t>
      </w:r>
      <w:r w:rsidR="00DD1712">
        <w:t>voluntarily</w:t>
      </w:r>
      <w:r w:rsidR="003A43D2">
        <w:t xml:space="preserve"> from the </w:t>
      </w:r>
      <w:r w:rsidR="00DD1712">
        <w:t>specialist</w:t>
      </w:r>
      <w:r w:rsidR="003A43D2">
        <w:t xml:space="preserve"> register and was not </w:t>
      </w:r>
      <w:r w:rsidR="00DD1712">
        <w:t>entitled</w:t>
      </w:r>
      <w:r w:rsidR="003A43D2">
        <w:t xml:space="preserve"> to pr</w:t>
      </w:r>
      <w:r w:rsidR="00DD1712">
        <w:t>a</w:t>
      </w:r>
      <w:r w:rsidR="003A43D2">
        <w:t>ct</w:t>
      </w:r>
      <w:r w:rsidR="00DD1712">
        <w:t>ice</w:t>
      </w:r>
      <w:r w:rsidR="003A43D2">
        <w:t xml:space="preserve"> </w:t>
      </w:r>
      <w:r w:rsidR="00DD1712">
        <w:t>anymore</w:t>
      </w:r>
      <w:r w:rsidR="003A43D2">
        <w:t>.  Hence</w:t>
      </w:r>
      <w:r w:rsidR="00DD1712">
        <w:t>,</w:t>
      </w:r>
      <w:r w:rsidR="003A43D2">
        <w:t xml:space="preserve"> he </w:t>
      </w:r>
      <w:r w:rsidR="00DD1712">
        <w:t xml:space="preserve">thought he </w:t>
      </w:r>
      <w:r w:rsidR="003A43D2">
        <w:t xml:space="preserve">was not </w:t>
      </w:r>
      <w:r w:rsidR="00DD1712">
        <w:t>able</w:t>
      </w:r>
      <w:r w:rsidR="003A43D2">
        <w:t xml:space="preserve"> to conduct the subject re-</w:t>
      </w:r>
      <w:r w:rsidR="00DD1712">
        <w:t>examination</w:t>
      </w:r>
      <w:r w:rsidR="003A43D2">
        <w:t xml:space="preserve">.  </w:t>
      </w:r>
    </w:p>
    <w:p w14:paraId="3CDF649D" w14:textId="77777777" w:rsidR="00DC47C1" w:rsidRDefault="00DC47C1" w:rsidP="00DC47C1">
      <w:pPr>
        <w:pStyle w:val="ListParagraph"/>
      </w:pPr>
    </w:p>
    <w:p w14:paraId="26AA086E" w14:textId="5EAC4D4B" w:rsidR="004404A9" w:rsidRDefault="003A43D2" w:rsidP="004404A9">
      <w:pPr>
        <w:pStyle w:val="ListParagraph"/>
        <w:numPr>
          <w:ilvl w:val="0"/>
          <w:numId w:val="30"/>
        </w:numPr>
        <w:spacing w:line="360" w:lineRule="auto"/>
        <w:ind w:left="0" w:right="67" w:firstLine="0"/>
        <w:jc w:val="both"/>
      </w:pPr>
      <w:r>
        <w:t>As said, this matter was not reported to the Master.  Nor was it mentioned to the defendant.</w:t>
      </w:r>
      <w:r w:rsidR="00DD1712">
        <w:t xml:space="preserve"> </w:t>
      </w:r>
    </w:p>
    <w:p w14:paraId="3B5AAE7B" w14:textId="4D9F1AB2" w:rsidR="00BC32B2" w:rsidRDefault="00DD1712" w:rsidP="004404A9">
      <w:pPr>
        <w:pStyle w:val="ListParagraph"/>
        <w:spacing w:line="360" w:lineRule="auto"/>
        <w:ind w:left="0" w:right="67"/>
        <w:jc w:val="both"/>
      </w:pPr>
      <w:r>
        <w:t xml:space="preserve"> </w:t>
      </w:r>
    </w:p>
    <w:p w14:paraId="4889108A" w14:textId="154F7A3E" w:rsidR="004404A9" w:rsidRDefault="003A43D2" w:rsidP="004404A9">
      <w:pPr>
        <w:pStyle w:val="ListParagraph"/>
        <w:numPr>
          <w:ilvl w:val="0"/>
          <w:numId w:val="30"/>
        </w:numPr>
        <w:spacing w:line="360" w:lineRule="auto"/>
        <w:ind w:left="0" w:right="67" w:firstLine="0"/>
        <w:jc w:val="both"/>
      </w:pPr>
      <w:r>
        <w:t>Then</w:t>
      </w:r>
      <w:r w:rsidR="00533CAD">
        <w:t>, after the 1</w:t>
      </w:r>
      <w:r w:rsidR="00533CAD" w:rsidRPr="00533CAD">
        <w:rPr>
          <w:vertAlign w:val="superscript"/>
        </w:rPr>
        <w:t>st</w:t>
      </w:r>
      <w:r w:rsidR="00533CAD">
        <w:t xml:space="preserve"> CLR </w:t>
      </w:r>
      <w:r w:rsidR="004D4A4E">
        <w:t>was vacated</w:t>
      </w:r>
      <w:r w:rsidR="00533CAD">
        <w:t xml:space="preserve"> and with the March 2021 Order still fresh in the parties’ mind, </w:t>
      </w:r>
      <w:r w:rsidR="00807418">
        <w:t xml:space="preserve">on 1 </w:t>
      </w:r>
      <w:r>
        <w:t>April 2021</w:t>
      </w:r>
      <w:r w:rsidR="00533CAD">
        <w:t>,</w:t>
      </w:r>
      <w:r>
        <w:t xml:space="preserve"> the </w:t>
      </w:r>
      <w:r w:rsidR="0058689E">
        <w:t>plaintiff’s</w:t>
      </w:r>
      <w:r>
        <w:t xml:space="preserve"> soli</w:t>
      </w:r>
      <w:r w:rsidR="00DD1712">
        <w:t>ci</w:t>
      </w:r>
      <w:r>
        <w:t>tors wrote to Dr Li by email again and as</w:t>
      </w:r>
      <w:r w:rsidR="00807418">
        <w:t>k</w:t>
      </w:r>
      <w:r>
        <w:t xml:space="preserve">ed him to prepare an updated </w:t>
      </w:r>
      <w:r w:rsidR="00DD1712">
        <w:t>expert</w:t>
      </w:r>
      <w:r>
        <w:t xml:space="preserve"> </w:t>
      </w:r>
      <w:r w:rsidR="00DD1712">
        <w:t>opinion</w:t>
      </w:r>
      <w:r>
        <w:t xml:space="preserve">.  </w:t>
      </w:r>
      <w:r w:rsidR="00807418">
        <w:t xml:space="preserve">Again, Dr Li replied by email on the same day </w:t>
      </w:r>
      <w:r w:rsidR="00DD1712">
        <w:t>reiterating</w:t>
      </w:r>
      <w:r w:rsidR="00807418">
        <w:t xml:space="preserve"> his </w:t>
      </w:r>
      <w:r w:rsidR="00DD1712">
        <w:t>position</w:t>
      </w:r>
      <w:r w:rsidR="00807418">
        <w:t>.  Howev</w:t>
      </w:r>
      <w:r w:rsidR="00E37781">
        <w:t>er, nothing in Dr Li’s reply suggests</w:t>
      </w:r>
      <w:r w:rsidR="00807418">
        <w:t xml:space="preserve"> why he could not continue to act as an expert.  In fact, Dr Li asked the plaintiff’s sol</w:t>
      </w:r>
      <w:r w:rsidR="00DD1712">
        <w:t>ic</w:t>
      </w:r>
      <w:r w:rsidR="00807418">
        <w:t xml:space="preserve">itors </w:t>
      </w:r>
      <w:r w:rsidR="004D4A4E">
        <w:t xml:space="preserve">for </w:t>
      </w:r>
      <w:r w:rsidR="00807418">
        <w:t>suggestion</w:t>
      </w:r>
      <w:r w:rsidR="00DD1712">
        <w:t>s</w:t>
      </w:r>
      <w:r w:rsidR="00807418">
        <w:t xml:space="preserve"> as to how he may offer further help in this case.  Further email exchanges took pl</w:t>
      </w:r>
      <w:r w:rsidR="0058689E">
        <w:t>a</w:t>
      </w:r>
      <w:r w:rsidR="00807418">
        <w:t xml:space="preserve">ce in May and June 2021 between the plaintiff and Dr Li where Dr Li repeated </w:t>
      </w:r>
      <w:r w:rsidR="0045144C">
        <w:t>the same</w:t>
      </w:r>
      <w:r w:rsidR="00807418">
        <w:t xml:space="preserve"> posit</w:t>
      </w:r>
      <w:r w:rsidR="0058689E">
        <w:t>i</w:t>
      </w:r>
      <w:r w:rsidR="00807418">
        <w:t>on.  However, th</w:t>
      </w:r>
      <w:r w:rsidR="00051824">
        <w:t>ese</w:t>
      </w:r>
      <w:r w:rsidR="00807418">
        <w:t xml:space="preserve"> </w:t>
      </w:r>
      <w:r w:rsidR="00051824">
        <w:t xml:space="preserve">email </w:t>
      </w:r>
      <w:r w:rsidR="0058689E">
        <w:t>exchange</w:t>
      </w:r>
      <w:r w:rsidR="00051824">
        <w:t>s</w:t>
      </w:r>
      <w:r w:rsidR="0058689E">
        <w:t xml:space="preserve"> between the plaintiff and Dr Li </w:t>
      </w:r>
      <w:r w:rsidR="00807418">
        <w:t>w</w:t>
      </w:r>
      <w:r w:rsidR="00051824">
        <w:t>ere</w:t>
      </w:r>
      <w:r w:rsidR="00807418">
        <w:t xml:space="preserve"> </w:t>
      </w:r>
      <w:r w:rsidR="0058689E">
        <w:t xml:space="preserve">being </w:t>
      </w:r>
      <w:r w:rsidR="00807418">
        <w:t xml:space="preserve">kept </w:t>
      </w:r>
      <w:r w:rsidR="0058689E">
        <w:t>away from the Court and the defendant.</w:t>
      </w:r>
      <w:r w:rsidR="00051824">
        <w:t xml:space="preserve">  </w:t>
      </w:r>
      <w:r w:rsidR="00DC26F7">
        <w:t xml:space="preserve">In other words, both the defendant </w:t>
      </w:r>
      <w:r w:rsidR="00DC26F7">
        <w:lastRenderedPageBreak/>
        <w:t xml:space="preserve">and the </w:t>
      </w:r>
      <w:r w:rsidR="00533CAD">
        <w:t>C</w:t>
      </w:r>
      <w:r w:rsidR="00DC26F7">
        <w:t>ourt</w:t>
      </w:r>
      <w:r w:rsidR="00051824">
        <w:t xml:space="preserve"> were being kept in the dark</w:t>
      </w:r>
      <w:r w:rsidR="004D4A4E">
        <w:t xml:space="preserve"> by the plaintiff’s solicitors</w:t>
      </w:r>
      <w:r w:rsidR="00051824">
        <w:t xml:space="preserve"> on th</w:t>
      </w:r>
      <w:r w:rsidR="00DC26F7">
        <w:t>is</w:t>
      </w:r>
      <w:r w:rsidR="00051824">
        <w:t xml:space="preserve"> matter.</w:t>
      </w:r>
    </w:p>
    <w:p w14:paraId="56D9B983" w14:textId="59B6A8F0" w:rsidR="0058689E" w:rsidRDefault="00051824" w:rsidP="004404A9">
      <w:pPr>
        <w:pStyle w:val="ListParagraph"/>
        <w:spacing w:line="360" w:lineRule="auto"/>
        <w:ind w:left="0" w:right="67"/>
        <w:jc w:val="both"/>
      </w:pPr>
      <w:r>
        <w:t xml:space="preserve">  </w:t>
      </w:r>
      <w:r w:rsidR="0058689E">
        <w:t xml:space="preserve">    </w:t>
      </w:r>
    </w:p>
    <w:p w14:paraId="7A34BCFC" w14:textId="5EC2A97F" w:rsidR="00DC26F7" w:rsidRDefault="0058689E" w:rsidP="004404A9">
      <w:pPr>
        <w:pStyle w:val="ListParagraph"/>
        <w:numPr>
          <w:ilvl w:val="0"/>
          <w:numId w:val="30"/>
        </w:numPr>
        <w:spacing w:line="360" w:lineRule="auto"/>
        <w:ind w:left="0" w:right="67" w:firstLine="0"/>
        <w:jc w:val="both"/>
      </w:pPr>
      <w:r>
        <w:t xml:space="preserve">I do not regard the mere fact that Dr Li has retired from private practice as an orthopaedic surgeon will </w:t>
      </w:r>
      <w:r w:rsidR="00875D70">
        <w:t>necessarily</w:t>
      </w:r>
      <w:r>
        <w:t xml:space="preserve"> prevent him from continuing to act as a</w:t>
      </w:r>
      <w:r w:rsidR="00533CAD">
        <w:t xml:space="preserve">n </w:t>
      </w:r>
      <w:r>
        <w:t>expert in this case.  In fact, Dr Li himself in his email</w:t>
      </w:r>
      <w:r w:rsidR="00DC26F7">
        <w:t xml:space="preserve"> replies </w:t>
      </w:r>
      <w:r>
        <w:t xml:space="preserve">back in </w:t>
      </w:r>
      <w:r w:rsidR="00875D70">
        <w:t>April to June 2021 did not say so.  He was simply asking for a practical s</w:t>
      </w:r>
      <w:r w:rsidR="004D4A4E">
        <w:t>olution as to how to go about providing an update</w:t>
      </w:r>
      <w:r w:rsidR="00FA290B">
        <w:t>d</w:t>
      </w:r>
      <w:r w:rsidR="004D4A4E">
        <w:t xml:space="preserve"> report</w:t>
      </w:r>
      <w:r w:rsidR="00B7250F">
        <w:t xml:space="preserve"> and asked for suggestion</w:t>
      </w:r>
      <w:r w:rsidR="00051824">
        <w:t>s</w:t>
      </w:r>
      <w:r w:rsidR="00B7250F">
        <w:t xml:space="preserve"> from the plaintiff’s solicitors</w:t>
      </w:r>
      <w:r w:rsidR="00051824">
        <w:t xml:space="preserve"> to do so</w:t>
      </w:r>
      <w:r w:rsidR="005A52AC">
        <w:t xml:space="preserve">. </w:t>
      </w:r>
      <w:r w:rsidR="00B7250F">
        <w:t xml:space="preserve"> </w:t>
      </w:r>
    </w:p>
    <w:p w14:paraId="3DA6F5A8" w14:textId="7C6AFEC9" w:rsidR="004404A9" w:rsidRDefault="004404A9" w:rsidP="004404A9">
      <w:pPr>
        <w:pStyle w:val="ListParagraph"/>
        <w:spacing w:line="360" w:lineRule="auto"/>
        <w:ind w:left="0" w:right="67"/>
        <w:jc w:val="both"/>
      </w:pPr>
    </w:p>
    <w:p w14:paraId="2B839462" w14:textId="5AC35F9C" w:rsidR="00533CAD" w:rsidRDefault="00FA290B" w:rsidP="00533CAD">
      <w:pPr>
        <w:pStyle w:val="ListParagraph"/>
        <w:numPr>
          <w:ilvl w:val="0"/>
          <w:numId w:val="30"/>
        </w:numPr>
        <w:spacing w:after="418" w:line="360" w:lineRule="auto"/>
        <w:ind w:left="0" w:right="67" w:firstLine="0"/>
        <w:jc w:val="both"/>
      </w:pPr>
      <w:r>
        <w:t>In my judgment</w:t>
      </w:r>
      <w:r w:rsidR="005661FF">
        <w:t xml:space="preserve">, </w:t>
      </w:r>
      <w:r w:rsidR="00DC26F7">
        <w:t xml:space="preserve">in order </w:t>
      </w:r>
      <w:r w:rsidR="00284DE6">
        <w:t>to</w:t>
      </w:r>
      <w:r w:rsidR="005661FF">
        <w:t xml:space="preserve"> save time and costs and </w:t>
      </w:r>
      <w:r w:rsidR="00304415">
        <w:t>in order to achieve</w:t>
      </w:r>
      <w:r w:rsidR="005661FF">
        <w:t xml:space="preserve"> the </w:t>
      </w:r>
      <w:r w:rsidR="005661FF" w:rsidRPr="004404A9">
        <w:t>underl</w:t>
      </w:r>
      <w:r w:rsidR="00E846EE" w:rsidRPr="004404A9">
        <w:t>y</w:t>
      </w:r>
      <w:r w:rsidR="005661FF" w:rsidRPr="004404A9">
        <w:t>ing</w:t>
      </w:r>
      <w:r w:rsidR="005661FF">
        <w:t xml:space="preserve"> objectives of the CJR, whenever possible,</w:t>
      </w:r>
      <w:r w:rsidR="00DC26F7">
        <w:t xml:space="preserve"> an</w:t>
      </w:r>
      <w:r w:rsidR="005661FF">
        <w:t xml:space="preserve"> expert who ha</w:t>
      </w:r>
      <w:r w:rsidR="00DC26F7">
        <w:t>s</w:t>
      </w:r>
      <w:r w:rsidR="005661FF">
        <w:t xml:space="preserve"> been appointed to examine a plaintiff and who ha</w:t>
      </w:r>
      <w:r w:rsidR="00DC26F7">
        <w:t>s</w:t>
      </w:r>
      <w:r w:rsidR="005661FF">
        <w:t xml:space="preserve"> previously </w:t>
      </w:r>
      <w:r w:rsidR="00304415">
        <w:t>prepared</w:t>
      </w:r>
      <w:r w:rsidR="005661FF">
        <w:t xml:space="preserve"> an expert report </w:t>
      </w:r>
      <w:r w:rsidR="00304415">
        <w:t xml:space="preserve">in the case </w:t>
      </w:r>
      <w:r w:rsidR="005661FF">
        <w:t>should be appointed to condu</w:t>
      </w:r>
      <w:r w:rsidR="00304415">
        <w:t>c</w:t>
      </w:r>
      <w:r w:rsidR="005661FF">
        <w:t>t further examination a</w:t>
      </w:r>
      <w:r w:rsidR="00E37781">
        <w:t>nd to prepare for an updated or</w:t>
      </w:r>
      <w:r w:rsidR="005661FF">
        <w:t xml:space="preserve"> su</w:t>
      </w:r>
      <w:r w:rsidR="00304415">
        <w:t xml:space="preserve">pplemental </w:t>
      </w:r>
      <w:r w:rsidR="005661FF">
        <w:t xml:space="preserve">report.  </w:t>
      </w:r>
      <w:r w:rsidR="00DC26F7">
        <w:t xml:space="preserve">It is only in very rare </w:t>
      </w:r>
      <w:r w:rsidR="00533CAD">
        <w:t xml:space="preserve">and </w:t>
      </w:r>
      <w:r w:rsidR="00DC26F7">
        <w:t>exceptional circumstances, like the untimely demise or serious ill</w:t>
      </w:r>
      <w:r w:rsidR="004D4A4E">
        <w:t xml:space="preserve"> health of the existing experts</w:t>
      </w:r>
      <w:r>
        <w:t>,</w:t>
      </w:r>
      <w:r w:rsidR="00DC26F7">
        <w:t xml:space="preserve"> which </w:t>
      </w:r>
      <w:r w:rsidR="00AE5172">
        <w:t xml:space="preserve">would </w:t>
      </w:r>
      <w:r w:rsidR="00DC26F7">
        <w:t xml:space="preserve">prevent them to prepare an update and supplemental report, </w:t>
      </w:r>
      <w:r w:rsidR="00AE5172">
        <w:t>will</w:t>
      </w:r>
      <w:r w:rsidR="00DC26F7">
        <w:t xml:space="preserve"> justify the appointment of a new expert.  </w:t>
      </w:r>
      <w:r w:rsidR="00533CAD">
        <w:t xml:space="preserve">After all, the expert’s duty is owed to the Court and not to the party or parties who appoint him or pay him. This has been clearly spelt out in the Code of Conduct referred to in §80 of PD 18.1 which every expert is now required to sign and declare at the end of their report.  Hence, there is no room for any misunderstanding on all parties concerned.  </w:t>
      </w:r>
    </w:p>
    <w:p w14:paraId="6719F989" w14:textId="2BD678E7" w:rsidR="004F770E" w:rsidRDefault="004F770E" w:rsidP="004F770E">
      <w:pPr>
        <w:pStyle w:val="ListParagraph"/>
        <w:numPr>
          <w:ilvl w:val="0"/>
          <w:numId w:val="30"/>
        </w:numPr>
        <w:spacing w:after="418" w:line="360" w:lineRule="auto"/>
        <w:ind w:left="0" w:right="67" w:firstLine="0"/>
        <w:jc w:val="both"/>
      </w:pPr>
      <w:r>
        <w:t xml:space="preserve">In those very rare </w:t>
      </w:r>
      <w:r w:rsidR="00AE5172">
        <w:t xml:space="preserve">and exceptional </w:t>
      </w:r>
      <w:r>
        <w:t>circumstances, the parties should fi</w:t>
      </w:r>
      <w:r w:rsidR="004D4A4E">
        <w:t>rst seek the directions of the C</w:t>
      </w:r>
      <w:r>
        <w:t xml:space="preserve">ourt at the first available opportunity during the case management stage of the proceedings.  If the Court considers appropriate, it will appoint a new expert in substitution of </w:t>
      </w:r>
      <w:r>
        <w:lastRenderedPageBreak/>
        <w:t xml:space="preserve">the existing expert, after hearing parties’ submissions.  </w:t>
      </w:r>
      <w:r w:rsidR="00533CAD">
        <w:t>I should add that t</w:t>
      </w:r>
      <w:r>
        <w:t xml:space="preserve">he closer the application </w:t>
      </w:r>
      <w:r w:rsidR="00533CAD">
        <w:t xml:space="preserve">for such new expert to be appointed </w:t>
      </w:r>
      <w:r>
        <w:t>to the trial or assessment date</w:t>
      </w:r>
      <w:r w:rsidR="00AF4728">
        <w:t xml:space="preserve">, </w:t>
      </w:r>
      <w:r w:rsidR="004D4A4E">
        <w:t xml:space="preserve">which </w:t>
      </w:r>
      <w:r w:rsidR="00AF4728">
        <w:t>of course are “milestone dates”</w:t>
      </w:r>
      <w:r>
        <w:t xml:space="preserve">, the less likely the </w:t>
      </w:r>
      <w:r w:rsidR="00533CAD">
        <w:t>C</w:t>
      </w:r>
      <w:r>
        <w:t xml:space="preserve">ourt will grant leave to allow a party or parties to appoint a new expert.   The parties </w:t>
      </w:r>
      <w:r w:rsidR="00533CAD">
        <w:t xml:space="preserve">however </w:t>
      </w:r>
      <w:r w:rsidR="00FA290B">
        <w:t xml:space="preserve">must </w:t>
      </w:r>
      <w:r>
        <w:t>not, like the plaintiff in this case, simply went ahead with the appointment (</w:t>
      </w:r>
      <w:r w:rsidR="00533CAD">
        <w:t>even with</w:t>
      </w:r>
      <w:r>
        <w:t xml:space="preserve"> the agreement of his opponent) without leave and then to i</w:t>
      </w:r>
      <w:r w:rsidR="00AF4728">
        <w:t>nform the C</w:t>
      </w:r>
      <w:r>
        <w:t xml:space="preserve">ourt as a </w:t>
      </w:r>
      <w:r w:rsidRPr="004F770E">
        <w:rPr>
          <w:i/>
          <w:iCs/>
        </w:rPr>
        <w:t>fait accompli</w:t>
      </w:r>
      <w:r>
        <w:t xml:space="preserve"> after the event.    </w:t>
      </w:r>
    </w:p>
    <w:p w14:paraId="6618875D" w14:textId="67A70FAC" w:rsidR="00284DE6" w:rsidRDefault="00533CAD" w:rsidP="005B3BEC">
      <w:pPr>
        <w:pStyle w:val="ListParagraph"/>
        <w:numPr>
          <w:ilvl w:val="0"/>
          <w:numId w:val="30"/>
        </w:numPr>
        <w:spacing w:after="418" w:line="360" w:lineRule="auto"/>
        <w:ind w:left="0" w:right="67" w:firstLine="0"/>
        <w:jc w:val="both"/>
      </w:pPr>
      <w:r>
        <w:t xml:space="preserve">In my </w:t>
      </w:r>
      <w:r w:rsidR="00FA290B">
        <w:t>judgment</w:t>
      </w:r>
      <w:r>
        <w:t>, t</w:t>
      </w:r>
      <w:r w:rsidR="00875D70">
        <w:t>he</w:t>
      </w:r>
      <w:r w:rsidR="004F770E">
        <w:t xml:space="preserve"> real issue</w:t>
      </w:r>
      <w:r w:rsidR="00875D70">
        <w:t xml:space="preserve"> </w:t>
      </w:r>
      <w:r w:rsidR="004F770E">
        <w:t xml:space="preserve">in this case </w:t>
      </w:r>
      <w:r w:rsidR="00284DE6">
        <w:t xml:space="preserve">is not about Dr Li’s </w:t>
      </w:r>
      <w:r>
        <w:t xml:space="preserve">perceived </w:t>
      </w:r>
      <w:r w:rsidR="00284DE6">
        <w:t xml:space="preserve">inability </w:t>
      </w:r>
      <w:r w:rsidR="004F770E">
        <w:t>in</w:t>
      </w:r>
      <w:r w:rsidR="00284DE6">
        <w:t xml:space="preserve"> preparing an updated report due to his retirement</w:t>
      </w:r>
      <w:r w:rsidR="00875D70">
        <w:t xml:space="preserve">.  The real </w:t>
      </w:r>
      <w:r>
        <w:t>issue</w:t>
      </w:r>
      <w:r w:rsidR="00875D70">
        <w:t xml:space="preserve"> is </w:t>
      </w:r>
      <w:r>
        <w:t xml:space="preserve">whether </w:t>
      </w:r>
      <w:r w:rsidR="00875D70">
        <w:t xml:space="preserve">the plaintiff </w:t>
      </w:r>
      <w:r>
        <w:t>could</w:t>
      </w:r>
      <w:r w:rsidR="00875D70">
        <w:t xml:space="preserve">, </w:t>
      </w:r>
      <w:r>
        <w:t xml:space="preserve">even </w:t>
      </w:r>
      <w:r w:rsidR="00875D70">
        <w:t xml:space="preserve">with the </w:t>
      </w:r>
      <w:r w:rsidR="005A52AC">
        <w:t>agreement</w:t>
      </w:r>
      <w:r w:rsidR="004D4A4E">
        <w:t xml:space="preserve"> of the defendant, bypass</w:t>
      </w:r>
      <w:r w:rsidR="00875D70">
        <w:t xml:space="preserve"> the case management power of the </w:t>
      </w:r>
      <w:r>
        <w:t>C</w:t>
      </w:r>
      <w:r w:rsidR="00875D70">
        <w:t>ourt</w:t>
      </w:r>
      <w:r w:rsidR="00DC47C1">
        <w:t xml:space="preserve"> and</w:t>
      </w:r>
      <w:r w:rsidR="004D4A4E">
        <w:t xml:space="preserve"> </w:t>
      </w:r>
      <w:r w:rsidR="005A52AC">
        <w:t xml:space="preserve">in </w:t>
      </w:r>
      <w:r w:rsidR="00B7250F">
        <w:t xml:space="preserve">clear </w:t>
      </w:r>
      <w:r w:rsidR="005A52AC">
        <w:t>breach of the 2 Orders of the Master</w:t>
      </w:r>
      <w:r w:rsidR="00DC47C1">
        <w:t>, to</w:t>
      </w:r>
      <w:r w:rsidR="004D4A4E">
        <w:t xml:space="preserve"> go</w:t>
      </w:r>
      <w:r w:rsidR="005A52AC">
        <w:t xml:space="preserve"> ahead to appoint Dr Tio as a new expert in substitution of Dr Li</w:t>
      </w:r>
      <w:r w:rsidR="00B7250F">
        <w:t xml:space="preserve"> without first seeking leave</w:t>
      </w:r>
      <w:r w:rsidR="00B011A3">
        <w:t xml:space="preserve"> to do so</w:t>
      </w:r>
      <w:r w:rsidR="005A52AC">
        <w:t>.</w:t>
      </w:r>
      <w:r w:rsidR="00B7250F">
        <w:t xml:space="preserve">  </w:t>
      </w:r>
      <w:r w:rsidR="00051824">
        <w:t>While I accept the defendant</w:t>
      </w:r>
      <w:r w:rsidR="00AF4728">
        <w:t>’s</w:t>
      </w:r>
      <w:r w:rsidR="004F770E">
        <w:t xml:space="preserve"> handling solicitor’s</w:t>
      </w:r>
      <w:r w:rsidR="00051824">
        <w:t xml:space="preserve"> explanation and apology that they had done so unintentionally</w:t>
      </w:r>
      <w:r w:rsidR="004F770E">
        <w:t>,</w:t>
      </w:r>
      <w:r w:rsidR="00051824">
        <w:t xml:space="preserve"> I cannot say the same regarding the plaintiff’s </w:t>
      </w:r>
      <w:r>
        <w:t xml:space="preserve">solicitors appalling </w:t>
      </w:r>
      <w:r w:rsidR="00051824">
        <w:t xml:space="preserve">conduct.  </w:t>
      </w:r>
    </w:p>
    <w:p w14:paraId="301E84EC" w14:textId="03F64095" w:rsidR="003D6D51" w:rsidRDefault="00051824" w:rsidP="00284DE6">
      <w:pPr>
        <w:pStyle w:val="ListParagraph"/>
        <w:numPr>
          <w:ilvl w:val="0"/>
          <w:numId w:val="30"/>
        </w:numPr>
        <w:spacing w:after="418" w:line="360" w:lineRule="auto"/>
        <w:ind w:left="0" w:right="67" w:firstLine="0"/>
        <w:jc w:val="both"/>
      </w:pPr>
      <w:r>
        <w:t xml:space="preserve">Judging from the </w:t>
      </w:r>
      <w:r w:rsidR="00533CAD">
        <w:t>dates of the correspondence between the plaintiff’s solicitors and Dr Li</w:t>
      </w:r>
      <w:r>
        <w:t>, it is cl</w:t>
      </w:r>
      <w:r w:rsidR="003C632F">
        <w:t>e</w:t>
      </w:r>
      <w:r>
        <w:t>ar that the plaintiff ha</w:t>
      </w:r>
      <w:r w:rsidR="005577A7">
        <w:t>d</w:t>
      </w:r>
      <w:r>
        <w:t xml:space="preserve"> no inte</w:t>
      </w:r>
      <w:r w:rsidR="003C632F">
        <w:t>ntion</w:t>
      </w:r>
      <w:r>
        <w:t xml:space="preserve"> to inform the Court of replacing Dr </w:t>
      </w:r>
      <w:r w:rsidR="003C632F">
        <w:t>Li by Dr Tio</w:t>
      </w:r>
      <w:r>
        <w:t xml:space="preserve"> </w:t>
      </w:r>
      <w:r w:rsidR="003C632F">
        <w:t>as a new expert until after he was appointed and the examination took place</w:t>
      </w:r>
      <w:r w:rsidR="00284DE6">
        <w:t xml:space="preserve">, ie when it </w:t>
      </w:r>
      <w:r w:rsidR="00533CAD">
        <w:t>has become</w:t>
      </w:r>
      <w:r w:rsidR="00284DE6">
        <w:t xml:space="preserve"> a </w:t>
      </w:r>
      <w:r w:rsidR="00284DE6" w:rsidRPr="00284DE6">
        <w:rPr>
          <w:i/>
          <w:iCs/>
        </w:rPr>
        <w:t>fait accompli</w:t>
      </w:r>
      <w:r w:rsidR="004F770E">
        <w:t>.</w:t>
      </w:r>
      <w:r w:rsidR="003C632F">
        <w:t xml:space="preserve">  </w:t>
      </w:r>
      <w:r>
        <w:t>I</w:t>
      </w:r>
      <w:r w:rsidR="005A52AC">
        <w:t xml:space="preserve">n my </w:t>
      </w:r>
      <w:r w:rsidR="003C632F">
        <w:t>judgment</w:t>
      </w:r>
      <w:r w:rsidR="005A52AC">
        <w:t xml:space="preserve">, such way of </w:t>
      </w:r>
      <w:r w:rsidR="0053625E">
        <w:t xml:space="preserve">conducting PI litigation </w:t>
      </w:r>
      <w:r w:rsidR="005A52AC">
        <w:t xml:space="preserve">not only has </w:t>
      </w:r>
      <w:r w:rsidR="0045144C">
        <w:t xml:space="preserve">completely </w:t>
      </w:r>
      <w:r w:rsidR="005A52AC">
        <w:t xml:space="preserve">undermined the authority of the </w:t>
      </w:r>
      <w:r w:rsidR="00533CAD">
        <w:t>C</w:t>
      </w:r>
      <w:r w:rsidR="005A52AC">
        <w:t>ourt but</w:t>
      </w:r>
      <w:r w:rsidR="0045144C">
        <w:t xml:space="preserve"> demonstrates a contemptuous and disrespectful attitude on the part of the plaintiff’s solicitors.</w:t>
      </w:r>
      <w:r w:rsidR="00B7250F">
        <w:t xml:space="preserve">  </w:t>
      </w:r>
      <w:r w:rsidR="00B011A3">
        <w:t xml:space="preserve">It </w:t>
      </w:r>
      <w:r w:rsidR="003C632F">
        <w:t>has no place in our litigation system</w:t>
      </w:r>
      <w:r w:rsidR="00B011A3">
        <w:t xml:space="preserve">.  </w:t>
      </w:r>
      <w:r w:rsidR="0053625E">
        <w:t xml:space="preserve">The </w:t>
      </w:r>
      <w:r w:rsidR="00533CAD">
        <w:t>C</w:t>
      </w:r>
      <w:r w:rsidR="0053625E">
        <w:t xml:space="preserve">ourt will not allow practitioners to </w:t>
      </w:r>
      <w:r w:rsidR="008D3010">
        <w:t xml:space="preserve">do things in their own way and </w:t>
      </w:r>
      <w:r w:rsidR="00B011A3">
        <w:t xml:space="preserve">usurp the functions of the </w:t>
      </w:r>
      <w:r w:rsidR="00FA290B">
        <w:t>C</w:t>
      </w:r>
      <w:r w:rsidR="00B011A3">
        <w:t xml:space="preserve">ourt.  </w:t>
      </w:r>
      <w:r w:rsidR="007660D9" w:rsidRPr="004F770E">
        <w:t xml:space="preserve">For that reason alone, I would not allow </w:t>
      </w:r>
      <w:r w:rsidR="00B7250F" w:rsidRPr="004F770E">
        <w:t xml:space="preserve">Dr Tio’s </w:t>
      </w:r>
      <w:r w:rsidR="00B7250F" w:rsidRPr="004F770E">
        <w:lastRenderedPageBreak/>
        <w:t>report to be introduced in this case</w:t>
      </w:r>
      <w:r w:rsidR="004F770E" w:rsidRPr="004F770E">
        <w:t>.  I will order Dr Tio’s report to be</w:t>
      </w:r>
      <w:r w:rsidR="008D3010" w:rsidRPr="004F770E">
        <w:t xml:space="preserve"> ex</w:t>
      </w:r>
      <w:r w:rsidR="00523352" w:rsidRPr="004F770E">
        <w:t xml:space="preserve">punged from the </w:t>
      </w:r>
      <w:r w:rsidR="003C632F" w:rsidRPr="004F770E">
        <w:t xml:space="preserve">court files </w:t>
      </w:r>
      <w:r w:rsidR="004F770E">
        <w:t>and</w:t>
      </w:r>
      <w:r w:rsidR="00AE5172">
        <w:t xml:space="preserve"> not to be referred to as</w:t>
      </w:r>
      <w:r w:rsidR="004F770E">
        <w:t xml:space="preserve"> evidence </w:t>
      </w:r>
      <w:r w:rsidR="00523352" w:rsidRPr="004F770E">
        <w:t>in</w:t>
      </w:r>
      <w:r w:rsidR="008D3010" w:rsidRPr="004F770E">
        <w:t xml:space="preserve"> this case.</w:t>
      </w:r>
      <w:r w:rsidR="008D3010">
        <w:t xml:space="preserve"> </w:t>
      </w:r>
      <w:r w:rsidR="004F770E">
        <w:t xml:space="preserve"> At the hearing, I </w:t>
      </w:r>
      <w:r w:rsidR="00523352">
        <w:t>ordered the c</w:t>
      </w:r>
      <w:r w:rsidR="008D3010">
        <w:t xml:space="preserve">osts of instructing and </w:t>
      </w:r>
      <w:r w:rsidR="00523352">
        <w:t xml:space="preserve">in </w:t>
      </w:r>
      <w:r w:rsidR="008D3010">
        <w:t xml:space="preserve">obtaining the report from Dr Tio </w:t>
      </w:r>
      <w:r w:rsidR="003D6D51">
        <w:t xml:space="preserve">without leave of the Court </w:t>
      </w:r>
      <w:r w:rsidR="008D3010">
        <w:t>to be borne equally betw</w:t>
      </w:r>
      <w:r w:rsidR="00523352">
        <w:t>e</w:t>
      </w:r>
      <w:r w:rsidR="008D3010">
        <w:t xml:space="preserve">en </w:t>
      </w:r>
      <w:r w:rsidR="00523352">
        <w:t xml:space="preserve">the parties.  I further directed </w:t>
      </w:r>
      <w:r w:rsidR="003D6D51">
        <w:t>the parties’ solicitors to show cause within 14 days of why they should not be personally liable for bearing those costs and on an indemnity basis.</w:t>
      </w:r>
    </w:p>
    <w:p w14:paraId="03E95D94" w14:textId="63EEC490" w:rsidR="00B011A3" w:rsidRDefault="00B011A3" w:rsidP="005B3BEC">
      <w:pPr>
        <w:pStyle w:val="ListParagraph"/>
        <w:numPr>
          <w:ilvl w:val="0"/>
          <w:numId w:val="30"/>
        </w:numPr>
        <w:spacing w:after="418" w:line="360" w:lineRule="auto"/>
        <w:ind w:left="0" w:right="67" w:firstLine="0"/>
        <w:jc w:val="both"/>
      </w:pPr>
      <w:r>
        <w:t xml:space="preserve">In that regard, Mr Tsang of the defendant’s solicitors had on 4 March 2022 wrote to the Court and </w:t>
      </w:r>
      <w:r w:rsidR="00680B7B">
        <w:t>confirmed</w:t>
      </w:r>
      <w:r>
        <w:t xml:space="preserve"> that </w:t>
      </w:r>
      <w:r w:rsidR="00680B7B">
        <w:t xml:space="preserve">they </w:t>
      </w:r>
      <w:r>
        <w:t xml:space="preserve">would not </w:t>
      </w:r>
      <w:r w:rsidR="005577A7">
        <w:t>oppose</w:t>
      </w:r>
      <w:r>
        <w:t xml:space="preserve"> to the order of personally </w:t>
      </w:r>
      <w:r w:rsidR="005577A7">
        <w:t>liable</w:t>
      </w:r>
      <w:r>
        <w:t xml:space="preserve"> for the costs </w:t>
      </w:r>
      <w:r w:rsidR="003D279F">
        <w:t xml:space="preserve">above and that they confirm that they will not charge their </w:t>
      </w:r>
      <w:r w:rsidR="005577A7">
        <w:t>insurer</w:t>
      </w:r>
      <w:r w:rsidR="003D279F">
        <w:t xml:space="preserve"> clients for the same.</w:t>
      </w:r>
      <w:r w:rsidR="003F50DB">
        <w:t xml:space="preserve"> I so order that they should bear half of those costs personally and on an indemnity basis.</w:t>
      </w:r>
      <w:r>
        <w:t xml:space="preserve"> </w:t>
      </w:r>
    </w:p>
    <w:p w14:paraId="2E4F854D" w14:textId="4474C06C" w:rsidR="00B011A3" w:rsidRDefault="00B011A3" w:rsidP="005661FF">
      <w:pPr>
        <w:pStyle w:val="ListParagraph"/>
        <w:numPr>
          <w:ilvl w:val="0"/>
          <w:numId w:val="30"/>
        </w:numPr>
        <w:spacing w:after="418" w:line="360" w:lineRule="auto"/>
        <w:ind w:left="0" w:right="67" w:firstLine="0"/>
        <w:jc w:val="both"/>
      </w:pPr>
      <w:r>
        <w:t>Unsurprisingly</w:t>
      </w:r>
      <w:r w:rsidR="005577A7">
        <w:t>,</w:t>
      </w:r>
      <w:r>
        <w:t xml:space="preserve"> </w:t>
      </w:r>
      <w:r w:rsidR="003D279F">
        <w:t xml:space="preserve">the </w:t>
      </w:r>
      <w:r w:rsidR="005577A7">
        <w:t>C</w:t>
      </w:r>
      <w:r w:rsidR="003D279F">
        <w:t xml:space="preserve">ourt has not heard from the plaintiff’s </w:t>
      </w:r>
      <w:r w:rsidR="006443B4">
        <w:t>solicitors</w:t>
      </w:r>
      <w:r w:rsidR="003D279F">
        <w:t xml:space="preserve"> </w:t>
      </w:r>
      <w:r w:rsidR="006443B4">
        <w:t xml:space="preserve">within </w:t>
      </w:r>
      <w:r w:rsidR="003D279F">
        <w:t xml:space="preserve">the time </w:t>
      </w:r>
      <w:r w:rsidR="006443B4">
        <w:t>limit specified</w:t>
      </w:r>
      <w:r w:rsidR="003D279F">
        <w:t xml:space="preserve"> under the </w:t>
      </w:r>
      <w:r w:rsidR="005661FF">
        <w:t>O</w:t>
      </w:r>
      <w:r w:rsidR="003D279F">
        <w:t>rder.  I take it that t</w:t>
      </w:r>
      <w:r w:rsidR="003F50DB">
        <w:t xml:space="preserve">hey are not interested to do so. Hence, </w:t>
      </w:r>
      <w:r w:rsidR="00680B7B">
        <w:t xml:space="preserve">I </w:t>
      </w:r>
      <w:r w:rsidR="003D279F">
        <w:t xml:space="preserve">will </w:t>
      </w:r>
      <w:r w:rsidR="00680B7B">
        <w:t xml:space="preserve">make an </w:t>
      </w:r>
      <w:r w:rsidR="003D279F">
        <w:t xml:space="preserve">order </w:t>
      </w:r>
      <w:r w:rsidR="00680B7B">
        <w:t xml:space="preserve">here </w:t>
      </w:r>
      <w:r w:rsidR="003F50DB">
        <w:t>that the plaintiff’s solicitors to</w:t>
      </w:r>
      <w:r w:rsidR="003D279F">
        <w:t xml:space="preserve"> </w:t>
      </w:r>
      <w:r w:rsidR="00AE5172">
        <w:t xml:space="preserve">personally </w:t>
      </w:r>
      <w:r w:rsidR="003D279F">
        <w:t>pay half of the costs in obtaining Dr Tio’s report and on an indemnity basis.</w:t>
      </w:r>
      <w:r w:rsidR="005661FF">
        <w:t xml:space="preserve">  </w:t>
      </w:r>
    </w:p>
    <w:p w14:paraId="74CC141F" w14:textId="0C5B92D6" w:rsidR="00533CAD" w:rsidRDefault="00533CAD" w:rsidP="005661FF">
      <w:pPr>
        <w:pStyle w:val="ListParagraph"/>
        <w:numPr>
          <w:ilvl w:val="0"/>
          <w:numId w:val="30"/>
        </w:numPr>
        <w:spacing w:after="418" w:line="360" w:lineRule="auto"/>
        <w:ind w:left="0" w:right="67" w:firstLine="0"/>
        <w:jc w:val="both"/>
      </w:pPr>
      <w:r>
        <w:t>However, this has not taken into account of all the</w:t>
      </w:r>
      <w:r w:rsidR="00AE5172">
        <w:t xml:space="preserve"> other</w:t>
      </w:r>
      <w:r>
        <w:t xml:space="preserve"> wasted costs incurred by the plaintiff in seeking to replace Dr Tio as the single joint orthopaedic expert in this case.  I shall deal with them at the end of this decision.   </w:t>
      </w:r>
    </w:p>
    <w:p w14:paraId="211C8938" w14:textId="185E2913" w:rsidR="003D6D51" w:rsidRPr="003D6D51" w:rsidRDefault="003D6D51" w:rsidP="003D6D51">
      <w:pPr>
        <w:pStyle w:val="ListParagraph"/>
        <w:spacing w:after="418" w:line="360" w:lineRule="auto"/>
        <w:ind w:left="0" w:right="67"/>
        <w:jc w:val="both"/>
        <w:rPr>
          <w:i/>
          <w:iCs/>
        </w:rPr>
      </w:pPr>
      <w:r w:rsidRPr="003D6D51">
        <w:rPr>
          <w:i/>
          <w:iCs/>
        </w:rPr>
        <w:t>Order</w:t>
      </w:r>
      <w:r w:rsidR="00996406">
        <w:rPr>
          <w:i/>
          <w:iCs/>
        </w:rPr>
        <w:t>s</w:t>
      </w:r>
      <w:r w:rsidRPr="003D6D51">
        <w:rPr>
          <w:i/>
          <w:iCs/>
        </w:rPr>
        <w:t xml:space="preserve"> made at the CMC in </w:t>
      </w:r>
      <w:r w:rsidR="003D279F">
        <w:rPr>
          <w:i/>
          <w:iCs/>
        </w:rPr>
        <w:t>relation to</w:t>
      </w:r>
      <w:r w:rsidRPr="003D6D51">
        <w:rPr>
          <w:i/>
          <w:iCs/>
        </w:rPr>
        <w:t xml:space="preserve"> </w:t>
      </w:r>
      <w:r w:rsidR="005661FF">
        <w:rPr>
          <w:i/>
          <w:iCs/>
        </w:rPr>
        <w:t xml:space="preserve">appointing </w:t>
      </w:r>
      <w:r w:rsidRPr="003D6D51">
        <w:rPr>
          <w:i/>
          <w:iCs/>
        </w:rPr>
        <w:t>Dr Li</w:t>
      </w:r>
      <w:r w:rsidR="005661FF">
        <w:rPr>
          <w:i/>
          <w:iCs/>
        </w:rPr>
        <w:t xml:space="preserve"> to prepare the</w:t>
      </w:r>
      <w:r w:rsidRPr="003D6D51">
        <w:rPr>
          <w:i/>
          <w:iCs/>
        </w:rPr>
        <w:t xml:space="preserve"> supplemental report</w:t>
      </w:r>
    </w:p>
    <w:p w14:paraId="295FBC05" w14:textId="3D83DEC4" w:rsidR="00996406" w:rsidRDefault="00B011A3" w:rsidP="005B3BEC">
      <w:pPr>
        <w:pStyle w:val="ListParagraph"/>
        <w:numPr>
          <w:ilvl w:val="0"/>
          <w:numId w:val="30"/>
        </w:numPr>
        <w:spacing w:after="418" w:line="360" w:lineRule="auto"/>
        <w:ind w:left="0" w:right="67" w:firstLine="0"/>
        <w:jc w:val="both"/>
      </w:pPr>
      <w:r>
        <w:lastRenderedPageBreak/>
        <w:t xml:space="preserve">At the CMC hearing, I made the following order in respect of </w:t>
      </w:r>
      <w:r w:rsidR="00996406">
        <w:t xml:space="preserve">the possibility of </w:t>
      </w:r>
      <w:r w:rsidR="006443B4">
        <w:t>appointing</w:t>
      </w:r>
      <w:r w:rsidR="00996406">
        <w:t xml:space="preserve"> </w:t>
      </w:r>
      <w:r>
        <w:t>Dr Li</w:t>
      </w:r>
      <w:r w:rsidR="00996406">
        <w:t xml:space="preserve"> to </w:t>
      </w:r>
      <w:r w:rsidR="006443B4">
        <w:t>provide</w:t>
      </w:r>
      <w:r w:rsidR="00996406">
        <w:t xml:space="preserve"> the </w:t>
      </w:r>
      <w:r w:rsidR="006443B4">
        <w:t>Court</w:t>
      </w:r>
      <w:r w:rsidR="00996406">
        <w:t xml:space="preserve"> with an update</w:t>
      </w:r>
      <w:r w:rsidR="00FA290B">
        <w:t>d</w:t>
      </w:r>
      <w:r w:rsidR="00996406">
        <w:t xml:space="preserve"> report which of course the </w:t>
      </w:r>
      <w:r w:rsidR="006443B4">
        <w:t>plaintiff’s</w:t>
      </w:r>
      <w:r w:rsidR="00996406">
        <w:t xml:space="preserve"> </w:t>
      </w:r>
      <w:r w:rsidR="006443B4">
        <w:t>solicitors</w:t>
      </w:r>
      <w:r w:rsidR="00996406">
        <w:t xml:space="preserve"> had not seriously explored at all:-</w:t>
      </w:r>
    </w:p>
    <w:p w14:paraId="199D4ED3" w14:textId="577D2833" w:rsidR="006443B4" w:rsidRPr="006443B4" w:rsidRDefault="006443B4" w:rsidP="006443B4">
      <w:pPr>
        <w:tabs>
          <w:tab w:val="clear" w:pos="1440"/>
          <w:tab w:val="clear" w:pos="4320"/>
        </w:tabs>
        <w:ind w:left="2160" w:right="746" w:hanging="720"/>
        <w:jc w:val="both"/>
        <w:rPr>
          <w:rFonts w:eastAsia="DFKai-SB"/>
          <w:sz w:val="24"/>
          <w:szCs w:val="24"/>
        </w:rPr>
      </w:pPr>
      <w:r>
        <w:rPr>
          <w:rFonts w:eastAsia="DFKai-SB"/>
          <w:sz w:val="24"/>
          <w:szCs w:val="24"/>
        </w:rPr>
        <w:t>“</w:t>
      </w:r>
      <w:r w:rsidRPr="006443B4">
        <w:rPr>
          <w:rFonts w:eastAsia="DFKai-SB"/>
          <w:sz w:val="24"/>
          <w:szCs w:val="24"/>
        </w:rPr>
        <w:t xml:space="preserve">1. </w:t>
      </w:r>
      <w:r>
        <w:rPr>
          <w:rFonts w:eastAsia="DFKai-SB"/>
          <w:sz w:val="24"/>
          <w:szCs w:val="24"/>
        </w:rPr>
        <w:tab/>
      </w:r>
      <w:r w:rsidRPr="006443B4">
        <w:rPr>
          <w:rFonts w:eastAsia="DFKai-SB"/>
          <w:sz w:val="24"/>
          <w:szCs w:val="24"/>
        </w:rPr>
        <w:t>The parties do write to Dr Li Wing Kin jointly within 7 days with a copy to the court to request him to provide a further single joint expert report to review the further orthopaedic medical evidence and treatments received by the plaintiff from the date of his last single joint expert report dated 22 January 2018;</w:t>
      </w:r>
    </w:p>
    <w:p w14:paraId="49703B7E" w14:textId="77777777" w:rsidR="006443B4" w:rsidRPr="006443B4" w:rsidRDefault="006443B4" w:rsidP="006443B4">
      <w:pPr>
        <w:tabs>
          <w:tab w:val="left" w:pos="1380"/>
          <w:tab w:val="left" w:pos="3645"/>
        </w:tabs>
        <w:ind w:left="1440" w:right="746"/>
        <w:jc w:val="both"/>
        <w:rPr>
          <w:rFonts w:eastAsia="DFKai-SB"/>
          <w:sz w:val="24"/>
          <w:szCs w:val="24"/>
        </w:rPr>
      </w:pPr>
    </w:p>
    <w:p w14:paraId="71A720A5" w14:textId="6D2DD34C" w:rsidR="006443B4" w:rsidRDefault="006443B4" w:rsidP="006443B4">
      <w:pPr>
        <w:tabs>
          <w:tab w:val="clear" w:pos="1440"/>
          <w:tab w:val="clear" w:pos="4320"/>
        </w:tabs>
        <w:ind w:left="2160" w:right="746" w:hanging="720"/>
        <w:jc w:val="both"/>
        <w:rPr>
          <w:rFonts w:eastAsia="DFKai-SB"/>
          <w:sz w:val="24"/>
          <w:szCs w:val="24"/>
        </w:rPr>
      </w:pPr>
      <w:r w:rsidRPr="006443B4">
        <w:rPr>
          <w:rFonts w:eastAsia="DFKai-SB"/>
          <w:sz w:val="24"/>
          <w:szCs w:val="24"/>
        </w:rPr>
        <w:t xml:space="preserve">2. </w:t>
      </w:r>
      <w:r>
        <w:rPr>
          <w:rFonts w:eastAsia="DFKai-SB"/>
          <w:sz w:val="24"/>
          <w:szCs w:val="24"/>
        </w:rPr>
        <w:tab/>
      </w:r>
      <w:r w:rsidRPr="006443B4">
        <w:rPr>
          <w:rFonts w:eastAsia="DFKai-SB"/>
          <w:sz w:val="24"/>
          <w:szCs w:val="24"/>
        </w:rPr>
        <w:t>Dr Li is reminded by the Court that in accordance with his declaration in relation to the Code of Conduct for expert witnesses stated at the end of his report dated 22 January 2018, that his duty in this case is to the Court and not to the parties who appointed him but it is unlikely that he will be called to give oral evidence in Court in this case;</w:t>
      </w:r>
    </w:p>
    <w:p w14:paraId="120FF037" w14:textId="4DC33168" w:rsidR="006443B4" w:rsidRDefault="006443B4" w:rsidP="006443B4">
      <w:pPr>
        <w:tabs>
          <w:tab w:val="clear" w:pos="1440"/>
          <w:tab w:val="clear" w:pos="4320"/>
        </w:tabs>
        <w:ind w:left="2160" w:right="746" w:hanging="720"/>
        <w:jc w:val="both"/>
        <w:rPr>
          <w:rFonts w:eastAsia="DFKai-SB"/>
          <w:sz w:val="24"/>
          <w:szCs w:val="24"/>
        </w:rPr>
      </w:pPr>
    </w:p>
    <w:p w14:paraId="0E18E7C3" w14:textId="576861E6" w:rsidR="006443B4" w:rsidRDefault="006443B4" w:rsidP="006443B4">
      <w:pPr>
        <w:tabs>
          <w:tab w:val="clear" w:pos="1440"/>
          <w:tab w:val="clear" w:pos="4320"/>
        </w:tabs>
        <w:ind w:left="2160" w:right="746" w:hanging="720"/>
        <w:jc w:val="both"/>
        <w:rPr>
          <w:rFonts w:eastAsia="DFKai-SB"/>
          <w:sz w:val="24"/>
          <w:szCs w:val="24"/>
        </w:rPr>
      </w:pPr>
      <w:r>
        <w:rPr>
          <w:rFonts w:eastAsia="DFKai-SB"/>
          <w:sz w:val="24"/>
          <w:szCs w:val="24"/>
        </w:rPr>
        <w:t>3.</w:t>
      </w:r>
      <w:r>
        <w:rPr>
          <w:rFonts w:eastAsia="DFKai-SB"/>
          <w:sz w:val="24"/>
          <w:szCs w:val="24"/>
        </w:rPr>
        <w:tab/>
      </w:r>
      <w:r w:rsidRPr="006443B4">
        <w:rPr>
          <w:rFonts w:eastAsia="DFKai-SB"/>
          <w:sz w:val="24"/>
          <w:szCs w:val="24"/>
        </w:rPr>
        <w:t>If for any reasons that Dr Li considers that he is not able to or unwilling to provide such supplemental / updated expert report, he should clearly state to the Court as to the reason(s) thereof and to provide his explanation to the Court via the parties’ solicitors within 7 days from receiving the joint instructions;</w:t>
      </w:r>
    </w:p>
    <w:p w14:paraId="5A8087CC" w14:textId="4517AF69" w:rsidR="006443B4" w:rsidRDefault="006443B4" w:rsidP="006443B4">
      <w:pPr>
        <w:tabs>
          <w:tab w:val="clear" w:pos="1440"/>
          <w:tab w:val="clear" w:pos="4320"/>
        </w:tabs>
        <w:ind w:left="2160" w:right="746" w:hanging="720"/>
        <w:jc w:val="both"/>
        <w:rPr>
          <w:rFonts w:eastAsia="DFKai-SB"/>
          <w:sz w:val="24"/>
          <w:szCs w:val="24"/>
        </w:rPr>
      </w:pPr>
    </w:p>
    <w:p w14:paraId="5824750F" w14:textId="53988A14" w:rsidR="00424F94" w:rsidRDefault="006443B4" w:rsidP="006443B4">
      <w:pPr>
        <w:tabs>
          <w:tab w:val="clear" w:pos="1440"/>
          <w:tab w:val="clear" w:pos="4320"/>
        </w:tabs>
        <w:ind w:left="2160" w:right="746" w:hanging="720"/>
        <w:jc w:val="both"/>
        <w:rPr>
          <w:b/>
          <w:bCs/>
        </w:rPr>
      </w:pPr>
      <w:r>
        <w:rPr>
          <w:rFonts w:eastAsia="DFKai-SB"/>
          <w:sz w:val="24"/>
          <w:szCs w:val="24"/>
        </w:rPr>
        <w:t>4.</w:t>
      </w:r>
      <w:r>
        <w:rPr>
          <w:rFonts w:eastAsia="DFKai-SB"/>
          <w:sz w:val="24"/>
          <w:szCs w:val="24"/>
        </w:rPr>
        <w:tab/>
      </w:r>
      <w:r w:rsidRPr="006443B4">
        <w:rPr>
          <w:rFonts w:eastAsia="DFKai-SB"/>
          <w:sz w:val="24"/>
          <w:szCs w:val="24"/>
        </w:rPr>
        <w:t>The parties should jointly report to the Court the status regarding Dr Li’s examination and preparation of the proposed supplemental single joint orthopaedic report within 21 days for further directions.</w:t>
      </w:r>
      <w:r>
        <w:rPr>
          <w:bCs/>
        </w:rPr>
        <w:t>”</w:t>
      </w:r>
    </w:p>
    <w:p w14:paraId="327C3A7C" w14:textId="77777777" w:rsidR="006443B4" w:rsidRPr="006443B4" w:rsidRDefault="006443B4" w:rsidP="000C3E1A">
      <w:pPr>
        <w:tabs>
          <w:tab w:val="clear" w:pos="1440"/>
          <w:tab w:val="clear" w:pos="4320"/>
        </w:tabs>
        <w:spacing w:line="360" w:lineRule="auto"/>
        <w:ind w:left="2160" w:right="746" w:hanging="720"/>
        <w:jc w:val="both"/>
        <w:rPr>
          <w:rFonts w:eastAsia="DFKai-SB"/>
          <w:szCs w:val="28"/>
        </w:rPr>
      </w:pPr>
    </w:p>
    <w:p w14:paraId="0F2BAAA1" w14:textId="103D3DAE" w:rsidR="00424F94" w:rsidRDefault="007566F5" w:rsidP="000C3E1A">
      <w:pPr>
        <w:pStyle w:val="ListParagraph"/>
        <w:numPr>
          <w:ilvl w:val="0"/>
          <w:numId w:val="30"/>
        </w:numPr>
        <w:spacing w:after="418" w:line="360" w:lineRule="auto"/>
        <w:ind w:left="0" w:right="67" w:firstLine="0"/>
        <w:jc w:val="both"/>
      </w:pPr>
      <w:r>
        <w:t>Pursuant to</w:t>
      </w:r>
      <w:r w:rsidR="00424F94">
        <w:t xml:space="preserve"> my </w:t>
      </w:r>
      <w:r>
        <w:t>O</w:t>
      </w:r>
      <w:r w:rsidR="00424F94">
        <w:t>rder above, the</w:t>
      </w:r>
      <w:r>
        <w:t xml:space="preserve"> parties jointly wrote to Dr Li on 2</w:t>
      </w:r>
      <w:r w:rsidR="00313E8D">
        <w:t>2</w:t>
      </w:r>
      <w:r>
        <w:t xml:space="preserve"> February 2022 and the response from Dr Li has been </w:t>
      </w:r>
      <w:r w:rsidR="00313E8D">
        <w:t xml:space="preserve">very </w:t>
      </w:r>
      <w:r>
        <w:t xml:space="preserve">positive, proving that the </w:t>
      </w:r>
      <w:r w:rsidR="002B023C">
        <w:t>plaintiff’s</w:t>
      </w:r>
      <w:r>
        <w:t xml:space="preserve"> </w:t>
      </w:r>
      <w:r w:rsidR="00951EA9">
        <w:t xml:space="preserve">earlier </w:t>
      </w:r>
      <w:r>
        <w:t xml:space="preserve">attempt to replace the </w:t>
      </w:r>
      <w:r w:rsidR="00313E8D">
        <w:t>orthopaedic</w:t>
      </w:r>
      <w:r>
        <w:t xml:space="preserve"> expert in this case was totally unnece</w:t>
      </w:r>
      <w:r w:rsidR="002B023C">
        <w:t>ss</w:t>
      </w:r>
      <w:r>
        <w:t xml:space="preserve">ary and uncalled for.  </w:t>
      </w:r>
    </w:p>
    <w:p w14:paraId="74473D0C" w14:textId="7729FA5D" w:rsidR="007566F5" w:rsidRDefault="007566F5" w:rsidP="000C3E1A">
      <w:pPr>
        <w:pStyle w:val="ListParagraph"/>
        <w:numPr>
          <w:ilvl w:val="0"/>
          <w:numId w:val="30"/>
        </w:numPr>
        <w:spacing w:after="418" w:line="360" w:lineRule="auto"/>
        <w:ind w:left="0" w:right="67" w:firstLine="0"/>
        <w:jc w:val="both"/>
      </w:pPr>
      <w:r>
        <w:t xml:space="preserve">In Dr Li’s response by email on 23 </w:t>
      </w:r>
      <w:r w:rsidR="002B023C">
        <w:t>February</w:t>
      </w:r>
      <w:r>
        <w:t xml:space="preserve"> </w:t>
      </w:r>
      <w:r w:rsidR="002B023C">
        <w:t>2022</w:t>
      </w:r>
      <w:r>
        <w:t>, he mentioned the fact that the plaintiff had</w:t>
      </w:r>
      <w:r w:rsidR="002B023C">
        <w:t xml:space="preserve"> undergone surgery on 16 </w:t>
      </w:r>
      <w:r w:rsidR="00313E8D">
        <w:t>October</w:t>
      </w:r>
      <w:r w:rsidR="00951EA9">
        <w:t xml:space="preserve"> 2021 and further treatment wa</w:t>
      </w:r>
      <w:r w:rsidR="002B023C">
        <w:t xml:space="preserve">s planned to be given which includes PRP </w:t>
      </w:r>
      <w:r w:rsidR="002B023C">
        <w:lastRenderedPageBreak/>
        <w:t>injections,</w:t>
      </w:r>
      <w:r>
        <w:t xml:space="preserve"> </w:t>
      </w:r>
      <w:r w:rsidR="00313E8D">
        <w:t>he suggested that the assessment should be done after 6 to 12 months after the “major spinal surgery”.</w:t>
      </w:r>
      <w:r w:rsidR="006443B4">
        <w:t xml:space="preserve"> </w:t>
      </w:r>
    </w:p>
    <w:p w14:paraId="44FCDDEC" w14:textId="0C1CE00F" w:rsidR="001F46FC" w:rsidRDefault="002F487A" w:rsidP="000C3E1A">
      <w:pPr>
        <w:pStyle w:val="ListParagraph"/>
        <w:numPr>
          <w:ilvl w:val="0"/>
          <w:numId w:val="30"/>
        </w:numPr>
        <w:spacing w:after="418" w:line="360" w:lineRule="auto"/>
        <w:ind w:left="0" w:right="67" w:firstLine="0"/>
        <w:jc w:val="both"/>
      </w:pPr>
      <w:r>
        <w:t xml:space="preserve">Hence, </w:t>
      </w:r>
      <w:r w:rsidR="005B5A08">
        <w:t>pursuant</w:t>
      </w:r>
      <w:r>
        <w:t xml:space="preserve"> to the parties’ </w:t>
      </w:r>
      <w:r w:rsidR="004D4A4E">
        <w:t>above reporting to the C</w:t>
      </w:r>
      <w:r>
        <w:t>ourt on 28 February 2022, on the same day</w:t>
      </w:r>
      <w:r w:rsidR="00951EA9">
        <w:t>,</w:t>
      </w:r>
      <w:r>
        <w:t xml:space="preserve"> I directed the parties to jointly </w:t>
      </w:r>
      <w:r w:rsidR="005B5A08">
        <w:t>appoint</w:t>
      </w:r>
      <w:r>
        <w:t xml:space="preserve"> Dr Li to provide a su</w:t>
      </w:r>
      <w:r w:rsidR="005B5A08">
        <w:t xml:space="preserve">pplemental </w:t>
      </w:r>
      <w:r>
        <w:t xml:space="preserve">report on or before 16 April 2022 with </w:t>
      </w:r>
      <w:r w:rsidR="005B5A08">
        <w:t>the</w:t>
      </w:r>
      <w:r>
        <w:t xml:space="preserve"> current </w:t>
      </w:r>
      <w:r w:rsidR="005B5A08">
        <w:t>available</w:t>
      </w:r>
      <w:r>
        <w:t xml:space="preserve"> medical reports and </w:t>
      </w:r>
      <w:r w:rsidR="005B5A08">
        <w:t>records</w:t>
      </w:r>
      <w:r>
        <w:t xml:space="preserve">, </w:t>
      </w:r>
      <w:r w:rsidR="005B5A08">
        <w:t>inclu</w:t>
      </w:r>
      <w:r>
        <w:t xml:space="preserve">ding the </w:t>
      </w:r>
      <w:r w:rsidR="001F46FC">
        <w:t>reports/r</w:t>
      </w:r>
      <w:r w:rsidR="005B5A08">
        <w:t xml:space="preserve">ecords </w:t>
      </w:r>
      <w:r w:rsidR="001F46FC">
        <w:t xml:space="preserve">in relation to the surgery / medical </w:t>
      </w:r>
      <w:r w:rsidR="005B5A08">
        <w:t>procedures</w:t>
      </w:r>
      <w:r w:rsidR="001F46FC">
        <w:t xml:space="preserve"> undertaken by the plaintiff on 16 October 2021.</w:t>
      </w:r>
    </w:p>
    <w:p w14:paraId="33DA8E70" w14:textId="7F214BCA" w:rsidR="001F46FC" w:rsidRDefault="005661FF" w:rsidP="004404A9">
      <w:pPr>
        <w:pStyle w:val="ListParagraph"/>
        <w:numPr>
          <w:ilvl w:val="0"/>
          <w:numId w:val="30"/>
        </w:numPr>
        <w:spacing w:after="418" w:line="360" w:lineRule="auto"/>
        <w:ind w:left="0" w:right="67" w:firstLine="0"/>
        <w:jc w:val="both"/>
      </w:pPr>
      <w:r>
        <w:t xml:space="preserve">In the </w:t>
      </w:r>
      <w:r w:rsidR="005577A7">
        <w:t xml:space="preserve">unlikely </w:t>
      </w:r>
      <w:r>
        <w:t xml:space="preserve">event that </w:t>
      </w:r>
      <w:r w:rsidR="005577A7">
        <w:t xml:space="preserve">Dr Li is not able to conduct the further examination or to prepare the updated supplemental report, the Court will order a new expert of its own choice to do the same, after consulting the parties but without being bound by their recommendations.  </w:t>
      </w:r>
    </w:p>
    <w:p w14:paraId="6D89158D" w14:textId="477B40E0" w:rsidR="00424F94" w:rsidRPr="00DC228B" w:rsidRDefault="001F46FC" w:rsidP="000C3E1A">
      <w:pPr>
        <w:pStyle w:val="ListParagraph"/>
        <w:spacing w:after="418" w:line="360" w:lineRule="auto"/>
        <w:ind w:left="0" w:right="67"/>
        <w:jc w:val="both"/>
        <w:rPr>
          <w:i/>
          <w:iCs/>
        </w:rPr>
      </w:pPr>
      <w:r w:rsidRPr="00DC228B">
        <w:rPr>
          <w:i/>
          <w:iCs/>
        </w:rPr>
        <w:t>Other Orders made at the CMC</w:t>
      </w:r>
      <w:r w:rsidR="002F487A" w:rsidRPr="00DC228B">
        <w:rPr>
          <w:i/>
          <w:iCs/>
        </w:rPr>
        <w:t xml:space="preserve">  </w:t>
      </w:r>
    </w:p>
    <w:p w14:paraId="21477B8E" w14:textId="4C0CEA44" w:rsidR="001F46FC" w:rsidRDefault="00680B7B" w:rsidP="000C3E1A">
      <w:pPr>
        <w:pStyle w:val="ListParagraph"/>
        <w:numPr>
          <w:ilvl w:val="0"/>
          <w:numId w:val="30"/>
        </w:numPr>
        <w:spacing w:after="418" w:line="360" w:lineRule="auto"/>
        <w:ind w:left="0" w:right="67" w:firstLine="0"/>
        <w:jc w:val="both"/>
      </w:pPr>
      <w:r>
        <w:t xml:space="preserve">As said, I see no </w:t>
      </w:r>
      <w:r w:rsidR="00E37781">
        <w:t xml:space="preserve">good </w:t>
      </w:r>
      <w:r>
        <w:t xml:space="preserve">reason why it has taken the plaintiff more than </w:t>
      </w:r>
      <w:r w:rsidR="001F46FC">
        <w:t xml:space="preserve">5 years to get to this stage after </w:t>
      </w:r>
      <w:r w:rsidR="005B5A08">
        <w:t>interlocutory</w:t>
      </w:r>
      <w:r w:rsidR="001F46FC">
        <w:t xml:space="preserve"> judgment </w:t>
      </w:r>
      <w:r w:rsidR="00E846EE" w:rsidRPr="004F770E">
        <w:t>had</w:t>
      </w:r>
      <w:r w:rsidR="00E846EE">
        <w:t xml:space="preserve"> </w:t>
      </w:r>
      <w:r w:rsidR="001F46FC">
        <w:t xml:space="preserve">been entered </w:t>
      </w:r>
      <w:r w:rsidR="00951EA9">
        <w:t xml:space="preserve">against the defendant </w:t>
      </w:r>
      <w:r w:rsidR="00FA290B">
        <w:t>in March 2017</w:t>
      </w:r>
      <w:r w:rsidR="001F46FC">
        <w:t xml:space="preserve">.  </w:t>
      </w:r>
      <w:r w:rsidR="004F770E">
        <w:t xml:space="preserve">As </w:t>
      </w:r>
      <w:r w:rsidR="00533CAD">
        <w:t>mentioned</w:t>
      </w:r>
      <w:r w:rsidR="004F770E">
        <w:t xml:space="preserve">, </w:t>
      </w:r>
      <w:r w:rsidR="001F46FC">
        <w:t>I find a lot of the delay</w:t>
      </w:r>
      <w:r w:rsidR="005577A7">
        <w:t>s</w:t>
      </w:r>
      <w:r w:rsidR="001F46FC">
        <w:t xml:space="preserve"> </w:t>
      </w:r>
      <w:r w:rsidR="004D4A4E">
        <w:t>were</w:t>
      </w:r>
      <w:r w:rsidR="001F46FC">
        <w:t xml:space="preserve"> caused by the inaction and </w:t>
      </w:r>
      <w:r w:rsidR="003F50DB">
        <w:t xml:space="preserve">at least on 2 separate occasions </w:t>
      </w:r>
      <w:r w:rsidR="001F46FC">
        <w:t xml:space="preserve">deliberate </w:t>
      </w:r>
      <w:r w:rsidR="005B5A08">
        <w:t>flouting</w:t>
      </w:r>
      <w:r w:rsidR="001F46FC">
        <w:t xml:space="preserve"> of the </w:t>
      </w:r>
      <w:r w:rsidR="004D4A4E">
        <w:t>O</w:t>
      </w:r>
      <w:r w:rsidR="001F46FC">
        <w:t xml:space="preserve">rders </w:t>
      </w:r>
      <w:r w:rsidR="005B5A08">
        <w:t>on</w:t>
      </w:r>
      <w:r w:rsidR="001F46FC">
        <w:t xml:space="preserve"> </w:t>
      </w:r>
      <w:r w:rsidR="005B5A08">
        <w:t>the</w:t>
      </w:r>
      <w:r w:rsidR="001F46FC">
        <w:t xml:space="preserve"> p</w:t>
      </w:r>
      <w:r w:rsidR="005B5A08">
        <w:t>a</w:t>
      </w:r>
      <w:r w:rsidR="001F46FC">
        <w:t>rt of the plaint</w:t>
      </w:r>
      <w:r w:rsidR="005B5A08">
        <w:t>i</w:t>
      </w:r>
      <w:r w:rsidR="001F46FC">
        <w:t>ff’s so</w:t>
      </w:r>
      <w:r w:rsidR="005B5A08">
        <w:t>lic</w:t>
      </w:r>
      <w:r w:rsidR="001F46FC">
        <w:t>itors</w:t>
      </w:r>
      <w:r w:rsidR="005B5A08">
        <w:t xml:space="preserve">.  </w:t>
      </w:r>
      <w:r w:rsidR="001F46FC">
        <w:t>In my experience, even with the mu</w:t>
      </w:r>
      <w:r w:rsidR="005B5A08">
        <w:t>ltiple</w:t>
      </w:r>
      <w:r w:rsidR="001F46FC">
        <w:t xml:space="preserve"> injuries suffered by </w:t>
      </w:r>
      <w:r w:rsidR="005B5A08">
        <w:t>a</w:t>
      </w:r>
      <w:r w:rsidR="001F46FC">
        <w:t xml:space="preserve"> plaintiff which require</w:t>
      </w:r>
      <w:r w:rsidR="005B5A08">
        <w:t>s</w:t>
      </w:r>
      <w:r w:rsidR="001F46FC">
        <w:t xml:space="preserve"> experts from mu</w:t>
      </w:r>
      <w:r w:rsidR="005B5A08">
        <w:t>ltiple</w:t>
      </w:r>
      <w:r w:rsidR="001F46FC">
        <w:t xml:space="preserve"> disciplines</w:t>
      </w:r>
      <w:r w:rsidR="005B5A08">
        <w:t xml:space="preserve"> to prepare reports on, it will not usually take more than 2-3 years before a case </w:t>
      </w:r>
      <w:r w:rsidR="005577A7">
        <w:t>is ready to be</w:t>
      </w:r>
      <w:r w:rsidR="005B5A08">
        <w:t xml:space="preserve"> set down for</w:t>
      </w:r>
      <w:r w:rsidR="00533CAD">
        <w:t xml:space="preserve"> the assessment hearing</w:t>
      </w:r>
      <w:r w:rsidR="00313E0A">
        <w:t xml:space="preserve"> from the date of entering interlocutory judgment</w:t>
      </w:r>
      <w:r w:rsidR="005B5A08">
        <w:t xml:space="preserve">. </w:t>
      </w:r>
      <w:r w:rsidR="001F46FC">
        <w:t xml:space="preserve"> </w:t>
      </w:r>
      <w:r w:rsidR="00A406E3">
        <w:t xml:space="preserve">I find the main reason </w:t>
      </w:r>
      <w:r w:rsidR="004F770E">
        <w:t>why</w:t>
      </w:r>
      <w:r w:rsidR="00A406E3">
        <w:t xml:space="preserve"> it did not happen in this case was due to the dragging of his feet on the part of the plaintiff and</w:t>
      </w:r>
      <w:r w:rsidR="00951EA9">
        <w:t>/or</w:t>
      </w:r>
      <w:r w:rsidR="00A406E3">
        <w:t xml:space="preserve"> his legal advisers.  The inordinate delay</w:t>
      </w:r>
      <w:r w:rsidR="004F770E">
        <w:t>s</w:t>
      </w:r>
      <w:r w:rsidR="00A406E3">
        <w:t xml:space="preserve">, as happened in this case, </w:t>
      </w:r>
      <w:r w:rsidR="00A406E3">
        <w:lastRenderedPageBreak/>
        <w:t xml:space="preserve">will only lead to wasting of time </w:t>
      </w:r>
      <w:r w:rsidR="004D4A4E">
        <w:t>and unnecessary accumulation of</w:t>
      </w:r>
      <w:r w:rsidR="00533CAD">
        <w:t xml:space="preserve"> </w:t>
      </w:r>
      <w:r w:rsidR="00A406E3">
        <w:t>costs</w:t>
      </w:r>
      <w:r w:rsidR="00E051B3">
        <w:t xml:space="preserve">. </w:t>
      </w:r>
      <w:r w:rsidR="00951EA9">
        <w:t>Further, a</w:t>
      </w:r>
      <w:r w:rsidR="00E051B3">
        <w:t>ll these will only add</w:t>
      </w:r>
      <w:r w:rsidR="00A406E3">
        <w:t xml:space="preserve"> </w:t>
      </w:r>
      <w:r w:rsidR="00C67152">
        <w:t xml:space="preserve">unnecessary </w:t>
      </w:r>
      <w:r w:rsidR="00A406E3">
        <w:t>stress</w:t>
      </w:r>
      <w:r w:rsidR="00C67152">
        <w:t>es</w:t>
      </w:r>
      <w:r w:rsidR="00C1794C">
        <w:t xml:space="preserve"> on</w:t>
      </w:r>
      <w:r w:rsidR="00A406E3">
        <w:t xml:space="preserve"> the plaintiff and his family.</w:t>
      </w:r>
      <w:r w:rsidR="00C67152">
        <w:t xml:space="preserve">  In my view, </w:t>
      </w:r>
      <w:r w:rsidR="004F770E">
        <w:t>such continuous accumulation of</w:t>
      </w:r>
      <w:r w:rsidR="00E051B3">
        <w:t xml:space="preserve"> unnecessary</w:t>
      </w:r>
      <w:r w:rsidR="004F770E">
        <w:t xml:space="preserve"> </w:t>
      </w:r>
      <w:r w:rsidR="00C67152">
        <w:t xml:space="preserve">costs </w:t>
      </w:r>
      <w:r w:rsidR="00E37781">
        <w:t xml:space="preserve">on the part of the plaintiff </w:t>
      </w:r>
      <w:r w:rsidR="004F770E">
        <w:t xml:space="preserve">is </w:t>
      </w:r>
      <w:r w:rsidR="00C67152">
        <w:t xml:space="preserve">disproportionate to a claim which is subjected to a HK$3 million ceiling.    </w:t>
      </w:r>
    </w:p>
    <w:p w14:paraId="7CBA395D" w14:textId="20C8EC9E" w:rsidR="00761199" w:rsidRDefault="00761199" w:rsidP="000C3E1A">
      <w:pPr>
        <w:pStyle w:val="ListParagraph"/>
        <w:numPr>
          <w:ilvl w:val="0"/>
          <w:numId w:val="30"/>
        </w:numPr>
        <w:spacing w:after="418" w:line="360" w:lineRule="auto"/>
        <w:ind w:left="0" w:right="67" w:firstLine="0"/>
        <w:jc w:val="both"/>
      </w:pPr>
      <w:r>
        <w:t>I</w:t>
      </w:r>
      <w:r w:rsidR="00A406E3">
        <w:t>n order to bring this case to a close</w:t>
      </w:r>
      <w:r w:rsidR="00C1794C">
        <w:t xml:space="preserve"> within a reasonable time</w:t>
      </w:r>
      <w:r w:rsidR="00A406E3">
        <w:t xml:space="preserve">, </w:t>
      </w:r>
      <w:r w:rsidR="00E37781">
        <w:t xml:space="preserve">at the hearing on 18 February 2022, </w:t>
      </w:r>
      <w:r w:rsidR="00A406E3">
        <w:t xml:space="preserve">I </w:t>
      </w:r>
      <w:r>
        <w:t>fixed the</w:t>
      </w:r>
      <w:r w:rsidR="004F770E">
        <w:t xml:space="preserve"> </w:t>
      </w:r>
      <w:r w:rsidR="00E846EE" w:rsidRPr="004F770E">
        <w:t xml:space="preserve">assessment </w:t>
      </w:r>
      <w:r w:rsidR="00E37781">
        <w:t xml:space="preserve">of damages </w:t>
      </w:r>
      <w:r w:rsidR="00E846EE" w:rsidRPr="004F770E">
        <w:t>hearing</w:t>
      </w:r>
      <w:r w:rsidR="00E846EE">
        <w:t xml:space="preserve"> </w:t>
      </w:r>
      <w:r>
        <w:t>before another judge in Sept</w:t>
      </w:r>
      <w:r w:rsidR="00813775">
        <w:t>e</w:t>
      </w:r>
      <w:r>
        <w:t xml:space="preserve">mber 2022 with a further CMC </w:t>
      </w:r>
      <w:r w:rsidR="006443B4">
        <w:t>hearing</w:t>
      </w:r>
      <w:r>
        <w:t xml:space="preserve"> before me in </w:t>
      </w:r>
      <w:r w:rsidR="00813775">
        <w:t xml:space="preserve">June 2022 and a PTR before the trial judge in July 2022. </w:t>
      </w:r>
      <w:r w:rsidR="004F770E">
        <w:t xml:space="preserve"> B</w:t>
      </w:r>
      <w:r w:rsidR="00813775">
        <w:t>y fixing those</w:t>
      </w:r>
      <w:r w:rsidR="00FA290B">
        <w:t xml:space="preserve"> “milestone</w:t>
      </w:r>
      <w:r w:rsidR="00813775">
        <w:t xml:space="preserve"> dates</w:t>
      </w:r>
      <w:r w:rsidR="00FA290B">
        <w:t>”</w:t>
      </w:r>
      <w:r w:rsidR="00813775">
        <w:t xml:space="preserve"> above, it will not</w:t>
      </w:r>
      <w:r w:rsidR="00A406E3">
        <w:t xml:space="preserve"> only give the parties a</w:t>
      </w:r>
      <w:r w:rsidR="00C1794C">
        <w:t xml:space="preserve"> clear</w:t>
      </w:r>
      <w:r w:rsidR="00A406E3">
        <w:t xml:space="preserve"> roadmap le</w:t>
      </w:r>
      <w:r w:rsidR="00813775">
        <w:t>a</w:t>
      </w:r>
      <w:r w:rsidR="00A406E3">
        <w:t xml:space="preserve">ding to the </w:t>
      </w:r>
      <w:r w:rsidR="00E846EE" w:rsidRPr="004F770E">
        <w:t>assessment</w:t>
      </w:r>
      <w:r w:rsidR="00E846EE">
        <w:t xml:space="preserve"> </w:t>
      </w:r>
      <w:r w:rsidR="00A406E3">
        <w:t>hearing</w:t>
      </w:r>
      <w:r w:rsidR="00813775">
        <w:t>,</w:t>
      </w:r>
      <w:r w:rsidR="00A406E3">
        <w:t xml:space="preserve"> but will </w:t>
      </w:r>
      <w:r w:rsidR="00813775">
        <w:t xml:space="preserve">also </w:t>
      </w:r>
      <w:r w:rsidR="00A406E3">
        <w:t>provide suf</w:t>
      </w:r>
      <w:r w:rsidR="00813775">
        <w:t>fic</w:t>
      </w:r>
      <w:r w:rsidR="00A406E3">
        <w:t xml:space="preserve">ient time and space for the parties to </w:t>
      </w:r>
      <w:r w:rsidR="00813775">
        <w:t>achieve</w:t>
      </w:r>
      <w:r w:rsidR="00A406E3">
        <w:t xml:space="preserve"> an amicable </w:t>
      </w:r>
      <w:r w:rsidR="00C1794C">
        <w:t xml:space="preserve">out-of-court </w:t>
      </w:r>
      <w:r w:rsidR="00813775">
        <w:t>settlement</w:t>
      </w:r>
      <w:r w:rsidR="00A406E3">
        <w:t>, whether through without prejudice negotia</w:t>
      </w:r>
      <w:r w:rsidR="00813775">
        <w:t>tions, sanctioned offers or payments</w:t>
      </w:r>
      <w:r w:rsidR="00C1794C">
        <w:t xml:space="preserve"> </w:t>
      </w:r>
      <w:r w:rsidR="004F770E">
        <w:t>and/</w:t>
      </w:r>
      <w:r w:rsidR="00813775">
        <w:t>or</w:t>
      </w:r>
      <w:r w:rsidR="00A406E3">
        <w:t xml:space="preserve"> mediation.  However, </w:t>
      </w:r>
      <w:r w:rsidR="00AE5172">
        <w:t>in my judgment</w:t>
      </w:r>
      <w:r w:rsidR="00FA290B">
        <w:t xml:space="preserve">, </w:t>
      </w:r>
      <w:r w:rsidR="00813775">
        <w:t xml:space="preserve">what </w:t>
      </w:r>
      <w:r w:rsidR="00A406E3">
        <w:t xml:space="preserve">a plaintiff cannot expect the </w:t>
      </w:r>
      <w:r w:rsidR="00E051B3">
        <w:t>C</w:t>
      </w:r>
      <w:r w:rsidR="00A406E3">
        <w:t xml:space="preserve">ourt to </w:t>
      </w:r>
      <w:r w:rsidR="00813775">
        <w:t xml:space="preserve">do is to allow him to </w:t>
      </w:r>
      <w:r w:rsidR="00A406E3">
        <w:t xml:space="preserve">wait until such time when he </w:t>
      </w:r>
      <w:r w:rsidR="004F770E">
        <w:t xml:space="preserve">or his legal advisers </w:t>
      </w:r>
      <w:r w:rsidR="00951EA9">
        <w:t xml:space="preserve">subjectively </w:t>
      </w:r>
      <w:r w:rsidR="00A406E3">
        <w:t>think</w:t>
      </w:r>
      <w:r w:rsidR="004F770E">
        <w:t xml:space="preserve"> that</w:t>
      </w:r>
      <w:r w:rsidR="00A406E3">
        <w:t xml:space="preserve"> h</w:t>
      </w:r>
      <w:r w:rsidR="00C1794C">
        <w:t>is</w:t>
      </w:r>
      <w:r w:rsidR="00A406E3">
        <w:t xml:space="preserve"> </w:t>
      </w:r>
      <w:r w:rsidR="00994141">
        <w:t>physical/men</w:t>
      </w:r>
      <w:r w:rsidR="00813775">
        <w:t>t</w:t>
      </w:r>
      <w:r w:rsidR="00994141">
        <w:t xml:space="preserve">al condition has been settled before he will set down the case for trial or assessment.  </w:t>
      </w:r>
      <w:r w:rsidR="00813775">
        <w:t>This</w:t>
      </w:r>
      <w:r w:rsidR="00951EA9">
        <w:t xml:space="preserve"> is not</w:t>
      </w:r>
      <w:r w:rsidR="00994141">
        <w:t xml:space="preserve"> a matter for the litigant or his lawyers to decide.  It is a case management matter for the </w:t>
      </w:r>
      <w:r w:rsidR="00E051B3">
        <w:t>C</w:t>
      </w:r>
      <w:r w:rsidR="00994141">
        <w:t>ourt to determine, after taking into account of all the circumstances of the case, including the injuries sustained by the plaintiff in the accident; the medical condition and treatments undergoing by the plaintiff; reports/</w:t>
      </w:r>
      <w:r w:rsidR="00745AF0">
        <w:t>r</w:t>
      </w:r>
      <w:r w:rsidR="00994141">
        <w:t>ecords in support</w:t>
      </w:r>
      <w:r w:rsidR="00FA290B">
        <w:t xml:space="preserve"> of the injuries and treatments;</w:t>
      </w:r>
      <w:r w:rsidR="00E37781">
        <w:t xml:space="preserve"> the experts’ opinions;</w:t>
      </w:r>
      <w:r w:rsidR="00994141">
        <w:t xml:space="preserve"> submissions of the parties and so on.</w:t>
      </w:r>
      <w:r w:rsidR="00813775">
        <w:t xml:space="preserve">  What the </w:t>
      </w:r>
      <w:r w:rsidR="00E051B3">
        <w:t>C</w:t>
      </w:r>
      <w:r w:rsidR="00813775">
        <w:t xml:space="preserve">ourt will not allow the parties </w:t>
      </w:r>
      <w:r w:rsidR="00745AF0">
        <w:t>to do when there is a clear order to prohibit them to adduce further medical report or evidence without the leave o</w:t>
      </w:r>
      <w:r w:rsidR="00E051B3">
        <w:t>f the C</w:t>
      </w:r>
      <w:r w:rsidR="00745AF0">
        <w:t xml:space="preserve">ourt is to </w:t>
      </w:r>
      <w:r w:rsidR="00813775">
        <w:t>take matters in their own hands and decide to do things in their own ways</w:t>
      </w:r>
      <w:r w:rsidR="00E051B3">
        <w:t>,</w:t>
      </w:r>
      <w:r w:rsidR="00813775">
        <w:t xml:space="preserve"> </w:t>
      </w:r>
      <w:r w:rsidR="00FA290B">
        <w:t xml:space="preserve">just </w:t>
      </w:r>
      <w:r w:rsidR="00C1794C">
        <w:t xml:space="preserve">like </w:t>
      </w:r>
      <w:r w:rsidR="00813775">
        <w:t>the plaintiff</w:t>
      </w:r>
      <w:r w:rsidR="00C1794C">
        <w:t>’s solicitors</w:t>
      </w:r>
      <w:r w:rsidR="00813775">
        <w:t xml:space="preserve"> ha</w:t>
      </w:r>
      <w:r w:rsidR="00C1794C">
        <w:t>ve</w:t>
      </w:r>
      <w:r w:rsidR="00813775">
        <w:t xml:space="preserve"> done in this case.</w:t>
      </w:r>
    </w:p>
    <w:p w14:paraId="21BA1373" w14:textId="3F21F00E" w:rsidR="00C1794C" w:rsidRDefault="00C1794C" w:rsidP="000C3E1A">
      <w:pPr>
        <w:pStyle w:val="ListParagraph"/>
        <w:numPr>
          <w:ilvl w:val="0"/>
          <w:numId w:val="30"/>
        </w:numPr>
        <w:spacing w:after="418" w:line="360" w:lineRule="auto"/>
        <w:ind w:left="0" w:right="67" w:firstLine="0"/>
        <w:jc w:val="both"/>
      </w:pPr>
      <w:r>
        <w:lastRenderedPageBreak/>
        <w:t xml:space="preserve">Hence, I will direct all the costs incurred by the plaintiff in relation to the </w:t>
      </w:r>
      <w:r w:rsidR="00CB3AC8">
        <w:t>unauthorized</w:t>
      </w:r>
      <w:r>
        <w:t xml:space="preserve"> appointment of Dr Tio in su</w:t>
      </w:r>
      <w:r w:rsidR="00CB3AC8">
        <w:t>bstitut</w:t>
      </w:r>
      <w:r>
        <w:t xml:space="preserve">ion of Dr Li as </w:t>
      </w:r>
      <w:r w:rsidR="00E051B3">
        <w:t>a “new” expert in this case shall</w:t>
      </w:r>
      <w:r>
        <w:t xml:space="preserve"> not be </w:t>
      </w:r>
      <w:r w:rsidR="00CB3AC8">
        <w:t>recoverable</w:t>
      </w:r>
      <w:r>
        <w:t xml:space="preserve"> as party and party costs in this case.  </w:t>
      </w:r>
      <w:r w:rsidR="00CB3AC8">
        <w:t xml:space="preserve">This will include all the correspondence </w:t>
      </w:r>
      <w:r w:rsidR="00AE5172">
        <w:t xml:space="preserve">(whether by letters or emails) </w:t>
      </w:r>
      <w:r w:rsidR="00CB3AC8">
        <w:t>between the plaintiff’s solicitors and Dr Li and the subsequent letters to the Court to</w:t>
      </w:r>
      <w:r w:rsidR="00E37781">
        <w:t xml:space="preserve"> purportedly</w:t>
      </w:r>
      <w:r w:rsidR="00CB3AC8">
        <w:t xml:space="preserve"> “report” on the matter.  The Court will not let a solicitor to earn fees in such a way when such work was totally uncalled for and unnecessary and was done in clear </w:t>
      </w:r>
      <w:r w:rsidR="00395DEE">
        <w:t xml:space="preserve">breach of the Court’s Orders.  </w:t>
      </w:r>
      <w:r w:rsidR="00CB3AC8">
        <w:t>I will make a note of this in the court file to alert the taxing master</w:t>
      </w:r>
      <w:r w:rsidR="00395DEE">
        <w:t xml:space="preserve"> on this matter</w:t>
      </w:r>
      <w:r w:rsidR="00CB3AC8">
        <w:t xml:space="preserve">.  </w:t>
      </w:r>
    </w:p>
    <w:p w14:paraId="21B22E15" w14:textId="0C0CD21C" w:rsidR="00994141" w:rsidRDefault="00813775" w:rsidP="00994141">
      <w:pPr>
        <w:pStyle w:val="ListParagraph"/>
        <w:numPr>
          <w:ilvl w:val="0"/>
          <w:numId w:val="30"/>
        </w:numPr>
        <w:spacing w:after="418" w:line="360" w:lineRule="auto"/>
        <w:ind w:left="0" w:right="67" w:firstLine="0"/>
        <w:jc w:val="both"/>
      </w:pPr>
      <w:r>
        <w:t>Further</w:t>
      </w:r>
      <w:r w:rsidRPr="00533CAD">
        <w:t xml:space="preserve">, </w:t>
      </w:r>
      <w:r w:rsidR="00E846EE" w:rsidRPr="00533CAD">
        <w:t>i</w:t>
      </w:r>
      <w:r w:rsidR="00994141" w:rsidRPr="00533CAD">
        <w:t>n</w:t>
      </w:r>
      <w:r w:rsidR="00994141">
        <w:t xml:space="preserve"> this case, I notice that there has been at least a</w:t>
      </w:r>
      <w:r w:rsidR="00761199">
        <w:t xml:space="preserve"> period of </w:t>
      </w:r>
      <w:r w:rsidR="00745AF0">
        <w:t xml:space="preserve">3 </w:t>
      </w:r>
      <w:r w:rsidR="00761199">
        <w:t xml:space="preserve">years from </w:t>
      </w:r>
      <w:r w:rsidR="00395DEE">
        <w:t>201</w:t>
      </w:r>
      <w:r w:rsidR="00745AF0">
        <w:t>7</w:t>
      </w:r>
      <w:r w:rsidR="00761199">
        <w:t xml:space="preserve"> </w:t>
      </w:r>
      <w:r w:rsidR="00395DEE">
        <w:t>(</w:t>
      </w:r>
      <w:r w:rsidR="00745AF0">
        <w:t xml:space="preserve">ie </w:t>
      </w:r>
      <w:r w:rsidR="00395DEE">
        <w:t>the last Orde</w:t>
      </w:r>
      <w:r w:rsidR="00E846EE">
        <w:t xml:space="preserve">r of Master Roy Yu dated </w:t>
      </w:r>
      <w:r w:rsidR="00E846EE" w:rsidRPr="00745AF0">
        <w:t>21 September 2017</w:t>
      </w:r>
      <w:r w:rsidR="00E846EE">
        <w:t xml:space="preserve"> </w:t>
      </w:r>
      <w:r w:rsidR="00395DEE">
        <w:t xml:space="preserve">on case management issues) </w:t>
      </w:r>
      <w:r w:rsidR="00761199">
        <w:t xml:space="preserve">to </w:t>
      </w:r>
      <w:r w:rsidR="00395DEE">
        <w:t>October 2020</w:t>
      </w:r>
      <w:r w:rsidR="00761199">
        <w:t xml:space="preserve"> </w:t>
      </w:r>
      <w:r w:rsidR="00745AF0">
        <w:t xml:space="preserve">(ie the Order of Master Roy Yu </w:t>
      </w:r>
      <w:r w:rsidR="00E051B3">
        <w:t xml:space="preserve">dated 12 October 2022 </w:t>
      </w:r>
      <w:r w:rsidR="00745AF0">
        <w:t xml:space="preserve">to transfer the case to the District Court) </w:t>
      </w:r>
      <w:r w:rsidR="00761199">
        <w:t>when there</w:t>
      </w:r>
      <w:r w:rsidR="00994141">
        <w:t xml:space="preserve"> </w:t>
      </w:r>
      <w:r w:rsidR="00761199">
        <w:t>w</w:t>
      </w:r>
      <w:r w:rsidR="00533CAD">
        <w:t>ere</w:t>
      </w:r>
      <w:r w:rsidR="00761199">
        <w:t xml:space="preserve"> totally unexplained </w:t>
      </w:r>
      <w:r w:rsidR="00533CAD">
        <w:t xml:space="preserve">inactions and </w:t>
      </w:r>
      <w:r w:rsidR="00DD388B">
        <w:t>delay</w:t>
      </w:r>
      <w:r w:rsidR="00745AF0">
        <w:t>s</w:t>
      </w:r>
      <w:r w:rsidR="00994141">
        <w:t xml:space="preserve"> on the</w:t>
      </w:r>
      <w:r w:rsidR="00761199">
        <w:t xml:space="preserve"> part of the plaintiff</w:t>
      </w:r>
      <w:r w:rsidR="00395DEE">
        <w:t xml:space="preserve"> in prosecuting this case</w:t>
      </w:r>
      <w:r w:rsidR="00761199">
        <w:t>.  I do not think that the plain</w:t>
      </w:r>
      <w:r w:rsidR="00DD388B">
        <w:t>tiff</w:t>
      </w:r>
      <w:r w:rsidR="00761199">
        <w:t xml:space="preserve"> should be entitled to claim interest on any damages </w:t>
      </w:r>
      <w:r w:rsidR="00745AF0">
        <w:t xml:space="preserve">that </w:t>
      </w:r>
      <w:r w:rsidR="00DD388B">
        <w:t xml:space="preserve">he may able to recover from the defendant </w:t>
      </w:r>
      <w:r w:rsidR="00395DEE">
        <w:t>at the end of the day during</w:t>
      </w:r>
      <w:r w:rsidR="00761199">
        <w:t xml:space="preserve"> this </w:t>
      </w:r>
      <w:r w:rsidR="00E051B3">
        <w:t xml:space="preserve">3 year </w:t>
      </w:r>
      <w:r w:rsidR="00761199">
        <w:t xml:space="preserve">period.  I shall make a note on the </w:t>
      </w:r>
      <w:r>
        <w:t>co</w:t>
      </w:r>
      <w:r w:rsidR="00761199">
        <w:t xml:space="preserve">urt file in this case to ask the trial judge to take this into </w:t>
      </w:r>
      <w:r>
        <w:t>consideration</w:t>
      </w:r>
      <w:r w:rsidR="00761199">
        <w:t xml:space="preserve"> when assessing the </w:t>
      </w:r>
      <w:r w:rsidR="00395DEE">
        <w:t xml:space="preserve">period of </w:t>
      </w:r>
      <w:r w:rsidR="00761199">
        <w:t>interest to be allowed at the assessment</w:t>
      </w:r>
      <w:r w:rsidR="00745AF0">
        <w:t xml:space="preserve"> hearing</w:t>
      </w:r>
      <w:r w:rsidR="00395DEE">
        <w:t>, subject of course to any submissions that the parties may wish to make to the trial judge</w:t>
      </w:r>
      <w:r w:rsidR="00745AF0">
        <w:t xml:space="preserve"> on the matter</w:t>
      </w:r>
      <w:r w:rsidR="00395DEE">
        <w:t xml:space="preserve">. </w:t>
      </w:r>
      <w:r w:rsidR="00994141">
        <w:t xml:space="preserve"> </w:t>
      </w:r>
    </w:p>
    <w:p w14:paraId="19388EC8" w14:textId="50EB37E7" w:rsidR="00A406E3" w:rsidRPr="00E051B3" w:rsidRDefault="00DD388B" w:rsidP="00DD388B">
      <w:pPr>
        <w:pStyle w:val="ListParagraph"/>
        <w:spacing w:after="418" w:line="360" w:lineRule="auto"/>
        <w:ind w:left="0" w:right="67"/>
        <w:jc w:val="both"/>
        <w:rPr>
          <w:i/>
        </w:rPr>
      </w:pPr>
      <w:r w:rsidRPr="00E051B3">
        <w:rPr>
          <w:i/>
        </w:rPr>
        <w:t>CONCLUSION</w:t>
      </w:r>
      <w:r w:rsidR="00A406E3" w:rsidRPr="00E051B3">
        <w:rPr>
          <w:i/>
        </w:rPr>
        <w:t xml:space="preserve"> </w:t>
      </w:r>
    </w:p>
    <w:p w14:paraId="1AB6BEB3" w14:textId="5841E635" w:rsidR="00B7250F" w:rsidRDefault="00996406" w:rsidP="005B3BEC">
      <w:pPr>
        <w:pStyle w:val="ListParagraph"/>
        <w:numPr>
          <w:ilvl w:val="0"/>
          <w:numId w:val="30"/>
        </w:numPr>
        <w:spacing w:after="418" w:line="360" w:lineRule="auto"/>
        <w:ind w:left="0" w:right="67" w:firstLine="0"/>
        <w:jc w:val="both"/>
      </w:pPr>
      <w:r>
        <w:t xml:space="preserve">In </w:t>
      </w:r>
      <w:r w:rsidR="00DD388B">
        <w:t xml:space="preserve">conclusion, I would like to make the following </w:t>
      </w:r>
      <w:r w:rsidR="00E051B3">
        <w:t>summary</w:t>
      </w:r>
      <w:r w:rsidR="00AE5172">
        <w:t>.</w:t>
      </w:r>
      <w:r w:rsidR="00DD388B">
        <w:t xml:space="preserve"> </w:t>
      </w:r>
    </w:p>
    <w:p w14:paraId="160B766D" w14:textId="36FC466A" w:rsidR="0045144C" w:rsidRDefault="00D3559A" w:rsidP="00D3559A">
      <w:pPr>
        <w:pStyle w:val="ListParagraph"/>
        <w:numPr>
          <w:ilvl w:val="0"/>
          <w:numId w:val="30"/>
        </w:numPr>
        <w:spacing w:after="418" w:line="360" w:lineRule="auto"/>
        <w:ind w:left="0" w:right="67" w:firstLine="0"/>
        <w:jc w:val="both"/>
      </w:pPr>
      <w:r>
        <w:lastRenderedPageBreak/>
        <w:t>First, the Court in fulfilling its case ma</w:t>
      </w:r>
      <w:r w:rsidR="00FA290B">
        <w:t>nagement functions in a PI case</w:t>
      </w:r>
      <w:r>
        <w:t xml:space="preserve"> will not allow parties to openly defy the orders of the </w:t>
      </w:r>
      <w:r w:rsidR="00533CAD">
        <w:t>C</w:t>
      </w:r>
      <w:r>
        <w:t xml:space="preserve">ourt and will </w:t>
      </w:r>
      <w:r w:rsidR="00AF3B0B">
        <w:t xml:space="preserve">not </w:t>
      </w:r>
      <w:r w:rsidR="00A10A9A">
        <w:t>allow the appointment of a new or substitute expert</w:t>
      </w:r>
      <w:r w:rsidR="007660D9">
        <w:t xml:space="preserve"> </w:t>
      </w:r>
      <w:r>
        <w:t xml:space="preserve">just because a party </w:t>
      </w:r>
      <w:r w:rsidR="00533CAD">
        <w:t>(</w:t>
      </w:r>
      <w:r w:rsidR="00A10A9A">
        <w:t xml:space="preserve">or </w:t>
      </w:r>
      <w:r w:rsidR="00745AF0">
        <w:t>both parties</w:t>
      </w:r>
      <w:r w:rsidR="00533CAD">
        <w:t>)</w:t>
      </w:r>
      <w:r w:rsidR="00A10A9A">
        <w:t xml:space="preserve"> </w:t>
      </w:r>
      <w:r>
        <w:t xml:space="preserve">choose to deliberately ignore and disobey the </w:t>
      </w:r>
      <w:r w:rsidR="00745AF0">
        <w:t>o</w:t>
      </w:r>
      <w:r>
        <w:t xml:space="preserve">rders of the </w:t>
      </w:r>
      <w:r w:rsidR="00533CAD">
        <w:t>C</w:t>
      </w:r>
      <w:r>
        <w:t xml:space="preserve">ourt.  </w:t>
      </w:r>
    </w:p>
    <w:p w14:paraId="4F89F648" w14:textId="5EA73B11" w:rsidR="00D3559A" w:rsidRDefault="00D3559A" w:rsidP="00D3559A">
      <w:pPr>
        <w:pStyle w:val="ListParagraph"/>
        <w:numPr>
          <w:ilvl w:val="0"/>
          <w:numId w:val="30"/>
        </w:numPr>
        <w:spacing w:after="418" w:line="360" w:lineRule="auto"/>
        <w:ind w:left="0" w:right="67" w:firstLine="0"/>
        <w:jc w:val="both"/>
      </w:pPr>
      <w:r>
        <w:t xml:space="preserve">Second, </w:t>
      </w:r>
      <w:r w:rsidR="00745AF0">
        <w:t xml:space="preserve">a party who obtains </w:t>
      </w:r>
      <w:r>
        <w:t>a</w:t>
      </w:r>
      <w:r w:rsidR="00E051B3">
        <w:t>n expert</w:t>
      </w:r>
      <w:r w:rsidR="00745AF0">
        <w:t xml:space="preserve"> report from a </w:t>
      </w:r>
      <w:r w:rsidR="00313E0A">
        <w:t xml:space="preserve">new </w:t>
      </w:r>
      <w:r>
        <w:t>expert</w:t>
      </w:r>
      <w:r w:rsidR="00E051B3">
        <w:t xml:space="preserve"> </w:t>
      </w:r>
      <w:r>
        <w:t xml:space="preserve">without </w:t>
      </w:r>
      <w:r w:rsidR="00745AF0">
        <w:t xml:space="preserve">leave </w:t>
      </w:r>
      <w:r w:rsidR="00AF3B0B">
        <w:t xml:space="preserve">of the </w:t>
      </w:r>
      <w:r w:rsidR="00E051B3">
        <w:t>C</w:t>
      </w:r>
      <w:r w:rsidR="00AF3B0B">
        <w:t>ourt</w:t>
      </w:r>
      <w:r w:rsidR="00AE5172">
        <w:t xml:space="preserve"> (with or without the agreement of the other party)</w:t>
      </w:r>
      <w:r w:rsidR="00745AF0">
        <w:t>,</w:t>
      </w:r>
      <w:r w:rsidR="00AE5172">
        <w:t xml:space="preserve"> </w:t>
      </w:r>
      <w:r w:rsidR="00745AF0">
        <w:t xml:space="preserve">runs the risk of disqualifying the </w:t>
      </w:r>
      <w:r w:rsidR="00E051B3">
        <w:t>expert from appointment by the C</w:t>
      </w:r>
      <w:r w:rsidR="00745AF0">
        <w:t>ourt</w:t>
      </w:r>
      <w:r w:rsidR="00A10A9A">
        <w:t>.</w:t>
      </w:r>
      <w:r w:rsidR="00AF3B0B">
        <w:t xml:space="preserve">  </w:t>
      </w:r>
    </w:p>
    <w:p w14:paraId="46A8720D" w14:textId="0C531BA3" w:rsidR="003F50DB" w:rsidRDefault="00D3559A" w:rsidP="00745AF0">
      <w:pPr>
        <w:pStyle w:val="ListParagraph"/>
        <w:numPr>
          <w:ilvl w:val="0"/>
          <w:numId w:val="30"/>
        </w:numPr>
        <w:spacing w:after="418" w:line="360" w:lineRule="auto"/>
        <w:ind w:left="0" w:right="67" w:firstLine="0"/>
        <w:jc w:val="both"/>
      </w:pPr>
      <w:r>
        <w:t xml:space="preserve">Third, </w:t>
      </w:r>
      <w:r w:rsidR="00745AF0">
        <w:t xml:space="preserve">when the appointment of an expert is made in clear breach of an existing order, </w:t>
      </w:r>
      <w:r>
        <w:t xml:space="preserve">any </w:t>
      </w:r>
      <w:r w:rsidRPr="00D3559A">
        <w:rPr>
          <w:i/>
          <w:iCs/>
        </w:rPr>
        <w:t>fait accompli</w:t>
      </w:r>
      <w:r>
        <w:t xml:space="preserve"> done by the </w:t>
      </w:r>
      <w:r w:rsidR="00AF3B0B">
        <w:t>parties</w:t>
      </w:r>
      <w:r>
        <w:t xml:space="preserve"> will not be recognized by the </w:t>
      </w:r>
      <w:r w:rsidR="00E051B3">
        <w:t>C</w:t>
      </w:r>
      <w:r>
        <w:t xml:space="preserve">ourt and will </w:t>
      </w:r>
      <w:r w:rsidR="00E051B3">
        <w:t>very likely lead</w:t>
      </w:r>
      <w:r w:rsidR="00745AF0">
        <w:t xml:space="preserve"> </w:t>
      </w:r>
      <w:r>
        <w:t>to was</w:t>
      </w:r>
      <w:r w:rsidR="00745AF0">
        <w:t>te</w:t>
      </w:r>
      <w:r w:rsidR="00FA290B">
        <w:t>d</w:t>
      </w:r>
      <w:r w:rsidR="00745AF0">
        <w:t xml:space="preserve"> </w:t>
      </w:r>
      <w:r>
        <w:t xml:space="preserve">costs </w:t>
      </w:r>
      <w:r w:rsidR="00AE5172">
        <w:t xml:space="preserve">order </w:t>
      </w:r>
      <w:r w:rsidR="00745AF0">
        <w:t>made against t</w:t>
      </w:r>
      <w:r w:rsidR="00AF3B0B">
        <w:t>he legal representatives</w:t>
      </w:r>
      <w:r w:rsidR="00745AF0">
        <w:t xml:space="preserve"> personally and </w:t>
      </w:r>
      <w:r w:rsidR="00C6496A">
        <w:t>on an indemnity basis</w:t>
      </w:r>
      <w:r w:rsidR="00AF3B0B">
        <w:t xml:space="preserve">. </w:t>
      </w:r>
    </w:p>
    <w:p w14:paraId="5AFD6FC3" w14:textId="03408D15" w:rsidR="00AF3B0B" w:rsidRDefault="003F50DB" w:rsidP="00745AF0">
      <w:pPr>
        <w:pStyle w:val="ListParagraph"/>
        <w:numPr>
          <w:ilvl w:val="0"/>
          <w:numId w:val="30"/>
        </w:numPr>
        <w:spacing w:after="418" w:line="360" w:lineRule="auto"/>
        <w:ind w:left="0" w:right="67" w:firstLine="0"/>
        <w:jc w:val="both"/>
      </w:pPr>
      <w:r>
        <w:t>Fourth</w:t>
      </w:r>
      <w:r w:rsidR="00745AF0">
        <w:t>, an</w:t>
      </w:r>
      <w:r w:rsidR="00AF3B0B">
        <w:t xml:space="preserve">y </w:t>
      </w:r>
      <w:r w:rsidR="00B929AD">
        <w:t>unnecessary</w:t>
      </w:r>
      <w:r w:rsidR="00AF3B0B">
        <w:t xml:space="preserve"> </w:t>
      </w:r>
      <w:r w:rsidR="00745AF0">
        <w:t xml:space="preserve">and wasted </w:t>
      </w:r>
      <w:r w:rsidR="00AF3B0B">
        <w:t xml:space="preserve">costs incurred </w:t>
      </w:r>
      <w:r w:rsidR="00B929AD">
        <w:t xml:space="preserve">in relation to such acts will not be </w:t>
      </w:r>
      <w:r w:rsidR="00A10A9A">
        <w:t>re</w:t>
      </w:r>
      <w:r w:rsidR="00B929AD">
        <w:t xml:space="preserve">covered by a litigant as party and party costs </w:t>
      </w:r>
      <w:r w:rsidR="00A10A9A">
        <w:t xml:space="preserve">from the losing party </w:t>
      </w:r>
      <w:r w:rsidR="00B929AD">
        <w:t xml:space="preserve">in the case and </w:t>
      </w:r>
      <w:r w:rsidR="00A10A9A">
        <w:t>the p</w:t>
      </w:r>
      <w:r w:rsidR="00745AF0">
        <w:t>arty</w:t>
      </w:r>
      <w:r w:rsidR="00AE5172">
        <w:t xml:space="preserve"> who commits</w:t>
      </w:r>
      <w:r w:rsidR="00745AF0">
        <w:t xml:space="preserve"> those acts </w:t>
      </w:r>
      <w:r w:rsidR="00A10A9A">
        <w:t xml:space="preserve">will most likely have to bear </w:t>
      </w:r>
      <w:r w:rsidR="00745AF0">
        <w:t xml:space="preserve">those costs </w:t>
      </w:r>
      <w:r w:rsidR="00A10A9A">
        <w:t>himself</w:t>
      </w:r>
      <w:r w:rsidR="00AE5172">
        <w:t xml:space="preserve"> at the end of the day</w:t>
      </w:r>
      <w:r w:rsidR="00A10A9A">
        <w:t>.</w:t>
      </w:r>
    </w:p>
    <w:p w14:paraId="16D88012" w14:textId="077DA07F" w:rsidR="004404A9" w:rsidRDefault="004404A9" w:rsidP="00BE0590">
      <w:pPr>
        <w:pStyle w:val="ListParagraph"/>
        <w:spacing w:line="360" w:lineRule="auto"/>
        <w:ind w:left="0"/>
        <w:jc w:val="both"/>
      </w:pPr>
    </w:p>
    <w:p w14:paraId="7982E7F9" w14:textId="77777777" w:rsidR="003158AF" w:rsidRDefault="003158AF" w:rsidP="00BE0590">
      <w:pPr>
        <w:pStyle w:val="ListParagraph"/>
        <w:spacing w:line="360" w:lineRule="auto"/>
        <w:ind w:left="0"/>
        <w:jc w:val="both"/>
      </w:pPr>
    </w:p>
    <w:p w14:paraId="6FB9987B" w14:textId="77777777" w:rsidR="005964BA" w:rsidRDefault="005964BA" w:rsidP="007B1D44">
      <w:pPr>
        <w:tabs>
          <w:tab w:val="clear" w:pos="4320"/>
          <w:tab w:val="clear" w:pos="9072"/>
          <w:tab w:val="center" w:pos="6480"/>
        </w:tabs>
        <w:ind w:right="-720"/>
        <w:jc w:val="both"/>
        <w:rPr>
          <w:iCs/>
          <w:szCs w:val="28"/>
        </w:rPr>
      </w:pPr>
      <w:r>
        <w:rPr>
          <w:rFonts w:hint="eastAsia"/>
          <w:iCs/>
          <w:szCs w:val="28"/>
        </w:rPr>
        <w:tab/>
      </w:r>
      <w:r>
        <w:rPr>
          <w:iCs/>
          <w:szCs w:val="28"/>
        </w:rPr>
        <w:tab/>
      </w:r>
      <w:r w:rsidRPr="00CD6B32">
        <w:rPr>
          <w:iCs/>
          <w:szCs w:val="28"/>
        </w:rPr>
        <w:t>(</w:t>
      </w:r>
      <w:r>
        <w:rPr>
          <w:rFonts w:hint="eastAsia"/>
          <w:iCs/>
          <w:szCs w:val="28"/>
        </w:rPr>
        <w:t xml:space="preserve"> </w:t>
      </w:r>
      <w:r w:rsidR="00093758">
        <w:rPr>
          <w:rFonts w:hint="eastAsia"/>
          <w:iCs/>
          <w:szCs w:val="28"/>
        </w:rPr>
        <w:t xml:space="preserve">Andrew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14:paraId="3E1B914F" w14:textId="77777777" w:rsidR="005964BA" w:rsidRPr="005964BA" w:rsidRDefault="005964BA" w:rsidP="007B1D44">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14:paraId="42A24975" w14:textId="77777777" w:rsidR="00B45A3B" w:rsidRDefault="00B45A3B" w:rsidP="007B1D44">
      <w:pPr>
        <w:ind w:right="-720"/>
        <w:jc w:val="both"/>
        <w:rPr>
          <w:iCs/>
          <w:szCs w:val="28"/>
        </w:rPr>
      </w:pPr>
    </w:p>
    <w:p w14:paraId="66E8EB76" w14:textId="77777777" w:rsidR="005964BA" w:rsidRPr="00CD6B32" w:rsidRDefault="005964BA" w:rsidP="007B1D44">
      <w:pPr>
        <w:ind w:right="-720"/>
        <w:jc w:val="both"/>
        <w:rPr>
          <w:iCs/>
          <w:szCs w:val="28"/>
        </w:rPr>
      </w:pPr>
    </w:p>
    <w:p w14:paraId="109E0588" w14:textId="14B46A1E" w:rsidR="008A1C7A" w:rsidRDefault="009464D0" w:rsidP="007B1D44">
      <w:pPr>
        <w:ind w:right="-720"/>
        <w:rPr>
          <w:szCs w:val="28"/>
          <w:lang w:val="en-GB"/>
        </w:rPr>
      </w:pPr>
      <w:r>
        <w:rPr>
          <w:szCs w:val="28"/>
          <w:lang w:val="en-GB"/>
        </w:rPr>
        <w:t>M</w:t>
      </w:r>
      <w:r w:rsidR="00E50723">
        <w:rPr>
          <w:szCs w:val="28"/>
          <w:lang w:val="en-GB"/>
        </w:rPr>
        <w:t>r</w:t>
      </w:r>
      <w:r>
        <w:rPr>
          <w:szCs w:val="28"/>
          <w:lang w:val="en-GB"/>
        </w:rPr>
        <w:t xml:space="preserve"> </w:t>
      </w:r>
      <w:r w:rsidR="00A10A9A">
        <w:rPr>
          <w:szCs w:val="28"/>
          <w:lang w:val="en-GB"/>
        </w:rPr>
        <w:t xml:space="preserve">Patrick Burke </w:t>
      </w:r>
      <w:r w:rsidR="00D87F8B">
        <w:rPr>
          <w:szCs w:val="28"/>
          <w:lang w:val="en-GB"/>
        </w:rPr>
        <w:t>of</w:t>
      </w:r>
      <w:r w:rsidR="00CD455F">
        <w:rPr>
          <w:szCs w:val="28"/>
          <w:lang w:val="en-GB"/>
        </w:rPr>
        <w:t xml:space="preserve"> </w:t>
      </w:r>
      <w:r w:rsidR="00C372BF" w:rsidRPr="00C372BF">
        <w:rPr>
          <w:szCs w:val="28"/>
          <w:lang w:val="en-GB"/>
        </w:rPr>
        <w:t>Burke &amp; Company</w:t>
      </w:r>
      <w:r w:rsidR="00BE4CAB">
        <w:rPr>
          <w:szCs w:val="28"/>
          <w:lang w:val="en-GB"/>
        </w:rPr>
        <w:t>,</w:t>
      </w:r>
      <w:r>
        <w:rPr>
          <w:szCs w:val="28"/>
          <w:lang w:val="en-GB"/>
        </w:rPr>
        <w:t xml:space="preserve"> </w:t>
      </w:r>
      <w:r w:rsidR="008A1C7A" w:rsidRPr="00C44BED">
        <w:rPr>
          <w:szCs w:val="28"/>
          <w:lang w:val="en-GB"/>
        </w:rPr>
        <w:t>for the plaintiff</w:t>
      </w:r>
    </w:p>
    <w:p w14:paraId="1946E8F5" w14:textId="77777777" w:rsidR="008A1C7A" w:rsidRDefault="008A1C7A" w:rsidP="007B1D44">
      <w:pPr>
        <w:ind w:right="-720"/>
        <w:rPr>
          <w:szCs w:val="28"/>
          <w:lang w:val="en-GB"/>
        </w:rPr>
      </w:pPr>
    </w:p>
    <w:p w14:paraId="5063BB78" w14:textId="57558564" w:rsidR="00B45A3B" w:rsidRDefault="00C372BF" w:rsidP="00E46AF4">
      <w:pPr>
        <w:ind w:right="-720"/>
        <w:rPr>
          <w:szCs w:val="28"/>
          <w:lang w:val="en-GB"/>
        </w:rPr>
      </w:pPr>
      <w:r>
        <w:rPr>
          <w:szCs w:val="28"/>
          <w:lang w:val="en-GB"/>
        </w:rPr>
        <w:t xml:space="preserve">Mr </w:t>
      </w:r>
      <w:r w:rsidR="00B10F01" w:rsidRPr="00745AF0">
        <w:rPr>
          <w:szCs w:val="28"/>
          <w:lang w:val="en-GB"/>
        </w:rPr>
        <w:t>Kevin</w:t>
      </w:r>
      <w:r w:rsidR="00A10A9A">
        <w:rPr>
          <w:szCs w:val="28"/>
          <w:lang w:val="en-GB"/>
        </w:rPr>
        <w:t xml:space="preserve"> Tsang </w:t>
      </w:r>
      <w:r w:rsidR="00D87F8B">
        <w:rPr>
          <w:szCs w:val="28"/>
          <w:lang w:val="en-GB"/>
        </w:rPr>
        <w:t xml:space="preserve">of </w:t>
      </w:r>
      <w:r w:rsidRPr="00C372BF">
        <w:rPr>
          <w:szCs w:val="28"/>
          <w:lang w:val="en-GB"/>
        </w:rPr>
        <w:t>Krishnan &amp; Tsang</w:t>
      </w:r>
      <w:r w:rsidR="00BE4CAB">
        <w:rPr>
          <w:szCs w:val="28"/>
          <w:lang w:val="en-GB"/>
        </w:rPr>
        <w:t>,</w:t>
      </w:r>
      <w:r w:rsidR="00D87F8B">
        <w:rPr>
          <w:szCs w:val="28"/>
          <w:lang w:val="en-GB"/>
        </w:rPr>
        <w:t xml:space="preserve"> for the defendant</w:t>
      </w:r>
    </w:p>
    <w:p w14:paraId="50A72154" w14:textId="7CC94F8A" w:rsidR="009464D0" w:rsidRPr="00E46AF4" w:rsidRDefault="009464D0" w:rsidP="00E46AF4">
      <w:pPr>
        <w:ind w:right="-720"/>
        <w:rPr>
          <w:szCs w:val="28"/>
          <w:lang w:val="en-GB"/>
        </w:rPr>
      </w:pPr>
      <w:bookmarkStart w:id="7" w:name="_GoBack"/>
      <w:bookmarkEnd w:id="7"/>
    </w:p>
    <w:sectPr w:rsidR="009464D0" w:rsidRPr="00E46AF4" w:rsidSect="00435CF0">
      <w:headerReference w:type="default" r:id="rId16"/>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55FB7" w14:textId="77777777" w:rsidR="00335647" w:rsidRDefault="00335647">
      <w:r>
        <w:separator/>
      </w:r>
    </w:p>
  </w:endnote>
  <w:endnote w:type="continuationSeparator" w:id="0">
    <w:p w14:paraId="4F4CFF3D" w14:textId="77777777" w:rsidR="00335647" w:rsidRDefault="0033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D6440" w14:textId="77777777" w:rsidR="00335647" w:rsidRDefault="003356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EBD6C6" w14:textId="77777777" w:rsidR="00335647" w:rsidRDefault="003356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6E521" w14:textId="77777777" w:rsidR="00335647" w:rsidRDefault="00335647">
    <w:pPr>
      <w:pStyle w:val="Footer"/>
      <w:framePr w:wrap="around" w:vAnchor="text" w:hAnchor="margin" w:xAlign="right" w:y="1"/>
      <w:rPr>
        <w:rStyle w:val="PageNumber"/>
      </w:rPr>
    </w:pPr>
  </w:p>
  <w:p w14:paraId="1210FCE8" w14:textId="77777777" w:rsidR="00335647" w:rsidRDefault="003356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092F0" w14:textId="77777777" w:rsidR="00335647" w:rsidRDefault="00335647">
      <w:r>
        <w:separator/>
      </w:r>
    </w:p>
  </w:footnote>
  <w:footnote w:type="continuationSeparator" w:id="0">
    <w:p w14:paraId="1080FE4A" w14:textId="77777777" w:rsidR="00335647" w:rsidRDefault="00335647">
      <w:r>
        <w:continuationSeparator/>
      </w:r>
    </w:p>
  </w:footnote>
  <w:footnote w:id="1">
    <w:p w14:paraId="1C51CFA7" w14:textId="2769CC66" w:rsidR="005753AD" w:rsidRPr="00B9190F" w:rsidRDefault="005753AD" w:rsidP="005753AD">
      <w:pPr>
        <w:pStyle w:val="FootnoteText"/>
        <w:jc w:val="both"/>
        <w:rPr>
          <w:rFonts w:ascii="Times New Roman" w:eastAsiaTheme="minorEastAsia" w:hAnsi="Times New Roman"/>
          <w:sz w:val="20"/>
          <w:szCs w:val="20"/>
          <w:lang w:val="en-US" w:eastAsia="zh-CN"/>
        </w:rPr>
      </w:pPr>
      <w:r w:rsidRPr="005753AD">
        <w:rPr>
          <w:rStyle w:val="FootnoteReference"/>
          <w:rFonts w:ascii="Times New Roman" w:hAnsi="Times New Roman"/>
          <w:sz w:val="20"/>
          <w:szCs w:val="20"/>
        </w:rPr>
        <w:footnoteRef/>
      </w:r>
      <w:r w:rsidRPr="005753AD">
        <w:rPr>
          <w:rFonts w:ascii="Times New Roman" w:hAnsi="Times New Roman"/>
          <w:sz w:val="20"/>
          <w:szCs w:val="20"/>
        </w:rPr>
        <w:t xml:space="preserve"> </w:t>
      </w:r>
      <w:r w:rsidRPr="005753AD">
        <w:rPr>
          <w:rFonts w:ascii="Times New Roman" w:eastAsiaTheme="minorEastAsia" w:hAnsi="Times New Roman"/>
          <w:sz w:val="20"/>
          <w:szCs w:val="20"/>
          <w:lang w:eastAsia="zh-CN"/>
        </w:rPr>
        <w:t>By this time, the psychological</w:t>
      </w:r>
      <w:r>
        <w:rPr>
          <w:rFonts w:ascii="Times New Roman" w:eastAsiaTheme="minorEastAsia" w:hAnsi="Times New Roman"/>
          <w:sz w:val="20"/>
          <w:szCs w:val="20"/>
          <w:lang w:eastAsia="zh-CN"/>
        </w:rPr>
        <w:t xml:space="preserve"> expert report of Professor Peter</w:t>
      </w:r>
      <w:r w:rsidRPr="005753AD">
        <w:rPr>
          <w:rFonts w:ascii="Times New Roman" w:eastAsiaTheme="minorEastAsia" w:hAnsi="Times New Roman"/>
          <w:sz w:val="20"/>
          <w:szCs w:val="20"/>
          <w:lang w:eastAsia="zh-CN"/>
        </w:rPr>
        <w:t xml:space="preserve"> Li has been filed</w:t>
      </w:r>
      <w:r w:rsidR="00B9190F">
        <w:rPr>
          <w:rFonts w:ascii="Times New Roman" w:eastAsiaTheme="minorEastAsia" w:hAnsi="Times New Roman"/>
          <w:sz w:val="20"/>
          <w:szCs w:val="20"/>
          <w:lang w:val="en-US"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75BF7" w14:textId="77777777" w:rsidR="00335647" w:rsidRDefault="00335647">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0220B91B" wp14:editId="3C6A03B8">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B225D" w14:textId="77777777" w:rsidR="00335647" w:rsidRDefault="00335647">
                          <w:pPr>
                            <w:rPr>
                              <w:b/>
                              <w:sz w:val="20"/>
                            </w:rPr>
                          </w:pPr>
                          <w:r>
                            <w:rPr>
                              <w:rFonts w:hint="eastAsia"/>
                              <w:b/>
                              <w:sz w:val="20"/>
                            </w:rPr>
                            <w:t>A</w:t>
                          </w:r>
                        </w:p>
                        <w:p w14:paraId="7171FF95" w14:textId="77777777" w:rsidR="00335647" w:rsidRDefault="00335647">
                          <w:pPr>
                            <w:rPr>
                              <w:b/>
                              <w:sz w:val="10"/>
                            </w:rPr>
                          </w:pPr>
                        </w:p>
                        <w:p w14:paraId="3D66E101" w14:textId="77777777" w:rsidR="00335647" w:rsidRDefault="00335647">
                          <w:pPr>
                            <w:rPr>
                              <w:b/>
                              <w:sz w:val="16"/>
                            </w:rPr>
                          </w:pPr>
                        </w:p>
                        <w:p w14:paraId="2ED2B02B" w14:textId="77777777" w:rsidR="00335647" w:rsidRDefault="00335647">
                          <w:pPr>
                            <w:rPr>
                              <w:b/>
                              <w:sz w:val="16"/>
                            </w:rPr>
                          </w:pPr>
                        </w:p>
                        <w:p w14:paraId="63BD1C10" w14:textId="77777777" w:rsidR="00335647" w:rsidRDefault="00335647">
                          <w:pPr>
                            <w:rPr>
                              <w:b/>
                              <w:sz w:val="20"/>
                            </w:rPr>
                          </w:pPr>
                          <w:r>
                            <w:rPr>
                              <w:rFonts w:hint="eastAsia"/>
                              <w:b/>
                              <w:sz w:val="20"/>
                            </w:rPr>
                            <w:t>B</w:t>
                          </w:r>
                        </w:p>
                        <w:p w14:paraId="68EA85B9" w14:textId="77777777" w:rsidR="00335647" w:rsidRDefault="00335647">
                          <w:pPr>
                            <w:rPr>
                              <w:b/>
                              <w:sz w:val="10"/>
                            </w:rPr>
                          </w:pPr>
                        </w:p>
                        <w:p w14:paraId="08190A57" w14:textId="77777777" w:rsidR="00335647" w:rsidRDefault="00335647">
                          <w:pPr>
                            <w:rPr>
                              <w:b/>
                              <w:sz w:val="16"/>
                            </w:rPr>
                          </w:pPr>
                        </w:p>
                        <w:p w14:paraId="43AE4FF2" w14:textId="77777777" w:rsidR="00335647" w:rsidRDefault="00335647">
                          <w:pPr>
                            <w:rPr>
                              <w:b/>
                              <w:sz w:val="16"/>
                            </w:rPr>
                          </w:pPr>
                        </w:p>
                        <w:p w14:paraId="113DD46E" w14:textId="77777777" w:rsidR="00335647" w:rsidRDefault="00335647">
                          <w:pPr>
                            <w:rPr>
                              <w:b/>
                              <w:sz w:val="16"/>
                            </w:rPr>
                          </w:pPr>
                          <w:r>
                            <w:rPr>
                              <w:rFonts w:hint="eastAsia"/>
                              <w:b/>
                              <w:sz w:val="20"/>
                            </w:rPr>
                            <w:t>C</w:t>
                          </w:r>
                        </w:p>
                        <w:p w14:paraId="0C0B2774" w14:textId="77777777" w:rsidR="00335647" w:rsidRDefault="00335647">
                          <w:pPr>
                            <w:rPr>
                              <w:b/>
                              <w:sz w:val="10"/>
                            </w:rPr>
                          </w:pPr>
                        </w:p>
                        <w:p w14:paraId="22F5360E" w14:textId="77777777" w:rsidR="00335647" w:rsidRDefault="00335647">
                          <w:pPr>
                            <w:rPr>
                              <w:b/>
                              <w:sz w:val="16"/>
                            </w:rPr>
                          </w:pPr>
                        </w:p>
                        <w:p w14:paraId="3427714E" w14:textId="77777777" w:rsidR="00335647" w:rsidRDefault="00335647">
                          <w:pPr>
                            <w:rPr>
                              <w:b/>
                              <w:sz w:val="16"/>
                            </w:rPr>
                          </w:pPr>
                        </w:p>
                        <w:p w14:paraId="68329C58" w14:textId="77777777" w:rsidR="00335647" w:rsidRDefault="00335647">
                          <w:pPr>
                            <w:pStyle w:val="Heading2"/>
                            <w:rPr>
                              <w:sz w:val="16"/>
                            </w:rPr>
                          </w:pPr>
                          <w:r>
                            <w:rPr>
                              <w:rFonts w:hint="eastAsia"/>
                            </w:rPr>
                            <w:t>D</w:t>
                          </w:r>
                        </w:p>
                        <w:p w14:paraId="78A4C218" w14:textId="77777777" w:rsidR="00335647" w:rsidRDefault="00335647">
                          <w:pPr>
                            <w:rPr>
                              <w:b/>
                              <w:sz w:val="10"/>
                            </w:rPr>
                          </w:pPr>
                        </w:p>
                        <w:p w14:paraId="63B702A9" w14:textId="77777777" w:rsidR="00335647" w:rsidRDefault="00335647">
                          <w:pPr>
                            <w:rPr>
                              <w:b/>
                              <w:sz w:val="16"/>
                            </w:rPr>
                          </w:pPr>
                        </w:p>
                        <w:p w14:paraId="7EEDF59E" w14:textId="77777777" w:rsidR="00335647" w:rsidRDefault="00335647">
                          <w:pPr>
                            <w:rPr>
                              <w:b/>
                              <w:sz w:val="16"/>
                            </w:rPr>
                          </w:pPr>
                        </w:p>
                        <w:p w14:paraId="09F4A1A4" w14:textId="77777777" w:rsidR="00335647" w:rsidRDefault="00335647">
                          <w:pPr>
                            <w:rPr>
                              <w:b/>
                              <w:sz w:val="16"/>
                            </w:rPr>
                          </w:pPr>
                          <w:r>
                            <w:rPr>
                              <w:rFonts w:hint="eastAsia"/>
                              <w:b/>
                              <w:sz w:val="20"/>
                            </w:rPr>
                            <w:t>E</w:t>
                          </w:r>
                        </w:p>
                        <w:p w14:paraId="08E9D225" w14:textId="77777777" w:rsidR="00335647" w:rsidRDefault="00335647">
                          <w:pPr>
                            <w:rPr>
                              <w:b/>
                              <w:sz w:val="10"/>
                            </w:rPr>
                          </w:pPr>
                        </w:p>
                        <w:p w14:paraId="0D2F8673" w14:textId="77777777" w:rsidR="00335647" w:rsidRDefault="00335647">
                          <w:pPr>
                            <w:rPr>
                              <w:b/>
                              <w:sz w:val="16"/>
                            </w:rPr>
                          </w:pPr>
                        </w:p>
                        <w:p w14:paraId="7345954F" w14:textId="77777777" w:rsidR="00335647" w:rsidRDefault="00335647">
                          <w:pPr>
                            <w:rPr>
                              <w:b/>
                              <w:sz w:val="16"/>
                            </w:rPr>
                          </w:pPr>
                        </w:p>
                        <w:p w14:paraId="4F7DE5FE" w14:textId="77777777" w:rsidR="00335647" w:rsidRDefault="00335647">
                          <w:pPr>
                            <w:rPr>
                              <w:b/>
                              <w:sz w:val="20"/>
                            </w:rPr>
                          </w:pPr>
                          <w:r>
                            <w:rPr>
                              <w:rFonts w:hint="eastAsia"/>
                              <w:b/>
                              <w:sz w:val="20"/>
                            </w:rPr>
                            <w:t>F</w:t>
                          </w:r>
                        </w:p>
                        <w:p w14:paraId="2BED2980" w14:textId="77777777" w:rsidR="00335647" w:rsidRDefault="00335647">
                          <w:pPr>
                            <w:rPr>
                              <w:b/>
                              <w:sz w:val="10"/>
                            </w:rPr>
                          </w:pPr>
                        </w:p>
                        <w:p w14:paraId="445DE060" w14:textId="77777777" w:rsidR="00335647" w:rsidRDefault="00335647">
                          <w:pPr>
                            <w:rPr>
                              <w:b/>
                              <w:sz w:val="16"/>
                            </w:rPr>
                          </w:pPr>
                        </w:p>
                        <w:p w14:paraId="6075AAA6" w14:textId="77777777" w:rsidR="00335647" w:rsidRDefault="00335647">
                          <w:pPr>
                            <w:rPr>
                              <w:b/>
                              <w:sz w:val="16"/>
                            </w:rPr>
                          </w:pPr>
                        </w:p>
                        <w:p w14:paraId="1D20921A" w14:textId="77777777" w:rsidR="00335647" w:rsidRDefault="00335647">
                          <w:pPr>
                            <w:rPr>
                              <w:b/>
                              <w:sz w:val="16"/>
                            </w:rPr>
                          </w:pPr>
                          <w:r>
                            <w:rPr>
                              <w:rFonts w:hint="eastAsia"/>
                              <w:b/>
                              <w:sz w:val="20"/>
                            </w:rPr>
                            <w:t>G</w:t>
                          </w:r>
                        </w:p>
                        <w:p w14:paraId="0591A33A" w14:textId="77777777" w:rsidR="00335647" w:rsidRDefault="00335647">
                          <w:pPr>
                            <w:rPr>
                              <w:b/>
                              <w:sz w:val="10"/>
                            </w:rPr>
                          </w:pPr>
                        </w:p>
                        <w:p w14:paraId="3F2F88E4" w14:textId="77777777" w:rsidR="00335647" w:rsidRDefault="00335647">
                          <w:pPr>
                            <w:rPr>
                              <w:b/>
                              <w:sz w:val="16"/>
                            </w:rPr>
                          </w:pPr>
                        </w:p>
                        <w:p w14:paraId="1DA35BBC" w14:textId="77777777" w:rsidR="00335647" w:rsidRDefault="00335647">
                          <w:pPr>
                            <w:rPr>
                              <w:b/>
                              <w:sz w:val="16"/>
                            </w:rPr>
                          </w:pPr>
                        </w:p>
                        <w:p w14:paraId="1F030B06" w14:textId="77777777" w:rsidR="00335647" w:rsidRDefault="00335647">
                          <w:pPr>
                            <w:rPr>
                              <w:b/>
                              <w:sz w:val="16"/>
                            </w:rPr>
                          </w:pPr>
                          <w:r>
                            <w:rPr>
                              <w:rFonts w:hint="eastAsia"/>
                              <w:b/>
                              <w:sz w:val="20"/>
                            </w:rPr>
                            <w:t>H</w:t>
                          </w:r>
                        </w:p>
                        <w:p w14:paraId="52CAA2D8" w14:textId="77777777" w:rsidR="00335647" w:rsidRDefault="00335647">
                          <w:pPr>
                            <w:rPr>
                              <w:b/>
                              <w:sz w:val="10"/>
                            </w:rPr>
                          </w:pPr>
                        </w:p>
                        <w:p w14:paraId="42D6251D" w14:textId="77777777" w:rsidR="00335647" w:rsidRDefault="00335647">
                          <w:pPr>
                            <w:rPr>
                              <w:b/>
                              <w:sz w:val="16"/>
                            </w:rPr>
                          </w:pPr>
                        </w:p>
                        <w:p w14:paraId="2C5AB1E9" w14:textId="77777777" w:rsidR="00335647" w:rsidRDefault="00335647">
                          <w:pPr>
                            <w:rPr>
                              <w:b/>
                              <w:sz w:val="16"/>
                            </w:rPr>
                          </w:pPr>
                        </w:p>
                        <w:p w14:paraId="2E681276" w14:textId="77777777" w:rsidR="00335647" w:rsidRDefault="00335647">
                          <w:pPr>
                            <w:rPr>
                              <w:b/>
                              <w:sz w:val="16"/>
                            </w:rPr>
                          </w:pPr>
                          <w:r>
                            <w:rPr>
                              <w:rFonts w:hint="eastAsia"/>
                              <w:b/>
                              <w:sz w:val="20"/>
                            </w:rPr>
                            <w:t>I</w:t>
                          </w:r>
                        </w:p>
                        <w:p w14:paraId="6998F209" w14:textId="77777777" w:rsidR="00335647" w:rsidRDefault="00335647">
                          <w:pPr>
                            <w:rPr>
                              <w:b/>
                              <w:sz w:val="10"/>
                            </w:rPr>
                          </w:pPr>
                        </w:p>
                        <w:p w14:paraId="2B8A33D0" w14:textId="77777777" w:rsidR="00335647" w:rsidRDefault="00335647">
                          <w:pPr>
                            <w:rPr>
                              <w:b/>
                              <w:sz w:val="16"/>
                            </w:rPr>
                          </w:pPr>
                        </w:p>
                        <w:p w14:paraId="6FF285A8" w14:textId="77777777" w:rsidR="00335647" w:rsidRDefault="00335647">
                          <w:pPr>
                            <w:rPr>
                              <w:b/>
                              <w:sz w:val="16"/>
                            </w:rPr>
                          </w:pPr>
                        </w:p>
                        <w:p w14:paraId="45FE68BB" w14:textId="77777777" w:rsidR="00335647" w:rsidRDefault="00335647">
                          <w:pPr>
                            <w:rPr>
                              <w:b/>
                              <w:sz w:val="16"/>
                            </w:rPr>
                          </w:pPr>
                          <w:r>
                            <w:rPr>
                              <w:rFonts w:hint="eastAsia"/>
                              <w:b/>
                              <w:sz w:val="20"/>
                            </w:rPr>
                            <w:t>J</w:t>
                          </w:r>
                        </w:p>
                        <w:p w14:paraId="4C049A96" w14:textId="77777777" w:rsidR="00335647" w:rsidRDefault="00335647">
                          <w:pPr>
                            <w:rPr>
                              <w:b/>
                              <w:sz w:val="10"/>
                            </w:rPr>
                          </w:pPr>
                        </w:p>
                        <w:p w14:paraId="67AB3F5C" w14:textId="77777777" w:rsidR="00335647" w:rsidRDefault="00335647">
                          <w:pPr>
                            <w:rPr>
                              <w:b/>
                              <w:sz w:val="16"/>
                            </w:rPr>
                          </w:pPr>
                        </w:p>
                        <w:p w14:paraId="2FAAA894" w14:textId="77777777" w:rsidR="00335647" w:rsidRDefault="00335647">
                          <w:pPr>
                            <w:rPr>
                              <w:b/>
                              <w:sz w:val="16"/>
                            </w:rPr>
                          </w:pPr>
                        </w:p>
                        <w:p w14:paraId="41120EC8" w14:textId="77777777" w:rsidR="00335647" w:rsidRDefault="00335647">
                          <w:pPr>
                            <w:rPr>
                              <w:b/>
                              <w:sz w:val="16"/>
                            </w:rPr>
                          </w:pPr>
                          <w:r>
                            <w:rPr>
                              <w:rFonts w:hint="eastAsia"/>
                              <w:b/>
                              <w:sz w:val="20"/>
                            </w:rPr>
                            <w:t>K</w:t>
                          </w:r>
                        </w:p>
                        <w:p w14:paraId="6CCDE067" w14:textId="77777777" w:rsidR="00335647" w:rsidRDefault="00335647">
                          <w:pPr>
                            <w:rPr>
                              <w:b/>
                              <w:sz w:val="10"/>
                            </w:rPr>
                          </w:pPr>
                        </w:p>
                        <w:p w14:paraId="3126AFC7" w14:textId="77777777" w:rsidR="00335647" w:rsidRDefault="00335647">
                          <w:pPr>
                            <w:rPr>
                              <w:b/>
                              <w:sz w:val="16"/>
                            </w:rPr>
                          </w:pPr>
                        </w:p>
                        <w:p w14:paraId="34322F8C" w14:textId="77777777" w:rsidR="00335647" w:rsidRDefault="00335647">
                          <w:pPr>
                            <w:rPr>
                              <w:b/>
                              <w:sz w:val="16"/>
                            </w:rPr>
                          </w:pPr>
                        </w:p>
                        <w:p w14:paraId="0456E7ED" w14:textId="77777777" w:rsidR="00335647" w:rsidRDefault="00335647">
                          <w:pPr>
                            <w:rPr>
                              <w:b/>
                              <w:sz w:val="16"/>
                            </w:rPr>
                          </w:pPr>
                          <w:r>
                            <w:rPr>
                              <w:rFonts w:hint="eastAsia"/>
                              <w:b/>
                              <w:sz w:val="20"/>
                            </w:rPr>
                            <w:t>L</w:t>
                          </w:r>
                        </w:p>
                        <w:p w14:paraId="150C2F50" w14:textId="77777777" w:rsidR="00335647" w:rsidRDefault="00335647">
                          <w:pPr>
                            <w:rPr>
                              <w:b/>
                              <w:sz w:val="10"/>
                            </w:rPr>
                          </w:pPr>
                        </w:p>
                        <w:p w14:paraId="0F7FDD18" w14:textId="77777777" w:rsidR="00335647" w:rsidRDefault="00335647">
                          <w:pPr>
                            <w:rPr>
                              <w:b/>
                              <w:sz w:val="16"/>
                            </w:rPr>
                          </w:pPr>
                        </w:p>
                        <w:p w14:paraId="37518AB5" w14:textId="77777777" w:rsidR="00335647" w:rsidRDefault="00335647">
                          <w:pPr>
                            <w:rPr>
                              <w:b/>
                              <w:sz w:val="16"/>
                            </w:rPr>
                          </w:pPr>
                        </w:p>
                        <w:p w14:paraId="4E4302F1" w14:textId="77777777" w:rsidR="00335647" w:rsidRDefault="00335647">
                          <w:pPr>
                            <w:rPr>
                              <w:b/>
                              <w:sz w:val="16"/>
                            </w:rPr>
                          </w:pPr>
                          <w:r>
                            <w:rPr>
                              <w:rFonts w:hint="eastAsia"/>
                              <w:b/>
                              <w:sz w:val="20"/>
                            </w:rPr>
                            <w:t>M</w:t>
                          </w:r>
                        </w:p>
                        <w:p w14:paraId="7BD4B26F" w14:textId="77777777" w:rsidR="00335647" w:rsidRDefault="00335647">
                          <w:pPr>
                            <w:rPr>
                              <w:b/>
                              <w:sz w:val="10"/>
                            </w:rPr>
                          </w:pPr>
                        </w:p>
                        <w:p w14:paraId="29CE5931" w14:textId="77777777" w:rsidR="00335647" w:rsidRDefault="00335647">
                          <w:pPr>
                            <w:rPr>
                              <w:b/>
                              <w:sz w:val="16"/>
                            </w:rPr>
                          </w:pPr>
                        </w:p>
                        <w:p w14:paraId="6C4072DB" w14:textId="77777777" w:rsidR="00335647" w:rsidRDefault="00335647">
                          <w:pPr>
                            <w:rPr>
                              <w:b/>
                              <w:sz w:val="16"/>
                            </w:rPr>
                          </w:pPr>
                        </w:p>
                        <w:p w14:paraId="7F833563" w14:textId="77777777" w:rsidR="00335647" w:rsidRDefault="00335647">
                          <w:pPr>
                            <w:rPr>
                              <w:b/>
                              <w:sz w:val="16"/>
                            </w:rPr>
                          </w:pPr>
                          <w:r>
                            <w:rPr>
                              <w:rFonts w:hint="eastAsia"/>
                              <w:b/>
                              <w:sz w:val="20"/>
                            </w:rPr>
                            <w:t>N</w:t>
                          </w:r>
                        </w:p>
                        <w:p w14:paraId="67A424A7" w14:textId="77777777" w:rsidR="00335647" w:rsidRDefault="00335647">
                          <w:pPr>
                            <w:rPr>
                              <w:b/>
                              <w:sz w:val="10"/>
                            </w:rPr>
                          </w:pPr>
                        </w:p>
                        <w:p w14:paraId="1F1F0717" w14:textId="77777777" w:rsidR="00335647" w:rsidRDefault="00335647">
                          <w:pPr>
                            <w:rPr>
                              <w:b/>
                              <w:sz w:val="16"/>
                            </w:rPr>
                          </w:pPr>
                        </w:p>
                        <w:p w14:paraId="045FD0D4" w14:textId="77777777" w:rsidR="00335647" w:rsidRDefault="00335647">
                          <w:pPr>
                            <w:rPr>
                              <w:b/>
                              <w:sz w:val="16"/>
                            </w:rPr>
                          </w:pPr>
                        </w:p>
                        <w:p w14:paraId="6ADB15D4" w14:textId="77777777" w:rsidR="00335647" w:rsidRDefault="00335647">
                          <w:pPr>
                            <w:rPr>
                              <w:b/>
                              <w:sz w:val="16"/>
                            </w:rPr>
                          </w:pPr>
                          <w:r>
                            <w:rPr>
                              <w:rFonts w:hint="eastAsia"/>
                              <w:b/>
                              <w:sz w:val="20"/>
                            </w:rPr>
                            <w:t>O</w:t>
                          </w:r>
                        </w:p>
                        <w:p w14:paraId="71E1446C" w14:textId="77777777" w:rsidR="00335647" w:rsidRDefault="00335647">
                          <w:pPr>
                            <w:rPr>
                              <w:b/>
                              <w:sz w:val="10"/>
                            </w:rPr>
                          </w:pPr>
                        </w:p>
                        <w:p w14:paraId="6A0ADE57" w14:textId="77777777" w:rsidR="00335647" w:rsidRDefault="00335647">
                          <w:pPr>
                            <w:rPr>
                              <w:b/>
                              <w:sz w:val="16"/>
                            </w:rPr>
                          </w:pPr>
                        </w:p>
                        <w:p w14:paraId="3E009A3B" w14:textId="77777777" w:rsidR="00335647" w:rsidRDefault="00335647">
                          <w:pPr>
                            <w:rPr>
                              <w:b/>
                              <w:sz w:val="16"/>
                            </w:rPr>
                          </w:pPr>
                        </w:p>
                        <w:p w14:paraId="38298F1E" w14:textId="77777777" w:rsidR="00335647" w:rsidRDefault="00335647">
                          <w:pPr>
                            <w:rPr>
                              <w:b/>
                              <w:sz w:val="16"/>
                            </w:rPr>
                          </w:pPr>
                          <w:r>
                            <w:rPr>
                              <w:rFonts w:hint="eastAsia"/>
                              <w:b/>
                              <w:sz w:val="20"/>
                            </w:rPr>
                            <w:t>P</w:t>
                          </w:r>
                        </w:p>
                        <w:p w14:paraId="2D6448E4" w14:textId="77777777" w:rsidR="00335647" w:rsidRDefault="00335647">
                          <w:pPr>
                            <w:rPr>
                              <w:b/>
                              <w:sz w:val="10"/>
                            </w:rPr>
                          </w:pPr>
                        </w:p>
                        <w:p w14:paraId="7B4D283E" w14:textId="77777777" w:rsidR="00335647" w:rsidRDefault="00335647">
                          <w:pPr>
                            <w:rPr>
                              <w:b/>
                              <w:sz w:val="16"/>
                            </w:rPr>
                          </w:pPr>
                        </w:p>
                        <w:p w14:paraId="5A0DD56C" w14:textId="77777777" w:rsidR="00335647" w:rsidRDefault="00335647">
                          <w:pPr>
                            <w:rPr>
                              <w:b/>
                              <w:sz w:val="16"/>
                            </w:rPr>
                          </w:pPr>
                        </w:p>
                        <w:p w14:paraId="5FC176A9" w14:textId="77777777" w:rsidR="00335647" w:rsidRDefault="00335647">
                          <w:pPr>
                            <w:rPr>
                              <w:b/>
                              <w:sz w:val="16"/>
                            </w:rPr>
                          </w:pPr>
                          <w:r>
                            <w:rPr>
                              <w:rFonts w:hint="eastAsia"/>
                              <w:b/>
                              <w:sz w:val="20"/>
                            </w:rPr>
                            <w:t>Q</w:t>
                          </w:r>
                        </w:p>
                        <w:p w14:paraId="1BF216DA" w14:textId="77777777" w:rsidR="00335647" w:rsidRDefault="00335647">
                          <w:pPr>
                            <w:rPr>
                              <w:b/>
                              <w:sz w:val="10"/>
                            </w:rPr>
                          </w:pPr>
                        </w:p>
                        <w:p w14:paraId="31635A6D" w14:textId="77777777" w:rsidR="00335647" w:rsidRDefault="00335647">
                          <w:pPr>
                            <w:rPr>
                              <w:b/>
                              <w:sz w:val="16"/>
                            </w:rPr>
                          </w:pPr>
                        </w:p>
                        <w:p w14:paraId="4B90C809" w14:textId="77777777" w:rsidR="00335647" w:rsidRDefault="00335647">
                          <w:pPr>
                            <w:rPr>
                              <w:b/>
                              <w:sz w:val="16"/>
                            </w:rPr>
                          </w:pPr>
                        </w:p>
                        <w:p w14:paraId="0C56E334" w14:textId="77777777" w:rsidR="00335647" w:rsidRDefault="00335647">
                          <w:pPr>
                            <w:rPr>
                              <w:b/>
                              <w:sz w:val="16"/>
                            </w:rPr>
                          </w:pPr>
                          <w:r>
                            <w:rPr>
                              <w:rFonts w:hint="eastAsia"/>
                              <w:b/>
                              <w:sz w:val="20"/>
                            </w:rPr>
                            <w:t>R</w:t>
                          </w:r>
                        </w:p>
                        <w:p w14:paraId="7C5704E0" w14:textId="77777777" w:rsidR="00335647" w:rsidRDefault="00335647">
                          <w:pPr>
                            <w:rPr>
                              <w:b/>
                              <w:sz w:val="10"/>
                            </w:rPr>
                          </w:pPr>
                        </w:p>
                        <w:p w14:paraId="3162EE0D" w14:textId="77777777" w:rsidR="00335647" w:rsidRDefault="00335647">
                          <w:pPr>
                            <w:rPr>
                              <w:b/>
                              <w:sz w:val="16"/>
                            </w:rPr>
                          </w:pPr>
                        </w:p>
                        <w:p w14:paraId="3B53391F" w14:textId="77777777" w:rsidR="00335647" w:rsidRDefault="00335647">
                          <w:pPr>
                            <w:rPr>
                              <w:b/>
                              <w:sz w:val="16"/>
                            </w:rPr>
                          </w:pPr>
                        </w:p>
                        <w:p w14:paraId="02C33049" w14:textId="77777777" w:rsidR="00335647" w:rsidRDefault="00335647">
                          <w:pPr>
                            <w:rPr>
                              <w:b/>
                              <w:sz w:val="16"/>
                            </w:rPr>
                          </w:pPr>
                          <w:r>
                            <w:rPr>
                              <w:rFonts w:hint="eastAsia"/>
                              <w:b/>
                              <w:sz w:val="20"/>
                            </w:rPr>
                            <w:t>S</w:t>
                          </w:r>
                        </w:p>
                        <w:p w14:paraId="152001B7" w14:textId="77777777" w:rsidR="00335647" w:rsidRDefault="00335647">
                          <w:pPr>
                            <w:rPr>
                              <w:b/>
                              <w:sz w:val="10"/>
                            </w:rPr>
                          </w:pPr>
                        </w:p>
                        <w:p w14:paraId="07EE8EDF" w14:textId="77777777" w:rsidR="00335647" w:rsidRDefault="00335647">
                          <w:pPr>
                            <w:rPr>
                              <w:b/>
                              <w:sz w:val="16"/>
                            </w:rPr>
                          </w:pPr>
                        </w:p>
                        <w:p w14:paraId="65EBACC5" w14:textId="77777777" w:rsidR="00335647" w:rsidRDefault="00335647">
                          <w:pPr>
                            <w:rPr>
                              <w:b/>
                              <w:sz w:val="16"/>
                            </w:rPr>
                          </w:pPr>
                        </w:p>
                        <w:p w14:paraId="1D4FDE68" w14:textId="77777777" w:rsidR="00335647" w:rsidRDefault="00335647">
                          <w:pPr>
                            <w:rPr>
                              <w:b/>
                              <w:sz w:val="16"/>
                            </w:rPr>
                          </w:pPr>
                          <w:r>
                            <w:rPr>
                              <w:rFonts w:hint="eastAsia"/>
                              <w:b/>
                              <w:sz w:val="20"/>
                            </w:rPr>
                            <w:t>T</w:t>
                          </w:r>
                        </w:p>
                        <w:p w14:paraId="1C13F148" w14:textId="77777777" w:rsidR="00335647" w:rsidRDefault="00335647">
                          <w:pPr>
                            <w:rPr>
                              <w:b/>
                              <w:sz w:val="10"/>
                            </w:rPr>
                          </w:pPr>
                        </w:p>
                        <w:p w14:paraId="441C2528" w14:textId="77777777" w:rsidR="00335647" w:rsidRDefault="00335647">
                          <w:pPr>
                            <w:rPr>
                              <w:b/>
                              <w:sz w:val="16"/>
                            </w:rPr>
                          </w:pPr>
                        </w:p>
                        <w:p w14:paraId="06CA4CBF" w14:textId="77777777" w:rsidR="00335647" w:rsidRDefault="00335647">
                          <w:pPr>
                            <w:rPr>
                              <w:b/>
                              <w:sz w:val="16"/>
                            </w:rPr>
                          </w:pPr>
                        </w:p>
                        <w:p w14:paraId="19EEED5E" w14:textId="77777777" w:rsidR="00335647" w:rsidRDefault="00335647">
                          <w:pPr>
                            <w:rPr>
                              <w:b/>
                              <w:sz w:val="16"/>
                            </w:rPr>
                          </w:pPr>
                          <w:r>
                            <w:rPr>
                              <w:rFonts w:hint="eastAsia"/>
                              <w:b/>
                              <w:sz w:val="20"/>
                            </w:rPr>
                            <w:t>U</w:t>
                          </w:r>
                        </w:p>
                        <w:p w14:paraId="7E14E88A" w14:textId="77777777" w:rsidR="00335647" w:rsidRDefault="00335647">
                          <w:pPr>
                            <w:rPr>
                              <w:b/>
                              <w:sz w:val="10"/>
                            </w:rPr>
                          </w:pPr>
                        </w:p>
                        <w:p w14:paraId="0329FB96" w14:textId="77777777" w:rsidR="00335647" w:rsidRDefault="00335647">
                          <w:pPr>
                            <w:rPr>
                              <w:b/>
                              <w:sz w:val="16"/>
                            </w:rPr>
                          </w:pPr>
                        </w:p>
                        <w:p w14:paraId="7CA549EF" w14:textId="77777777" w:rsidR="00335647" w:rsidRDefault="00335647">
                          <w:pPr>
                            <w:rPr>
                              <w:b/>
                              <w:sz w:val="16"/>
                            </w:rPr>
                          </w:pPr>
                        </w:p>
                        <w:p w14:paraId="6C12489D" w14:textId="77777777" w:rsidR="00335647" w:rsidRDefault="0033564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20B91B"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244B225D" w14:textId="77777777" w:rsidR="00335647" w:rsidRDefault="00335647">
                    <w:pPr>
                      <w:rPr>
                        <w:b/>
                        <w:sz w:val="20"/>
                      </w:rPr>
                    </w:pPr>
                    <w:r>
                      <w:rPr>
                        <w:rFonts w:hint="eastAsia"/>
                        <w:b/>
                        <w:sz w:val="20"/>
                      </w:rPr>
                      <w:t>A</w:t>
                    </w:r>
                  </w:p>
                  <w:p w14:paraId="7171FF95" w14:textId="77777777" w:rsidR="00335647" w:rsidRDefault="00335647">
                    <w:pPr>
                      <w:rPr>
                        <w:b/>
                        <w:sz w:val="10"/>
                      </w:rPr>
                    </w:pPr>
                  </w:p>
                  <w:p w14:paraId="3D66E101" w14:textId="77777777" w:rsidR="00335647" w:rsidRDefault="00335647">
                    <w:pPr>
                      <w:rPr>
                        <w:b/>
                        <w:sz w:val="16"/>
                      </w:rPr>
                    </w:pPr>
                  </w:p>
                  <w:p w14:paraId="2ED2B02B" w14:textId="77777777" w:rsidR="00335647" w:rsidRDefault="00335647">
                    <w:pPr>
                      <w:rPr>
                        <w:b/>
                        <w:sz w:val="16"/>
                      </w:rPr>
                    </w:pPr>
                  </w:p>
                  <w:p w14:paraId="63BD1C10" w14:textId="77777777" w:rsidR="00335647" w:rsidRDefault="00335647">
                    <w:pPr>
                      <w:rPr>
                        <w:b/>
                        <w:sz w:val="20"/>
                      </w:rPr>
                    </w:pPr>
                    <w:r>
                      <w:rPr>
                        <w:rFonts w:hint="eastAsia"/>
                        <w:b/>
                        <w:sz w:val="20"/>
                      </w:rPr>
                      <w:t>B</w:t>
                    </w:r>
                  </w:p>
                  <w:p w14:paraId="68EA85B9" w14:textId="77777777" w:rsidR="00335647" w:rsidRDefault="00335647">
                    <w:pPr>
                      <w:rPr>
                        <w:b/>
                        <w:sz w:val="10"/>
                      </w:rPr>
                    </w:pPr>
                  </w:p>
                  <w:p w14:paraId="08190A57" w14:textId="77777777" w:rsidR="00335647" w:rsidRDefault="00335647">
                    <w:pPr>
                      <w:rPr>
                        <w:b/>
                        <w:sz w:val="16"/>
                      </w:rPr>
                    </w:pPr>
                  </w:p>
                  <w:p w14:paraId="43AE4FF2" w14:textId="77777777" w:rsidR="00335647" w:rsidRDefault="00335647">
                    <w:pPr>
                      <w:rPr>
                        <w:b/>
                        <w:sz w:val="16"/>
                      </w:rPr>
                    </w:pPr>
                  </w:p>
                  <w:p w14:paraId="113DD46E" w14:textId="77777777" w:rsidR="00335647" w:rsidRDefault="00335647">
                    <w:pPr>
                      <w:rPr>
                        <w:b/>
                        <w:sz w:val="16"/>
                      </w:rPr>
                    </w:pPr>
                    <w:r>
                      <w:rPr>
                        <w:rFonts w:hint="eastAsia"/>
                        <w:b/>
                        <w:sz w:val="20"/>
                      </w:rPr>
                      <w:t>C</w:t>
                    </w:r>
                  </w:p>
                  <w:p w14:paraId="0C0B2774" w14:textId="77777777" w:rsidR="00335647" w:rsidRDefault="00335647">
                    <w:pPr>
                      <w:rPr>
                        <w:b/>
                        <w:sz w:val="10"/>
                      </w:rPr>
                    </w:pPr>
                  </w:p>
                  <w:p w14:paraId="22F5360E" w14:textId="77777777" w:rsidR="00335647" w:rsidRDefault="00335647">
                    <w:pPr>
                      <w:rPr>
                        <w:b/>
                        <w:sz w:val="16"/>
                      </w:rPr>
                    </w:pPr>
                  </w:p>
                  <w:p w14:paraId="3427714E" w14:textId="77777777" w:rsidR="00335647" w:rsidRDefault="00335647">
                    <w:pPr>
                      <w:rPr>
                        <w:b/>
                        <w:sz w:val="16"/>
                      </w:rPr>
                    </w:pPr>
                  </w:p>
                  <w:p w14:paraId="68329C58" w14:textId="77777777" w:rsidR="00335647" w:rsidRDefault="00335647">
                    <w:pPr>
                      <w:pStyle w:val="Heading2"/>
                      <w:rPr>
                        <w:sz w:val="16"/>
                      </w:rPr>
                    </w:pPr>
                    <w:r>
                      <w:rPr>
                        <w:rFonts w:hint="eastAsia"/>
                      </w:rPr>
                      <w:t>D</w:t>
                    </w:r>
                  </w:p>
                  <w:p w14:paraId="78A4C218" w14:textId="77777777" w:rsidR="00335647" w:rsidRDefault="00335647">
                    <w:pPr>
                      <w:rPr>
                        <w:b/>
                        <w:sz w:val="10"/>
                      </w:rPr>
                    </w:pPr>
                  </w:p>
                  <w:p w14:paraId="63B702A9" w14:textId="77777777" w:rsidR="00335647" w:rsidRDefault="00335647">
                    <w:pPr>
                      <w:rPr>
                        <w:b/>
                        <w:sz w:val="16"/>
                      </w:rPr>
                    </w:pPr>
                  </w:p>
                  <w:p w14:paraId="7EEDF59E" w14:textId="77777777" w:rsidR="00335647" w:rsidRDefault="00335647">
                    <w:pPr>
                      <w:rPr>
                        <w:b/>
                        <w:sz w:val="16"/>
                      </w:rPr>
                    </w:pPr>
                  </w:p>
                  <w:p w14:paraId="09F4A1A4" w14:textId="77777777" w:rsidR="00335647" w:rsidRDefault="00335647">
                    <w:pPr>
                      <w:rPr>
                        <w:b/>
                        <w:sz w:val="16"/>
                      </w:rPr>
                    </w:pPr>
                    <w:r>
                      <w:rPr>
                        <w:rFonts w:hint="eastAsia"/>
                        <w:b/>
                        <w:sz w:val="20"/>
                      </w:rPr>
                      <w:t>E</w:t>
                    </w:r>
                  </w:p>
                  <w:p w14:paraId="08E9D225" w14:textId="77777777" w:rsidR="00335647" w:rsidRDefault="00335647">
                    <w:pPr>
                      <w:rPr>
                        <w:b/>
                        <w:sz w:val="10"/>
                      </w:rPr>
                    </w:pPr>
                  </w:p>
                  <w:p w14:paraId="0D2F8673" w14:textId="77777777" w:rsidR="00335647" w:rsidRDefault="00335647">
                    <w:pPr>
                      <w:rPr>
                        <w:b/>
                        <w:sz w:val="16"/>
                      </w:rPr>
                    </w:pPr>
                  </w:p>
                  <w:p w14:paraId="7345954F" w14:textId="77777777" w:rsidR="00335647" w:rsidRDefault="00335647">
                    <w:pPr>
                      <w:rPr>
                        <w:b/>
                        <w:sz w:val="16"/>
                      </w:rPr>
                    </w:pPr>
                  </w:p>
                  <w:p w14:paraId="4F7DE5FE" w14:textId="77777777" w:rsidR="00335647" w:rsidRDefault="00335647">
                    <w:pPr>
                      <w:rPr>
                        <w:b/>
                        <w:sz w:val="20"/>
                      </w:rPr>
                    </w:pPr>
                    <w:r>
                      <w:rPr>
                        <w:rFonts w:hint="eastAsia"/>
                        <w:b/>
                        <w:sz w:val="20"/>
                      </w:rPr>
                      <w:t>F</w:t>
                    </w:r>
                  </w:p>
                  <w:p w14:paraId="2BED2980" w14:textId="77777777" w:rsidR="00335647" w:rsidRDefault="00335647">
                    <w:pPr>
                      <w:rPr>
                        <w:b/>
                        <w:sz w:val="10"/>
                      </w:rPr>
                    </w:pPr>
                  </w:p>
                  <w:p w14:paraId="445DE060" w14:textId="77777777" w:rsidR="00335647" w:rsidRDefault="00335647">
                    <w:pPr>
                      <w:rPr>
                        <w:b/>
                        <w:sz w:val="16"/>
                      </w:rPr>
                    </w:pPr>
                  </w:p>
                  <w:p w14:paraId="6075AAA6" w14:textId="77777777" w:rsidR="00335647" w:rsidRDefault="00335647">
                    <w:pPr>
                      <w:rPr>
                        <w:b/>
                        <w:sz w:val="16"/>
                      </w:rPr>
                    </w:pPr>
                  </w:p>
                  <w:p w14:paraId="1D20921A" w14:textId="77777777" w:rsidR="00335647" w:rsidRDefault="00335647">
                    <w:pPr>
                      <w:rPr>
                        <w:b/>
                        <w:sz w:val="16"/>
                      </w:rPr>
                    </w:pPr>
                    <w:r>
                      <w:rPr>
                        <w:rFonts w:hint="eastAsia"/>
                        <w:b/>
                        <w:sz w:val="20"/>
                      </w:rPr>
                      <w:t>G</w:t>
                    </w:r>
                  </w:p>
                  <w:p w14:paraId="0591A33A" w14:textId="77777777" w:rsidR="00335647" w:rsidRDefault="00335647">
                    <w:pPr>
                      <w:rPr>
                        <w:b/>
                        <w:sz w:val="10"/>
                      </w:rPr>
                    </w:pPr>
                  </w:p>
                  <w:p w14:paraId="3F2F88E4" w14:textId="77777777" w:rsidR="00335647" w:rsidRDefault="00335647">
                    <w:pPr>
                      <w:rPr>
                        <w:b/>
                        <w:sz w:val="16"/>
                      </w:rPr>
                    </w:pPr>
                  </w:p>
                  <w:p w14:paraId="1DA35BBC" w14:textId="77777777" w:rsidR="00335647" w:rsidRDefault="00335647">
                    <w:pPr>
                      <w:rPr>
                        <w:b/>
                        <w:sz w:val="16"/>
                      </w:rPr>
                    </w:pPr>
                  </w:p>
                  <w:p w14:paraId="1F030B06" w14:textId="77777777" w:rsidR="00335647" w:rsidRDefault="00335647">
                    <w:pPr>
                      <w:rPr>
                        <w:b/>
                        <w:sz w:val="16"/>
                      </w:rPr>
                    </w:pPr>
                    <w:r>
                      <w:rPr>
                        <w:rFonts w:hint="eastAsia"/>
                        <w:b/>
                        <w:sz w:val="20"/>
                      </w:rPr>
                      <w:t>H</w:t>
                    </w:r>
                  </w:p>
                  <w:p w14:paraId="52CAA2D8" w14:textId="77777777" w:rsidR="00335647" w:rsidRDefault="00335647">
                    <w:pPr>
                      <w:rPr>
                        <w:b/>
                        <w:sz w:val="10"/>
                      </w:rPr>
                    </w:pPr>
                  </w:p>
                  <w:p w14:paraId="42D6251D" w14:textId="77777777" w:rsidR="00335647" w:rsidRDefault="00335647">
                    <w:pPr>
                      <w:rPr>
                        <w:b/>
                        <w:sz w:val="16"/>
                      </w:rPr>
                    </w:pPr>
                  </w:p>
                  <w:p w14:paraId="2C5AB1E9" w14:textId="77777777" w:rsidR="00335647" w:rsidRDefault="00335647">
                    <w:pPr>
                      <w:rPr>
                        <w:b/>
                        <w:sz w:val="16"/>
                      </w:rPr>
                    </w:pPr>
                  </w:p>
                  <w:p w14:paraId="2E681276" w14:textId="77777777" w:rsidR="00335647" w:rsidRDefault="00335647">
                    <w:pPr>
                      <w:rPr>
                        <w:b/>
                        <w:sz w:val="16"/>
                      </w:rPr>
                    </w:pPr>
                    <w:r>
                      <w:rPr>
                        <w:rFonts w:hint="eastAsia"/>
                        <w:b/>
                        <w:sz w:val="20"/>
                      </w:rPr>
                      <w:t>I</w:t>
                    </w:r>
                  </w:p>
                  <w:p w14:paraId="6998F209" w14:textId="77777777" w:rsidR="00335647" w:rsidRDefault="00335647">
                    <w:pPr>
                      <w:rPr>
                        <w:b/>
                        <w:sz w:val="10"/>
                      </w:rPr>
                    </w:pPr>
                  </w:p>
                  <w:p w14:paraId="2B8A33D0" w14:textId="77777777" w:rsidR="00335647" w:rsidRDefault="00335647">
                    <w:pPr>
                      <w:rPr>
                        <w:b/>
                        <w:sz w:val="16"/>
                      </w:rPr>
                    </w:pPr>
                  </w:p>
                  <w:p w14:paraId="6FF285A8" w14:textId="77777777" w:rsidR="00335647" w:rsidRDefault="00335647">
                    <w:pPr>
                      <w:rPr>
                        <w:b/>
                        <w:sz w:val="16"/>
                      </w:rPr>
                    </w:pPr>
                  </w:p>
                  <w:p w14:paraId="45FE68BB" w14:textId="77777777" w:rsidR="00335647" w:rsidRDefault="00335647">
                    <w:pPr>
                      <w:rPr>
                        <w:b/>
                        <w:sz w:val="16"/>
                      </w:rPr>
                    </w:pPr>
                    <w:r>
                      <w:rPr>
                        <w:rFonts w:hint="eastAsia"/>
                        <w:b/>
                        <w:sz w:val="20"/>
                      </w:rPr>
                      <w:t>J</w:t>
                    </w:r>
                  </w:p>
                  <w:p w14:paraId="4C049A96" w14:textId="77777777" w:rsidR="00335647" w:rsidRDefault="00335647">
                    <w:pPr>
                      <w:rPr>
                        <w:b/>
                        <w:sz w:val="10"/>
                      </w:rPr>
                    </w:pPr>
                  </w:p>
                  <w:p w14:paraId="67AB3F5C" w14:textId="77777777" w:rsidR="00335647" w:rsidRDefault="00335647">
                    <w:pPr>
                      <w:rPr>
                        <w:b/>
                        <w:sz w:val="16"/>
                      </w:rPr>
                    </w:pPr>
                  </w:p>
                  <w:p w14:paraId="2FAAA894" w14:textId="77777777" w:rsidR="00335647" w:rsidRDefault="00335647">
                    <w:pPr>
                      <w:rPr>
                        <w:b/>
                        <w:sz w:val="16"/>
                      </w:rPr>
                    </w:pPr>
                  </w:p>
                  <w:p w14:paraId="41120EC8" w14:textId="77777777" w:rsidR="00335647" w:rsidRDefault="00335647">
                    <w:pPr>
                      <w:rPr>
                        <w:b/>
                        <w:sz w:val="16"/>
                      </w:rPr>
                    </w:pPr>
                    <w:r>
                      <w:rPr>
                        <w:rFonts w:hint="eastAsia"/>
                        <w:b/>
                        <w:sz w:val="20"/>
                      </w:rPr>
                      <w:t>K</w:t>
                    </w:r>
                  </w:p>
                  <w:p w14:paraId="6CCDE067" w14:textId="77777777" w:rsidR="00335647" w:rsidRDefault="00335647">
                    <w:pPr>
                      <w:rPr>
                        <w:b/>
                        <w:sz w:val="10"/>
                      </w:rPr>
                    </w:pPr>
                  </w:p>
                  <w:p w14:paraId="3126AFC7" w14:textId="77777777" w:rsidR="00335647" w:rsidRDefault="00335647">
                    <w:pPr>
                      <w:rPr>
                        <w:b/>
                        <w:sz w:val="16"/>
                      </w:rPr>
                    </w:pPr>
                  </w:p>
                  <w:p w14:paraId="34322F8C" w14:textId="77777777" w:rsidR="00335647" w:rsidRDefault="00335647">
                    <w:pPr>
                      <w:rPr>
                        <w:b/>
                        <w:sz w:val="16"/>
                      </w:rPr>
                    </w:pPr>
                  </w:p>
                  <w:p w14:paraId="0456E7ED" w14:textId="77777777" w:rsidR="00335647" w:rsidRDefault="00335647">
                    <w:pPr>
                      <w:rPr>
                        <w:b/>
                        <w:sz w:val="16"/>
                      </w:rPr>
                    </w:pPr>
                    <w:r>
                      <w:rPr>
                        <w:rFonts w:hint="eastAsia"/>
                        <w:b/>
                        <w:sz w:val="20"/>
                      </w:rPr>
                      <w:t>L</w:t>
                    </w:r>
                  </w:p>
                  <w:p w14:paraId="150C2F50" w14:textId="77777777" w:rsidR="00335647" w:rsidRDefault="00335647">
                    <w:pPr>
                      <w:rPr>
                        <w:b/>
                        <w:sz w:val="10"/>
                      </w:rPr>
                    </w:pPr>
                  </w:p>
                  <w:p w14:paraId="0F7FDD18" w14:textId="77777777" w:rsidR="00335647" w:rsidRDefault="00335647">
                    <w:pPr>
                      <w:rPr>
                        <w:b/>
                        <w:sz w:val="16"/>
                      </w:rPr>
                    </w:pPr>
                  </w:p>
                  <w:p w14:paraId="37518AB5" w14:textId="77777777" w:rsidR="00335647" w:rsidRDefault="00335647">
                    <w:pPr>
                      <w:rPr>
                        <w:b/>
                        <w:sz w:val="16"/>
                      </w:rPr>
                    </w:pPr>
                  </w:p>
                  <w:p w14:paraId="4E4302F1" w14:textId="77777777" w:rsidR="00335647" w:rsidRDefault="00335647">
                    <w:pPr>
                      <w:rPr>
                        <w:b/>
                        <w:sz w:val="16"/>
                      </w:rPr>
                    </w:pPr>
                    <w:r>
                      <w:rPr>
                        <w:rFonts w:hint="eastAsia"/>
                        <w:b/>
                        <w:sz w:val="20"/>
                      </w:rPr>
                      <w:t>M</w:t>
                    </w:r>
                  </w:p>
                  <w:p w14:paraId="7BD4B26F" w14:textId="77777777" w:rsidR="00335647" w:rsidRDefault="00335647">
                    <w:pPr>
                      <w:rPr>
                        <w:b/>
                        <w:sz w:val="10"/>
                      </w:rPr>
                    </w:pPr>
                  </w:p>
                  <w:p w14:paraId="29CE5931" w14:textId="77777777" w:rsidR="00335647" w:rsidRDefault="00335647">
                    <w:pPr>
                      <w:rPr>
                        <w:b/>
                        <w:sz w:val="16"/>
                      </w:rPr>
                    </w:pPr>
                  </w:p>
                  <w:p w14:paraId="6C4072DB" w14:textId="77777777" w:rsidR="00335647" w:rsidRDefault="00335647">
                    <w:pPr>
                      <w:rPr>
                        <w:b/>
                        <w:sz w:val="16"/>
                      </w:rPr>
                    </w:pPr>
                  </w:p>
                  <w:p w14:paraId="7F833563" w14:textId="77777777" w:rsidR="00335647" w:rsidRDefault="00335647">
                    <w:pPr>
                      <w:rPr>
                        <w:b/>
                        <w:sz w:val="16"/>
                      </w:rPr>
                    </w:pPr>
                    <w:r>
                      <w:rPr>
                        <w:rFonts w:hint="eastAsia"/>
                        <w:b/>
                        <w:sz w:val="20"/>
                      </w:rPr>
                      <w:t>N</w:t>
                    </w:r>
                  </w:p>
                  <w:p w14:paraId="67A424A7" w14:textId="77777777" w:rsidR="00335647" w:rsidRDefault="00335647">
                    <w:pPr>
                      <w:rPr>
                        <w:b/>
                        <w:sz w:val="10"/>
                      </w:rPr>
                    </w:pPr>
                  </w:p>
                  <w:p w14:paraId="1F1F0717" w14:textId="77777777" w:rsidR="00335647" w:rsidRDefault="00335647">
                    <w:pPr>
                      <w:rPr>
                        <w:b/>
                        <w:sz w:val="16"/>
                      </w:rPr>
                    </w:pPr>
                  </w:p>
                  <w:p w14:paraId="045FD0D4" w14:textId="77777777" w:rsidR="00335647" w:rsidRDefault="00335647">
                    <w:pPr>
                      <w:rPr>
                        <w:b/>
                        <w:sz w:val="16"/>
                      </w:rPr>
                    </w:pPr>
                  </w:p>
                  <w:p w14:paraId="6ADB15D4" w14:textId="77777777" w:rsidR="00335647" w:rsidRDefault="00335647">
                    <w:pPr>
                      <w:rPr>
                        <w:b/>
                        <w:sz w:val="16"/>
                      </w:rPr>
                    </w:pPr>
                    <w:r>
                      <w:rPr>
                        <w:rFonts w:hint="eastAsia"/>
                        <w:b/>
                        <w:sz w:val="20"/>
                      </w:rPr>
                      <w:t>O</w:t>
                    </w:r>
                  </w:p>
                  <w:p w14:paraId="71E1446C" w14:textId="77777777" w:rsidR="00335647" w:rsidRDefault="00335647">
                    <w:pPr>
                      <w:rPr>
                        <w:b/>
                        <w:sz w:val="10"/>
                      </w:rPr>
                    </w:pPr>
                  </w:p>
                  <w:p w14:paraId="6A0ADE57" w14:textId="77777777" w:rsidR="00335647" w:rsidRDefault="00335647">
                    <w:pPr>
                      <w:rPr>
                        <w:b/>
                        <w:sz w:val="16"/>
                      </w:rPr>
                    </w:pPr>
                  </w:p>
                  <w:p w14:paraId="3E009A3B" w14:textId="77777777" w:rsidR="00335647" w:rsidRDefault="00335647">
                    <w:pPr>
                      <w:rPr>
                        <w:b/>
                        <w:sz w:val="16"/>
                      </w:rPr>
                    </w:pPr>
                  </w:p>
                  <w:p w14:paraId="38298F1E" w14:textId="77777777" w:rsidR="00335647" w:rsidRDefault="00335647">
                    <w:pPr>
                      <w:rPr>
                        <w:b/>
                        <w:sz w:val="16"/>
                      </w:rPr>
                    </w:pPr>
                    <w:r>
                      <w:rPr>
                        <w:rFonts w:hint="eastAsia"/>
                        <w:b/>
                        <w:sz w:val="20"/>
                      </w:rPr>
                      <w:t>P</w:t>
                    </w:r>
                  </w:p>
                  <w:p w14:paraId="2D6448E4" w14:textId="77777777" w:rsidR="00335647" w:rsidRDefault="00335647">
                    <w:pPr>
                      <w:rPr>
                        <w:b/>
                        <w:sz w:val="10"/>
                      </w:rPr>
                    </w:pPr>
                  </w:p>
                  <w:p w14:paraId="7B4D283E" w14:textId="77777777" w:rsidR="00335647" w:rsidRDefault="00335647">
                    <w:pPr>
                      <w:rPr>
                        <w:b/>
                        <w:sz w:val="16"/>
                      </w:rPr>
                    </w:pPr>
                  </w:p>
                  <w:p w14:paraId="5A0DD56C" w14:textId="77777777" w:rsidR="00335647" w:rsidRDefault="00335647">
                    <w:pPr>
                      <w:rPr>
                        <w:b/>
                        <w:sz w:val="16"/>
                      </w:rPr>
                    </w:pPr>
                  </w:p>
                  <w:p w14:paraId="5FC176A9" w14:textId="77777777" w:rsidR="00335647" w:rsidRDefault="00335647">
                    <w:pPr>
                      <w:rPr>
                        <w:b/>
                        <w:sz w:val="16"/>
                      </w:rPr>
                    </w:pPr>
                    <w:r>
                      <w:rPr>
                        <w:rFonts w:hint="eastAsia"/>
                        <w:b/>
                        <w:sz w:val="20"/>
                      </w:rPr>
                      <w:t>Q</w:t>
                    </w:r>
                  </w:p>
                  <w:p w14:paraId="1BF216DA" w14:textId="77777777" w:rsidR="00335647" w:rsidRDefault="00335647">
                    <w:pPr>
                      <w:rPr>
                        <w:b/>
                        <w:sz w:val="10"/>
                      </w:rPr>
                    </w:pPr>
                  </w:p>
                  <w:p w14:paraId="31635A6D" w14:textId="77777777" w:rsidR="00335647" w:rsidRDefault="00335647">
                    <w:pPr>
                      <w:rPr>
                        <w:b/>
                        <w:sz w:val="16"/>
                      </w:rPr>
                    </w:pPr>
                  </w:p>
                  <w:p w14:paraId="4B90C809" w14:textId="77777777" w:rsidR="00335647" w:rsidRDefault="00335647">
                    <w:pPr>
                      <w:rPr>
                        <w:b/>
                        <w:sz w:val="16"/>
                      </w:rPr>
                    </w:pPr>
                  </w:p>
                  <w:p w14:paraId="0C56E334" w14:textId="77777777" w:rsidR="00335647" w:rsidRDefault="00335647">
                    <w:pPr>
                      <w:rPr>
                        <w:b/>
                        <w:sz w:val="16"/>
                      </w:rPr>
                    </w:pPr>
                    <w:r>
                      <w:rPr>
                        <w:rFonts w:hint="eastAsia"/>
                        <w:b/>
                        <w:sz w:val="20"/>
                      </w:rPr>
                      <w:t>R</w:t>
                    </w:r>
                  </w:p>
                  <w:p w14:paraId="7C5704E0" w14:textId="77777777" w:rsidR="00335647" w:rsidRDefault="00335647">
                    <w:pPr>
                      <w:rPr>
                        <w:b/>
                        <w:sz w:val="10"/>
                      </w:rPr>
                    </w:pPr>
                  </w:p>
                  <w:p w14:paraId="3162EE0D" w14:textId="77777777" w:rsidR="00335647" w:rsidRDefault="00335647">
                    <w:pPr>
                      <w:rPr>
                        <w:b/>
                        <w:sz w:val="16"/>
                      </w:rPr>
                    </w:pPr>
                  </w:p>
                  <w:p w14:paraId="3B53391F" w14:textId="77777777" w:rsidR="00335647" w:rsidRDefault="00335647">
                    <w:pPr>
                      <w:rPr>
                        <w:b/>
                        <w:sz w:val="16"/>
                      </w:rPr>
                    </w:pPr>
                  </w:p>
                  <w:p w14:paraId="02C33049" w14:textId="77777777" w:rsidR="00335647" w:rsidRDefault="00335647">
                    <w:pPr>
                      <w:rPr>
                        <w:b/>
                        <w:sz w:val="16"/>
                      </w:rPr>
                    </w:pPr>
                    <w:r>
                      <w:rPr>
                        <w:rFonts w:hint="eastAsia"/>
                        <w:b/>
                        <w:sz w:val="20"/>
                      </w:rPr>
                      <w:t>S</w:t>
                    </w:r>
                  </w:p>
                  <w:p w14:paraId="152001B7" w14:textId="77777777" w:rsidR="00335647" w:rsidRDefault="00335647">
                    <w:pPr>
                      <w:rPr>
                        <w:b/>
                        <w:sz w:val="10"/>
                      </w:rPr>
                    </w:pPr>
                  </w:p>
                  <w:p w14:paraId="07EE8EDF" w14:textId="77777777" w:rsidR="00335647" w:rsidRDefault="00335647">
                    <w:pPr>
                      <w:rPr>
                        <w:b/>
                        <w:sz w:val="16"/>
                      </w:rPr>
                    </w:pPr>
                  </w:p>
                  <w:p w14:paraId="65EBACC5" w14:textId="77777777" w:rsidR="00335647" w:rsidRDefault="00335647">
                    <w:pPr>
                      <w:rPr>
                        <w:b/>
                        <w:sz w:val="16"/>
                      </w:rPr>
                    </w:pPr>
                  </w:p>
                  <w:p w14:paraId="1D4FDE68" w14:textId="77777777" w:rsidR="00335647" w:rsidRDefault="00335647">
                    <w:pPr>
                      <w:rPr>
                        <w:b/>
                        <w:sz w:val="16"/>
                      </w:rPr>
                    </w:pPr>
                    <w:r>
                      <w:rPr>
                        <w:rFonts w:hint="eastAsia"/>
                        <w:b/>
                        <w:sz w:val="20"/>
                      </w:rPr>
                      <w:t>T</w:t>
                    </w:r>
                  </w:p>
                  <w:p w14:paraId="1C13F148" w14:textId="77777777" w:rsidR="00335647" w:rsidRDefault="00335647">
                    <w:pPr>
                      <w:rPr>
                        <w:b/>
                        <w:sz w:val="10"/>
                      </w:rPr>
                    </w:pPr>
                  </w:p>
                  <w:p w14:paraId="441C2528" w14:textId="77777777" w:rsidR="00335647" w:rsidRDefault="00335647">
                    <w:pPr>
                      <w:rPr>
                        <w:b/>
                        <w:sz w:val="16"/>
                      </w:rPr>
                    </w:pPr>
                  </w:p>
                  <w:p w14:paraId="06CA4CBF" w14:textId="77777777" w:rsidR="00335647" w:rsidRDefault="00335647">
                    <w:pPr>
                      <w:rPr>
                        <w:b/>
                        <w:sz w:val="16"/>
                      </w:rPr>
                    </w:pPr>
                  </w:p>
                  <w:p w14:paraId="19EEED5E" w14:textId="77777777" w:rsidR="00335647" w:rsidRDefault="00335647">
                    <w:pPr>
                      <w:rPr>
                        <w:b/>
                        <w:sz w:val="16"/>
                      </w:rPr>
                    </w:pPr>
                    <w:r>
                      <w:rPr>
                        <w:rFonts w:hint="eastAsia"/>
                        <w:b/>
                        <w:sz w:val="20"/>
                      </w:rPr>
                      <w:t>U</w:t>
                    </w:r>
                  </w:p>
                  <w:p w14:paraId="7E14E88A" w14:textId="77777777" w:rsidR="00335647" w:rsidRDefault="00335647">
                    <w:pPr>
                      <w:rPr>
                        <w:b/>
                        <w:sz w:val="10"/>
                      </w:rPr>
                    </w:pPr>
                  </w:p>
                  <w:p w14:paraId="0329FB96" w14:textId="77777777" w:rsidR="00335647" w:rsidRDefault="00335647">
                    <w:pPr>
                      <w:rPr>
                        <w:b/>
                        <w:sz w:val="16"/>
                      </w:rPr>
                    </w:pPr>
                  </w:p>
                  <w:p w14:paraId="7CA549EF" w14:textId="77777777" w:rsidR="00335647" w:rsidRDefault="00335647">
                    <w:pPr>
                      <w:rPr>
                        <w:b/>
                        <w:sz w:val="16"/>
                      </w:rPr>
                    </w:pPr>
                  </w:p>
                  <w:p w14:paraId="6C12489D" w14:textId="77777777" w:rsidR="00335647" w:rsidRDefault="00335647">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4A1D8B8D" wp14:editId="6A7F8BAB">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2F912E" w14:textId="77777777" w:rsidR="00335647" w:rsidRDefault="00335647">
                          <w:pPr>
                            <w:rPr>
                              <w:b/>
                              <w:sz w:val="20"/>
                            </w:rPr>
                          </w:pPr>
                          <w:r>
                            <w:rPr>
                              <w:rFonts w:hint="eastAsia"/>
                              <w:b/>
                              <w:sz w:val="20"/>
                            </w:rPr>
                            <w:t>A</w:t>
                          </w:r>
                        </w:p>
                        <w:p w14:paraId="5FE193A3" w14:textId="77777777" w:rsidR="00335647" w:rsidRDefault="00335647">
                          <w:pPr>
                            <w:rPr>
                              <w:b/>
                              <w:sz w:val="10"/>
                            </w:rPr>
                          </w:pPr>
                        </w:p>
                        <w:p w14:paraId="6BE9ACDA" w14:textId="77777777" w:rsidR="00335647" w:rsidRDefault="00335647">
                          <w:pPr>
                            <w:rPr>
                              <w:b/>
                              <w:sz w:val="16"/>
                            </w:rPr>
                          </w:pPr>
                        </w:p>
                        <w:p w14:paraId="7E9922D3" w14:textId="77777777" w:rsidR="00335647" w:rsidRDefault="00335647">
                          <w:pPr>
                            <w:rPr>
                              <w:b/>
                              <w:sz w:val="16"/>
                            </w:rPr>
                          </w:pPr>
                        </w:p>
                        <w:p w14:paraId="53D9EDC4" w14:textId="77777777" w:rsidR="00335647" w:rsidRDefault="00335647">
                          <w:pPr>
                            <w:rPr>
                              <w:b/>
                              <w:sz w:val="20"/>
                            </w:rPr>
                          </w:pPr>
                          <w:r>
                            <w:rPr>
                              <w:rFonts w:hint="eastAsia"/>
                              <w:b/>
                              <w:sz w:val="20"/>
                            </w:rPr>
                            <w:t>B</w:t>
                          </w:r>
                        </w:p>
                        <w:p w14:paraId="6A834E71" w14:textId="77777777" w:rsidR="00335647" w:rsidRDefault="00335647">
                          <w:pPr>
                            <w:rPr>
                              <w:b/>
                              <w:sz w:val="10"/>
                            </w:rPr>
                          </w:pPr>
                        </w:p>
                        <w:p w14:paraId="4A6547E0" w14:textId="77777777" w:rsidR="00335647" w:rsidRDefault="00335647">
                          <w:pPr>
                            <w:rPr>
                              <w:b/>
                              <w:sz w:val="16"/>
                            </w:rPr>
                          </w:pPr>
                        </w:p>
                        <w:p w14:paraId="2A833BC3" w14:textId="77777777" w:rsidR="00335647" w:rsidRDefault="00335647">
                          <w:pPr>
                            <w:rPr>
                              <w:b/>
                              <w:sz w:val="16"/>
                            </w:rPr>
                          </w:pPr>
                        </w:p>
                        <w:p w14:paraId="07986416" w14:textId="77777777" w:rsidR="00335647" w:rsidRDefault="00335647">
                          <w:pPr>
                            <w:rPr>
                              <w:b/>
                              <w:sz w:val="16"/>
                            </w:rPr>
                          </w:pPr>
                          <w:r>
                            <w:rPr>
                              <w:rFonts w:hint="eastAsia"/>
                              <w:b/>
                              <w:sz w:val="20"/>
                            </w:rPr>
                            <w:t>C</w:t>
                          </w:r>
                        </w:p>
                        <w:p w14:paraId="7C4454F7" w14:textId="77777777" w:rsidR="00335647" w:rsidRDefault="00335647">
                          <w:pPr>
                            <w:rPr>
                              <w:b/>
                              <w:sz w:val="10"/>
                            </w:rPr>
                          </w:pPr>
                        </w:p>
                        <w:p w14:paraId="647C71AD" w14:textId="77777777" w:rsidR="00335647" w:rsidRDefault="00335647">
                          <w:pPr>
                            <w:rPr>
                              <w:b/>
                              <w:sz w:val="16"/>
                            </w:rPr>
                          </w:pPr>
                        </w:p>
                        <w:p w14:paraId="1521F40F" w14:textId="77777777" w:rsidR="00335647" w:rsidRDefault="00335647">
                          <w:pPr>
                            <w:rPr>
                              <w:b/>
                              <w:sz w:val="16"/>
                            </w:rPr>
                          </w:pPr>
                        </w:p>
                        <w:p w14:paraId="529CA0BD" w14:textId="77777777" w:rsidR="00335647" w:rsidRDefault="00335647">
                          <w:pPr>
                            <w:pStyle w:val="Heading2"/>
                            <w:rPr>
                              <w:sz w:val="16"/>
                            </w:rPr>
                          </w:pPr>
                          <w:r>
                            <w:rPr>
                              <w:rFonts w:hint="eastAsia"/>
                            </w:rPr>
                            <w:t>D</w:t>
                          </w:r>
                        </w:p>
                        <w:p w14:paraId="5DCF62D4" w14:textId="77777777" w:rsidR="00335647" w:rsidRDefault="00335647">
                          <w:pPr>
                            <w:rPr>
                              <w:b/>
                              <w:sz w:val="10"/>
                            </w:rPr>
                          </w:pPr>
                        </w:p>
                        <w:p w14:paraId="780F35A1" w14:textId="77777777" w:rsidR="00335647" w:rsidRDefault="00335647">
                          <w:pPr>
                            <w:rPr>
                              <w:b/>
                              <w:sz w:val="16"/>
                            </w:rPr>
                          </w:pPr>
                        </w:p>
                        <w:p w14:paraId="7A8960CA" w14:textId="77777777" w:rsidR="00335647" w:rsidRDefault="00335647">
                          <w:pPr>
                            <w:rPr>
                              <w:b/>
                              <w:sz w:val="16"/>
                            </w:rPr>
                          </w:pPr>
                        </w:p>
                        <w:p w14:paraId="0353169A" w14:textId="77777777" w:rsidR="00335647" w:rsidRDefault="00335647">
                          <w:pPr>
                            <w:rPr>
                              <w:b/>
                              <w:sz w:val="16"/>
                            </w:rPr>
                          </w:pPr>
                          <w:r>
                            <w:rPr>
                              <w:rFonts w:hint="eastAsia"/>
                              <w:b/>
                              <w:sz w:val="20"/>
                            </w:rPr>
                            <w:t>E</w:t>
                          </w:r>
                        </w:p>
                        <w:p w14:paraId="2596D71B" w14:textId="77777777" w:rsidR="00335647" w:rsidRDefault="00335647">
                          <w:pPr>
                            <w:rPr>
                              <w:b/>
                              <w:sz w:val="10"/>
                            </w:rPr>
                          </w:pPr>
                        </w:p>
                        <w:p w14:paraId="26C6F364" w14:textId="77777777" w:rsidR="00335647" w:rsidRDefault="00335647">
                          <w:pPr>
                            <w:rPr>
                              <w:b/>
                              <w:sz w:val="16"/>
                            </w:rPr>
                          </w:pPr>
                        </w:p>
                        <w:p w14:paraId="3973FFDF" w14:textId="77777777" w:rsidR="00335647" w:rsidRDefault="00335647">
                          <w:pPr>
                            <w:rPr>
                              <w:b/>
                              <w:sz w:val="16"/>
                            </w:rPr>
                          </w:pPr>
                        </w:p>
                        <w:p w14:paraId="322BDEDC" w14:textId="77777777" w:rsidR="00335647" w:rsidRDefault="00335647">
                          <w:pPr>
                            <w:rPr>
                              <w:b/>
                              <w:sz w:val="20"/>
                            </w:rPr>
                          </w:pPr>
                          <w:r>
                            <w:rPr>
                              <w:rFonts w:hint="eastAsia"/>
                              <w:b/>
                              <w:sz w:val="20"/>
                            </w:rPr>
                            <w:t>F</w:t>
                          </w:r>
                        </w:p>
                        <w:p w14:paraId="58117763" w14:textId="77777777" w:rsidR="00335647" w:rsidRDefault="00335647">
                          <w:pPr>
                            <w:rPr>
                              <w:b/>
                              <w:sz w:val="10"/>
                            </w:rPr>
                          </w:pPr>
                        </w:p>
                        <w:p w14:paraId="311DE629" w14:textId="77777777" w:rsidR="00335647" w:rsidRDefault="00335647">
                          <w:pPr>
                            <w:rPr>
                              <w:b/>
                              <w:sz w:val="16"/>
                            </w:rPr>
                          </w:pPr>
                        </w:p>
                        <w:p w14:paraId="63137A86" w14:textId="77777777" w:rsidR="00335647" w:rsidRDefault="00335647">
                          <w:pPr>
                            <w:rPr>
                              <w:b/>
                              <w:sz w:val="16"/>
                            </w:rPr>
                          </w:pPr>
                        </w:p>
                        <w:p w14:paraId="7D505964" w14:textId="77777777" w:rsidR="00335647" w:rsidRDefault="00335647">
                          <w:pPr>
                            <w:rPr>
                              <w:b/>
                              <w:sz w:val="16"/>
                            </w:rPr>
                          </w:pPr>
                          <w:r>
                            <w:rPr>
                              <w:rFonts w:hint="eastAsia"/>
                              <w:b/>
                              <w:sz w:val="20"/>
                            </w:rPr>
                            <w:t>G</w:t>
                          </w:r>
                        </w:p>
                        <w:p w14:paraId="0E82550E" w14:textId="77777777" w:rsidR="00335647" w:rsidRDefault="00335647">
                          <w:pPr>
                            <w:rPr>
                              <w:b/>
                              <w:sz w:val="10"/>
                            </w:rPr>
                          </w:pPr>
                        </w:p>
                        <w:p w14:paraId="3905BA26" w14:textId="77777777" w:rsidR="00335647" w:rsidRDefault="00335647">
                          <w:pPr>
                            <w:rPr>
                              <w:b/>
                              <w:sz w:val="16"/>
                            </w:rPr>
                          </w:pPr>
                        </w:p>
                        <w:p w14:paraId="2BC32942" w14:textId="77777777" w:rsidR="00335647" w:rsidRDefault="00335647">
                          <w:pPr>
                            <w:rPr>
                              <w:b/>
                              <w:sz w:val="16"/>
                            </w:rPr>
                          </w:pPr>
                        </w:p>
                        <w:p w14:paraId="7912A091" w14:textId="77777777" w:rsidR="00335647" w:rsidRDefault="00335647">
                          <w:pPr>
                            <w:rPr>
                              <w:b/>
                              <w:sz w:val="16"/>
                            </w:rPr>
                          </w:pPr>
                          <w:r>
                            <w:rPr>
                              <w:rFonts w:hint="eastAsia"/>
                              <w:b/>
                              <w:sz w:val="20"/>
                            </w:rPr>
                            <w:t>H</w:t>
                          </w:r>
                        </w:p>
                        <w:p w14:paraId="5AA6C17A" w14:textId="77777777" w:rsidR="00335647" w:rsidRDefault="00335647">
                          <w:pPr>
                            <w:rPr>
                              <w:b/>
                              <w:sz w:val="10"/>
                            </w:rPr>
                          </w:pPr>
                        </w:p>
                        <w:p w14:paraId="4A594740" w14:textId="77777777" w:rsidR="00335647" w:rsidRDefault="00335647">
                          <w:pPr>
                            <w:rPr>
                              <w:b/>
                              <w:sz w:val="16"/>
                            </w:rPr>
                          </w:pPr>
                        </w:p>
                        <w:p w14:paraId="5E0F4B99" w14:textId="77777777" w:rsidR="00335647" w:rsidRDefault="00335647">
                          <w:pPr>
                            <w:rPr>
                              <w:b/>
                              <w:sz w:val="16"/>
                            </w:rPr>
                          </w:pPr>
                        </w:p>
                        <w:p w14:paraId="0BD41543" w14:textId="77777777" w:rsidR="00335647" w:rsidRDefault="00335647">
                          <w:pPr>
                            <w:rPr>
                              <w:b/>
                              <w:sz w:val="16"/>
                            </w:rPr>
                          </w:pPr>
                          <w:r>
                            <w:rPr>
                              <w:rFonts w:hint="eastAsia"/>
                              <w:b/>
                              <w:sz w:val="20"/>
                            </w:rPr>
                            <w:t>I</w:t>
                          </w:r>
                        </w:p>
                        <w:p w14:paraId="6240554C" w14:textId="77777777" w:rsidR="00335647" w:rsidRDefault="00335647">
                          <w:pPr>
                            <w:rPr>
                              <w:b/>
                              <w:sz w:val="10"/>
                            </w:rPr>
                          </w:pPr>
                        </w:p>
                        <w:p w14:paraId="59153A05" w14:textId="77777777" w:rsidR="00335647" w:rsidRDefault="00335647">
                          <w:pPr>
                            <w:rPr>
                              <w:b/>
                              <w:sz w:val="16"/>
                            </w:rPr>
                          </w:pPr>
                        </w:p>
                        <w:p w14:paraId="1E5FC3DC" w14:textId="77777777" w:rsidR="00335647" w:rsidRDefault="00335647">
                          <w:pPr>
                            <w:rPr>
                              <w:b/>
                              <w:sz w:val="16"/>
                            </w:rPr>
                          </w:pPr>
                        </w:p>
                        <w:p w14:paraId="5AE993EE" w14:textId="77777777" w:rsidR="00335647" w:rsidRDefault="00335647">
                          <w:pPr>
                            <w:rPr>
                              <w:b/>
                              <w:sz w:val="16"/>
                            </w:rPr>
                          </w:pPr>
                          <w:r>
                            <w:rPr>
                              <w:rFonts w:hint="eastAsia"/>
                              <w:b/>
                              <w:sz w:val="20"/>
                            </w:rPr>
                            <w:t>J</w:t>
                          </w:r>
                        </w:p>
                        <w:p w14:paraId="4DDCF677" w14:textId="77777777" w:rsidR="00335647" w:rsidRDefault="00335647">
                          <w:pPr>
                            <w:rPr>
                              <w:b/>
                              <w:sz w:val="10"/>
                            </w:rPr>
                          </w:pPr>
                        </w:p>
                        <w:p w14:paraId="30E80760" w14:textId="77777777" w:rsidR="00335647" w:rsidRDefault="00335647">
                          <w:pPr>
                            <w:rPr>
                              <w:b/>
                              <w:sz w:val="16"/>
                            </w:rPr>
                          </w:pPr>
                        </w:p>
                        <w:p w14:paraId="506FC70A" w14:textId="77777777" w:rsidR="00335647" w:rsidRDefault="00335647">
                          <w:pPr>
                            <w:rPr>
                              <w:b/>
                              <w:sz w:val="16"/>
                            </w:rPr>
                          </w:pPr>
                        </w:p>
                        <w:p w14:paraId="6B33AA50" w14:textId="77777777" w:rsidR="00335647" w:rsidRDefault="00335647">
                          <w:pPr>
                            <w:rPr>
                              <w:b/>
                              <w:sz w:val="16"/>
                            </w:rPr>
                          </w:pPr>
                          <w:r>
                            <w:rPr>
                              <w:rFonts w:hint="eastAsia"/>
                              <w:b/>
                              <w:sz w:val="20"/>
                            </w:rPr>
                            <w:t>K</w:t>
                          </w:r>
                        </w:p>
                        <w:p w14:paraId="3819BD8B" w14:textId="77777777" w:rsidR="00335647" w:rsidRDefault="00335647">
                          <w:pPr>
                            <w:rPr>
                              <w:b/>
                              <w:sz w:val="10"/>
                            </w:rPr>
                          </w:pPr>
                        </w:p>
                        <w:p w14:paraId="4E894859" w14:textId="77777777" w:rsidR="00335647" w:rsidRDefault="00335647">
                          <w:pPr>
                            <w:rPr>
                              <w:b/>
                              <w:sz w:val="16"/>
                            </w:rPr>
                          </w:pPr>
                        </w:p>
                        <w:p w14:paraId="03A969C9" w14:textId="77777777" w:rsidR="00335647" w:rsidRDefault="00335647">
                          <w:pPr>
                            <w:rPr>
                              <w:b/>
                              <w:sz w:val="16"/>
                            </w:rPr>
                          </w:pPr>
                        </w:p>
                        <w:p w14:paraId="154BE344" w14:textId="77777777" w:rsidR="00335647" w:rsidRDefault="00335647">
                          <w:pPr>
                            <w:rPr>
                              <w:b/>
                              <w:sz w:val="16"/>
                            </w:rPr>
                          </w:pPr>
                          <w:r>
                            <w:rPr>
                              <w:rFonts w:hint="eastAsia"/>
                              <w:b/>
                              <w:sz w:val="20"/>
                            </w:rPr>
                            <w:t>L</w:t>
                          </w:r>
                        </w:p>
                        <w:p w14:paraId="1B5A77BB" w14:textId="77777777" w:rsidR="00335647" w:rsidRDefault="00335647">
                          <w:pPr>
                            <w:rPr>
                              <w:b/>
                              <w:sz w:val="10"/>
                            </w:rPr>
                          </w:pPr>
                        </w:p>
                        <w:p w14:paraId="78AFF41B" w14:textId="77777777" w:rsidR="00335647" w:rsidRDefault="00335647">
                          <w:pPr>
                            <w:rPr>
                              <w:b/>
                              <w:sz w:val="16"/>
                            </w:rPr>
                          </w:pPr>
                        </w:p>
                        <w:p w14:paraId="1134B256" w14:textId="77777777" w:rsidR="00335647" w:rsidRDefault="00335647">
                          <w:pPr>
                            <w:rPr>
                              <w:b/>
                              <w:sz w:val="16"/>
                            </w:rPr>
                          </w:pPr>
                        </w:p>
                        <w:p w14:paraId="2DAA50E7" w14:textId="77777777" w:rsidR="00335647" w:rsidRDefault="00335647">
                          <w:pPr>
                            <w:rPr>
                              <w:b/>
                              <w:sz w:val="16"/>
                            </w:rPr>
                          </w:pPr>
                          <w:r>
                            <w:rPr>
                              <w:rFonts w:hint="eastAsia"/>
                              <w:b/>
                              <w:sz w:val="20"/>
                            </w:rPr>
                            <w:t>M</w:t>
                          </w:r>
                        </w:p>
                        <w:p w14:paraId="79EE8894" w14:textId="77777777" w:rsidR="00335647" w:rsidRDefault="00335647">
                          <w:pPr>
                            <w:rPr>
                              <w:b/>
                              <w:sz w:val="10"/>
                            </w:rPr>
                          </w:pPr>
                        </w:p>
                        <w:p w14:paraId="4EFA8DBA" w14:textId="77777777" w:rsidR="00335647" w:rsidRDefault="00335647">
                          <w:pPr>
                            <w:rPr>
                              <w:b/>
                              <w:sz w:val="16"/>
                            </w:rPr>
                          </w:pPr>
                        </w:p>
                        <w:p w14:paraId="7D1BEB10" w14:textId="77777777" w:rsidR="00335647" w:rsidRDefault="00335647">
                          <w:pPr>
                            <w:rPr>
                              <w:b/>
                              <w:sz w:val="16"/>
                            </w:rPr>
                          </w:pPr>
                        </w:p>
                        <w:p w14:paraId="3315C47E" w14:textId="77777777" w:rsidR="00335647" w:rsidRDefault="00335647">
                          <w:pPr>
                            <w:rPr>
                              <w:b/>
                              <w:sz w:val="16"/>
                            </w:rPr>
                          </w:pPr>
                          <w:r>
                            <w:rPr>
                              <w:rFonts w:hint="eastAsia"/>
                              <w:b/>
                              <w:sz w:val="20"/>
                            </w:rPr>
                            <w:t>N</w:t>
                          </w:r>
                        </w:p>
                        <w:p w14:paraId="651FDD07" w14:textId="77777777" w:rsidR="00335647" w:rsidRDefault="00335647">
                          <w:pPr>
                            <w:rPr>
                              <w:b/>
                              <w:sz w:val="10"/>
                            </w:rPr>
                          </w:pPr>
                        </w:p>
                        <w:p w14:paraId="126F4BC8" w14:textId="77777777" w:rsidR="00335647" w:rsidRDefault="00335647">
                          <w:pPr>
                            <w:rPr>
                              <w:b/>
                              <w:sz w:val="16"/>
                            </w:rPr>
                          </w:pPr>
                        </w:p>
                        <w:p w14:paraId="52BB0342" w14:textId="77777777" w:rsidR="00335647" w:rsidRDefault="00335647">
                          <w:pPr>
                            <w:rPr>
                              <w:b/>
                              <w:sz w:val="16"/>
                            </w:rPr>
                          </w:pPr>
                        </w:p>
                        <w:p w14:paraId="6B78DF61" w14:textId="77777777" w:rsidR="00335647" w:rsidRDefault="00335647">
                          <w:pPr>
                            <w:rPr>
                              <w:b/>
                              <w:sz w:val="16"/>
                            </w:rPr>
                          </w:pPr>
                          <w:r>
                            <w:rPr>
                              <w:rFonts w:hint="eastAsia"/>
                              <w:b/>
                              <w:sz w:val="20"/>
                            </w:rPr>
                            <w:t>O</w:t>
                          </w:r>
                        </w:p>
                        <w:p w14:paraId="171E755E" w14:textId="77777777" w:rsidR="00335647" w:rsidRDefault="00335647">
                          <w:pPr>
                            <w:rPr>
                              <w:b/>
                              <w:sz w:val="10"/>
                            </w:rPr>
                          </w:pPr>
                        </w:p>
                        <w:p w14:paraId="068944A2" w14:textId="77777777" w:rsidR="00335647" w:rsidRDefault="00335647">
                          <w:pPr>
                            <w:rPr>
                              <w:b/>
                              <w:sz w:val="16"/>
                            </w:rPr>
                          </w:pPr>
                        </w:p>
                        <w:p w14:paraId="5B1AB824" w14:textId="77777777" w:rsidR="00335647" w:rsidRDefault="00335647">
                          <w:pPr>
                            <w:rPr>
                              <w:b/>
                              <w:sz w:val="16"/>
                            </w:rPr>
                          </w:pPr>
                        </w:p>
                        <w:p w14:paraId="2B172D3F" w14:textId="77777777" w:rsidR="00335647" w:rsidRDefault="00335647">
                          <w:pPr>
                            <w:rPr>
                              <w:b/>
                              <w:sz w:val="16"/>
                            </w:rPr>
                          </w:pPr>
                          <w:r>
                            <w:rPr>
                              <w:rFonts w:hint="eastAsia"/>
                              <w:b/>
                              <w:sz w:val="20"/>
                            </w:rPr>
                            <w:t>P</w:t>
                          </w:r>
                        </w:p>
                        <w:p w14:paraId="332FA081" w14:textId="77777777" w:rsidR="00335647" w:rsidRDefault="00335647">
                          <w:pPr>
                            <w:rPr>
                              <w:b/>
                              <w:sz w:val="10"/>
                            </w:rPr>
                          </w:pPr>
                        </w:p>
                        <w:p w14:paraId="452D4DCE" w14:textId="77777777" w:rsidR="00335647" w:rsidRDefault="00335647">
                          <w:pPr>
                            <w:rPr>
                              <w:b/>
                              <w:sz w:val="16"/>
                            </w:rPr>
                          </w:pPr>
                        </w:p>
                        <w:p w14:paraId="760EA29D" w14:textId="77777777" w:rsidR="00335647" w:rsidRDefault="00335647">
                          <w:pPr>
                            <w:rPr>
                              <w:b/>
                              <w:sz w:val="16"/>
                            </w:rPr>
                          </w:pPr>
                        </w:p>
                        <w:p w14:paraId="2A814584" w14:textId="77777777" w:rsidR="00335647" w:rsidRDefault="00335647">
                          <w:pPr>
                            <w:rPr>
                              <w:b/>
                              <w:sz w:val="16"/>
                            </w:rPr>
                          </w:pPr>
                          <w:r>
                            <w:rPr>
                              <w:rFonts w:hint="eastAsia"/>
                              <w:b/>
                              <w:sz w:val="20"/>
                            </w:rPr>
                            <w:t>Q</w:t>
                          </w:r>
                        </w:p>
                        <w:p w14:paraId="3C54A2C2" w14:textId="77777777" w:rsidR="00335647" w:rsidRDefault="00335647">
                          <w:pPr>
                            <w:rPr>
                              <w:b/>
                              <w:sz w:val="10"/>
                            </w:rPr>
                          </w:pPr>
                        </w:p>
                        <w:p w14:paraId="15F4C319" w14:textId="77777777" w:rsidR="00335647" w:rsidRDefault="00335647">
                          <w:pPr>
                            <w:rPr>
                              <w:b/>
                              <w:sz w:val="16"/>
                            </w:rPr>
                          </w:pPr>
                        </w:p>
                        <w:p w14:paraId="69ED48A8" w14:textId="77777777" w:rsidR="00335647" w:rsidRDefault="00335647">
                          <w:pPr>
                            <w:rPr>
                              <w:b/>
                              <w:sz w:val="16"/>
                            </w:rPr>
                          </w:pPr>
                        </w:p>
                        <w:p w14:paraId="4F09462C" w14:textId="77777777" w:rsidR="00335647" w:rsidRDefault="00335647">
                          <w:pPr>
                            <w:rPr>
                              <w:b/>
                              <w:sz w:val="16"/>
                            </w:rPr>
                          </w:pPr>
                          <w:r>
                            <w:rPr>
                              <w:rFonts w:hint="eastAsia"/>
                              <w:b/>
                              <w:sz w:val="20"/>
                            </w:rPr>
                            <w:t>R</w:t>
                          </w:r>
                        </w:p>
                        <w:p w14:paraId="31D5EA77" w14:textId="77777777" w:rsidR="00335647" w:rsidRDefault="00335647">
                          <w:pPr>
                            <w:rPr>
                              <w:b/>
                              <w:sz w:val="10"/>
                            </w:rPr>
                          </w:pPr>
                        </w:p>
                        <w:p w14:paraId="7690A0F5" w14:textId="77777777" w:rsidR="00335647" w:rsidRDefault="00335647">
                          <w:pPr>
                            <w:rPr>
                              <w:b/>
                              <w:sz w:val="16"/>
                            </w:rPr>
                          </w:pPr>
                        </w:p>
                        <w:p w14:paraId="257BCD05" w14:textId="77777777" w:rsidR="00335647" w:rsidRDefault="00335647">
                          <w:pPr>
                            <w:rPr>
                              <w:b/>
                              <w:sz w:val="16"/>
                            </w:rPr>
                          </w:pPr>
                        </w:p>
                        <w:p w14:paraId="1974EF97" w14:textId="77777777" w:rsidR="00335647" w:rsidRDefault="00335647">
                          <w:pPr>
                            <w:rPr>
                              <w:b/>
                              <w:sz w:val="16"/>
                            </w:rPr>
                          </w:pPr>
                          <w:r>
                            <w:rPr>
                              <w:rFonts w:hint="eastAsia"/>
                              <w:b/>
                              <w:sz w:val="20"/>
                            </w:rPr>
                            <w:t>S</w:t>
                          </w:r>
                        </w:p>
                        <w:p w14:paraId="3618453B" w14:textId="77777777" w:rsidR="00335647" w:rsidRDefault="00335647">
                          <w:pPr>
                            <w:rPr>
                              <w:b/>
                              <w:sz w:val="10"/>
                            </w:rPr>
                          </w:pPr>
                        </w:p>
                        <w:p w14:paraId="5C24A5F3" w14:textId="77777777" w:rsidR="00335647" w:rsidRDefault="00335647">
                          <w:pPr>
                            <w:rPr>
                              <w:b/>
                              <w:sz w:val="16"/>
                            </w:rPr>
                          </w:pPr>
                        </w:p>
                        <w:p w14:paraId="04FF39FE" w14:textId="77777777" w:rsidR="00335647" w:rsidRDefault="00335647">
                          <w:pPr>
                            <w:rPr>
                              <w:b/>
                              <w:sz w:val="16"/>
                            </w:rPr>
                          </w:pPr>
                        </w:p>
                        <w:p w14:paraId="4E60692A" w14:textId="77777777" w:rsidR="00335647" w:rsidRDefault="00335647">
                          <w:pPr>
                            <w:rPr>
                              <w:b/>
                              <w:sz w:val="16"/>
                            </w:rPr>
                          </w:pPr>
                          <w:r>
                            <w:rPr>
                              <w:rFonts w:hint="eastAsia"/>
                              <w:b/>
                              <w:sz w:val="20"/>
                            </w:rPr>
                            <w:t>T</w:t>
                          </w:r>
                        </w:p>
                        <w:p w14:paraId="63AF4A52" w14:textId="77777777" w:rsidR="00335647" w:rsidRDefault="00335647">
                          <w:pPr>
                            <w:rPr>
                              <w:b/>
                              <w:sz w:val="10"/>
                            </w:rPr>
                          </w:pPr>
                        </w:p>
                        <w:p w14:paraId="56C3125D" w14:textId="77777777" w:rsidR="00335647" w:rsidRDefault="00335647">
                          <w:pPr>
                            <w:rPr>
                              <w:b/>
                              <w:sz w:val="16"/>
                            </w:rPr>
                          </w:pPr>
                        </w:p>
                        <w:p w14:paraId="14A46D2D" w14:textId="77777777" w:rsidR="00335647" w:rsidRDefault="00335647">
                          <w:pPr>
                            <w:rPr>
                              <w:b/>
                              <w:sz w:val="16"/>
                            </w:rPr>
                          </w:pPr>
                        </w:p>
                        <w:p w14:paraId="02FD26B3" w14:textId="77777777" w:rsidR="00335647" w:rsidRDefault="00335647">
                          <w:pPr>
                            <w:rPr>
                              <w:b/>
                              <w:sz w:val="16"/>
                            </w:rPr>
                          </w:pPr>
                          <w:r>
                            <w:rPr>
                              <w:rFonts w:hint="eastAsia"/>
                              <w:b/>
                              <w:sz w:val="20"/>
                            </w:rPr>
                            <w:t>U</w:t>
                          </w:r>
                        </w:p>
                        <w:p w14:paraId="44C26237" w14:textId="77777777" w:rsidR="00335647" w:rsidRDefault="00335647">
                          <w:pPr>
                            <w:rPr>
                              <w:b/>
                              <w:sz w:val="10"/>
                            </w:rPr>
                          </w:pPr>
                        </w:p>
                        <w:p w14:paraId="703EB2DE" w14:textId="77777777" w:rsidR="00335647" w:rsidRDefault="00335647">
                          <w:pPr>
                            <w:rPr>
                              <w:b/>
                              <w:sz w:val="16"/>
                            </w:rPr>
                          </w:pPr>
                        </w:p>
                        <w:p w14:paraId="3060EC28" w14:textId="77777777" w:rsidR="00335647" w:rsidRDefault="00335647">
                          <w:pPr>
                            <w:rPr>
                              <w:b/>
                              <w:sz w:val="16"/>
                            </w:rPr>
                          </w:pPr>
                        </w:p>
                        <w:p w14:paraId="1150779A" w14:textId="77777777" w:rsidR="00335647" w:rsidRDefault="0033564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D8B8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742F912E" w14:textId="77777777" w:rsidR="00335647" w:rsidRDefault="00335647">
                    <w:pPr>
                      <w:rPr>
                        <w:b/>
                        <w:sz w:val="20"/>
                      </w:rPr>
                    </w:pPr>
                    <w:r>
                      <w:rPr>
                        <w:rFonts w:hint="eastAsia"/>
                        <w:b/>
                        <w:sz w:val="20"/>
                      </w:rPr>
                      <w:t>A</w:t>
                    </w:r>
                  </w:p>
                  <w:p w14:paraId="5FE193A3" w14:textId="77777777" w:rsidR="00335647" w:rsidRDefault="00335647">
                    <w:pPr>
                      <w:rPr>
                        <w:b/>
                        <w:sz w:val="10"/>
                      </w:rPr>
                    </w:pPr>
                  </w:p>
                  <w:p w14:paraId="6BE9ACDA" w14:textId="77777777" w:rsidR="00335647" w:rsidRDefault="00335647">
                    <w:pPr>
                      <w:rPr>
                        <w:b/>
                        <w:sz w:val="16"/>
                      </w:rPr>
                    </w:pPr>
                  </w:p>
                  <w:p w14:paraId="7E9922D3" w14:textId="77777777" w:rsidR="00335647" w:rsidRDefault="00335647">
                    <w:pPr>
                      <w:rPr>
                        <w:b/>
                        <w:sz w:val="16"/>
                      </w:rPr>
                    </w:pPr>
                  </w:p>
                  <w:p w14:paraId="53D9EDC4" w14:textId="77777777" w:rsidR="00335647" w:rsidRDefault="00335647">
                    <w:pPr>
                      <w:rPr>
                        <w:b/>
                        <w:sz w:val="20"/>
                      </w:rPr>
                    </w:pPr>
                    <w:r>
                      <w:rPr>
                        <w:rFonts w:hint="eastAsia"/>
                        <w:b/>
                        <w:sz w:val="20"/>
                      </w:rPr>
                      <w:t>B</w:t>
                    </w:r>
                  </w:p>
                  <w:p w14:paraId="6A834E71" w14:textId="77777777" w:rsidR="00335647" w:rsidRDefault="00335647">
                    <w:pPr>
                      <w:rPr>
                        <w:b/>
                        <w:sz w:val="10"/>
                      </w:rPr>
                    </w:pPr>
                  </w:p>
                  <w:p w14:paraId="4A6547E0" w14:textId="77777777" w:rsidR="00335647" w:rsidRDefault="00335647">
                    <w:pPr>
                      <w:rPr>
                        <w:b/>
                        <w:sz w:val="16"/>
                      </w:rPr>
                    </w:pPr>
                  </w:p>
                  <w:p w14:paraId="2A833BC3" w14:textId="77777777" w:rsidR="00335647" w:rsidRDefault="00335647">
                    <w:pPr>
                      <w:rPr>
                        <w:b/>
                        <w:sz w:val="16"/>
                      </w:rPr>
                    </w:pPr>
                  </w:p>
                  <w:p w14:paraId="07986416" w14:textId="77777777" w:rsidR="00335647" w:rsidRDefault="00335647">
                    <w:pPr>
                      <w:rPr>
                        <w:b/>
                        <w:sz w:val="16"/>
                      </w:rPr>
                    </w:pPr>
                    <w:r>
                      <w:rPr>
                        <w:rFonts w:hint="eastAsia"/>
                        <w:b/>
                        <w:sz w:val="20"/>
                      </w:rPr>
                      <w:t>C</w:t>
                    </w:r>
                  </w:p>
                  <w:p w14:paraId="7C4454F7" w14:textId="77777777" w:rsidR="00335647" w:rsidRDefault="00335647">
                    <w:pPr>
                      <w:rPr>
                        <w:b/>
                        <w:sz w:val="10"/>
                      </w:rPr>
                    </w:pPr>
                  </w:p>
                  <w:p w14:paraId="647C71AD" w14:textId="77777777" w:rsidR="00335647" w:rsidRDefault="00335647">
                    <w:pPr>
                      <w:rPr>
                        <w:b/>
                        <w:sz w:val="16"/>
                      </w:rPr>
                    </w:pPr>
                  </w:p>
                  <w:p w14:paraId="1521F40F" w14:textId="77777777" w:rsidR="00335647" w:rsidRDefault="00335647">
                    <w:pPr>
                      <w:rPr>
                        <w:b/>
                        <w:sz w:val="16"/>
                      </w:rPr>
                    </w:pPr>
                  </w:p>
                  <w:p w14:paraId="529CA0BD" w14:textId="77777777" w:rsidR="00335647" w:rsidRDefault="00335647">
                    <w:pPr>
                      <w:pStyle w:val="Heading2"/>
                      <w:rPr>
                        <w:sz w:val="16"/>
                      </w:rPr>
                    </w:pPr>
                    <w:r>
                      <w:rPr>
                        <w:rFonts w:hint="eastAsia"/>
                      </w:rPr>
                      <w:t>D</w:t>
                    </w:r>
                  </w:p>
                  <w:p w14:paraId="5DCF62D4" w14:textId="77777777" w:rsidR="00335647" w:rsidRDefault="00335647">
                    <w:pPr>
                      <w:rPr>
                        <w:b/>
                        <w:sz w:val="10"/>
                      </w:rPr>
                    </w:pPr>
                  </w:p>
                  <w:p w14:paraId="780F35A1" w14:textId="77777777" w:rsidR="00335647" w:rsidRDefault="00335647">
                    <w:pPr>
                      <w:rPr>
                        <w:b/>
                        <w:sz w:val="16"/>
                      </w:rPr>
                    </w:pPr>
                  </w:p>
                  <w:p w14:paraId="7A8960CA" w14:textId="77777777" w:rsidR="00335647" w:rsidRDefault="00335647">
                    <w:pPr>
                      <w:rPr>
                        <w:b/>
                        <w:sz w:val="16"/>
                      </w:rPr>
                    </w:pPr>
                  </w:p>
                  <w:p w14:paraId="0353169A" w14:textId="77777777" w:rsidR="00335647" w:rsidRDefault="00335647">
                    <w:pPr>
                      <w:rPr>
                        <w:b/>
                        <w:sz w:val="16"/>
                      </w:rPr>
                    </w:pPr>
                    <w:r>
                      <w:rPr>
                        <w:rFonts w:hint="eastAsia"/>
                        <w:b/>
                        <w:sz w:val="20"/>
                      </w:rPr>
                      <w:t>E</w:t>
                    </w:r>
                  </w:p>
                  <w:p w14:paraId="2596D71B" w14:textId="77777777" w:rsidR="00335647" w:rsidRDefault="00335647">
                    <w:pPr>
                      <w:rPr>
                        <w:b/>
                        <w:sz w:val="10"/>
                      </w:rPr>
                    </w:pPr>
                  </w:p>
                  <w:p w14:paraId="26C6F364" w14:textId="77777777" w:rsidR="00335647" w:rsidRDefault="00335647">
                    <w:pPr>
                      <w:rPr>
                        <w:b/>
                        <w:sz w:val="16"/>
                      </w:rPr>
                    </w:pPr>
                  </w:p>
                  <w:p w14:paraId="3973FFDF" w14:textId="77777777" w:rsidR="00335647" w:rsidRDefault="00335647">
                    <w:pPr>
                      <w:rPr>
                        <w:b/>
                        <w:sz w:val="16"/>
                      </w:rPr>
                    </w:pPr>
                  </w:p>
                  <w:p w14:paraId="322BDEDC" w14:textId="77777777" w:rsidR="00335647" w:rsidRDefault="00335647">
                    <w:pPr>
                      <w:rPr>
                        <w:b/>
                        <w:sz w:val="20"/>
                      </w:rPr>
                    </w:pPr>
                    <w:r>
                      <w:rPr>
                        <w:rFonts w:hint="eastAsia"/>
                        <w:b/>
                        <w:sz w:val="20"/>
                      </w:rPr>
                      <w:t>F</w:t>
                    </w:r>
                  </w:p>
                  <w:p w14:paraId="58117763" w14:textId="77777777" w:rsidR="00335647" w:rsidRDefault="00335647">
                    <w:pPr>
                      <w:rPr>
                        <w:b/>
                        <w:sz w:val="10"/>
                      </w:rPr>
                    </w:pPr>
                  </w:p>
                  <w:p w14:paraId="311DE629" w14:textId="77777777" w:rsidR="00335647" w:rsidRDefault="00335647">
                    <w:pPr>
                      <w:rPr>
                        <w:b/>
                        <w:sz w:val="16"/>
                      </w:rPr>
                    </w:pPr>
                  </w:p>
                  <w:p w14:paraId="63137A86" w14:textId="77777777" w:rsidR="00335647" w:rsidRDefault="00335647">
                    <w:pPr>
                      <w:rPr>
                        <w:b/>
                        <w:sz w:val="16"/>
                      </w:rPr>
                    </w:pPr>
                  </w:p>
                  <w:p w14:paraId="7D505964" w14:textId="77777777" w:rsidR="00335647" w:rsidRDefault="00335647">
                    <w:pPr>
                      <w:rPr>
                        <w:b/>
                        <w:sz w:val="16"/>
                      </w:rPr>
                    </w:pPr>
                    <w:r>
                      <w:rPr>
                        <w:rFonts w:hint="eastAsia"/>
                        <w:b/>
                        <w:sz w:val="20"/>
                      </w:rPr>
                      <w:t>G</w:t>
                    </w:r>
                  </w:p>
                  <w:p w14:paraId="0E82550E" w14:textId="77777777" w:rsidR="00335647" w:rsidRDefault="00335647">
                    <w:pPr>
                      <w:rPr>
                        <w:b/>
                        <w:sz w:val="10"/>
                      </w:rPr>
                    </w:pPr>
                  </w:p>
                  <w:p w14:paraId="3905BA26" w14:textId="77777777" w:rsidR="00335647" w:rsidRDefault="00335647">
                    <w:pPr>
                      <w:rPr>
                        <w:b/>
                        <w:sz w:val="16"/>
                      </w:rPr>
                    </w:pPr>
                  </w:p>
                  <w:p w14:paraId="2BC32942" w14:textId="77777777" w:rsidR="00335647" w:rsidRDefault="00335647">
                    <w:pPr>
                      <w:rPr>
                        <w:b/>
                        <w:sz w:val="16"/>
                      </w:rPr>
                    </w:pPr>
                  </w:p>
                  <w:p w14:paraId="7912A091" w14:textId="77777777" w:rsidR="00335647" w:rsidRDefault="00335647">
                    <w:pPr>
                      <w:rPr>
                        <w:b/>
                        <w:sz w:val="16"/>
                      </w:rPr>
                    </w:pPr>
                    <w:r>
                      <w:rPr>
                        <w:rFonts w:hint="eastAsia"/>
                        <w:b/>
                        <w:sz w:val="20"/>
                      </w:rPr>
                      <w:t>H</w:t>
                    </w:r>
                  </w:p>
                  <w:p w14:paraId="5AA6C17A" w14:textId="77777777" w:rsidR="00335647" w:rsidRDefault="00335647">
                    <w:pPr>
                      <w:rPr>
                        <w:b/>
                        <w:sz w:val="10"/>
                      </w:rPr>
                    </w:pPr>
                  </w:p>
                  <w:p w14:paraId="4A594740" w14:textId="77777777" w:rsidR="00335647" w:rsidRDefault="00335647">
                    <w:pPr>
                      <w:rPr>
                        <w:b/>
                        <w:sz w:val="16"/>
                      </w:rPr>
                    </w:pPr>
                  </w:p>
                  <w:p w14:paraId="5E0F4B99" w14:textId="77777777" w:rsidR="00335647" w:rsidRDefault="00335647">
                    <w:pPr>
                      <w:rPr>
                        <w:b/>
                        <w:sz w:val="16"/>
                      </w:rPr>
                    </w:pPr>
                  </w:p>
                  <w:p w14:paraId="0BD41543" w14:textId="77777777" w:rsidR="00335647" w:rsidRDefault="00335647">
                    <w:pPr>
                      <w:rPr>
                        <w:b/>
                        <w:sz w:val="16"/>
                      </w:rPr>
                    </w:pPr>
                    <w:r>
                      <w:rPr>
                        <w:rFonts w:hint="eastAsia"/>
                        <w:b/>
                        <w:sz w:val="20"/>
                      </w:rPr>
                      <w:t>I</w:t>
                    </w:r>
                  </w:p>
                  <w:p w14:paraId="6240554C" w14:textId="77777777" w:rsidR="00335647" w:rsidRDefault="00335647">
                    <w:pPr>
                      <w:rPr>
                        <w:b/>
                        <w:sz w:val="10"/>
                      </w:rPr>
                    </w:pPr>
                  </w:p>
                  <w:p w14:paraId="59153A05" w14:textId="77777777" w:rsidR="00335647" w:rsidRDefault="00335647">
                    <w:pPr>
                      <w:rPr>
                        <w:b/>
                        <w:sz w:val="16"/>
                      </w:rPr>
                    </w:pPr>
                  </w:p>
                  <w:p w14:paraId="1E5FC3DC" w14:textId="77777777" w:rsidR="00335647" w:rsidRDefault="00335647">
                    <w:pPr>
                      <w:rPr>
                        <w:b/>
                        <w:sz w:val="16"/>
                      </w:rPr>
                    </w:pPr>
                  </w:p>
                  <w:p w14:paraId="5AE993EE" w14:textId="77777777" w:rsidR="00335647" w:rsidRDefault="00335647">
                    <w:pPr>
                      <w:rPr>
                        <w:b/>
                        <w:sz w:val="16"/>
                      </w:rPr>
                    </w:pPr>
                    <w:r>
                      <w:rPr>
                        <w:rFonts w:hint="eastAsia"/>
                        <w:b/>
                        <w:sz w:val="20"/>
                      </w:rPr>
                      <w:t>J</w:t>
                    </w:r>
                  </w:p>
                  <w:p w14:paraId="4DDCF677" w14:textId="77777777" w:rsidR="00335647" w:rsidRDefault="00335647">
                    <w:pPr>
                      <w:rPr>
                        <w:b/>
                        <w:sz w:val="10"/>
                      </w:rPr>
                    </w:pPr>
                  </w:p>
                  <w:p w14:paraId="30E80760" w14:textId="77777777" w:rsidR="00335647" w:rsidRDefault="00335647">
                    <w:pPr>
                      <w:rPr>
                        <w:b/>
                        <w:sz w:val="16"/>
                      </w:rPr>
                    </w:pPr>
                  </w:p>
                  <w:p w14:paraId="506FC70A" w14:textId="77777777" w:rsidR="00335647" w:rsidRDefault="00335647">
                    <w:pPr>
                      <w:rPr>
                        <w:b/>
                        <w:sz w:val="16"/>
                      </w:rPr>
                    </w:pPr>
                  </w:p>
                  <w:p w14:paraId="6B33AA50" w14:textId="77777777" w:rsidR="00335647" w:rsidRDefault="00335647">
                    <w:pPr>
                      <w:rPr>
                        <w:b/>
                        <w:sz w:val="16"/>
                      </w:rPr>
                    </w:pPr>
                    <w:r>
                      <w:rPr>
                        <w:rFonts w:hint="eastAsia"/>
                        <w:b/>
                        <w:sz w:val="20"/>
                      </w:rPr>
                      <w:t>K</w:t>
                    </w:r>
                  </w:p>
                  <w:p w14:paraId="3819BD8B" w14:textId="77777777" w:rsidR="00335647" w:rsidRDefault="00335647">
                    <w:pPr>
                      <w:rPr>
                        <w:b/>
                        <w:sz w:val="10"/>
                      </w:rPr>
                    </w:pPr>
                  </w:p>
                  <w:p w14:paraId="4E894859" w14:textId="77777777" w:rsidR="00335647" w:rsidRDefault="00335647">
                    <w:pPr>
                      <w:rPr>
                        <w:b/>
                        <w:sz w:val="16"/>
                      </w:rPr>
                    </w:pPr>
                  </w:p>
                  <w:p w14:paraId="03A969C9" w14:textId="77777777" w:rsidR="00335647" w:rsidRDefault="00335647">
                    <w:pPr>
                      <w:rPr>
                        <w:b/>
                        <w:sz w:val="16"/>
                      </w:rPr>
                    </w:pPr>
                  </w:p>
                  <w:p w14:paraId="154BE344" w14:textId="77777777" w:rsidR="00335647" w:rsidRDefault="00335647">
                    <w:pPr>
                      <w:rPr>
                        <w:b/>
                        <w:sz w:val="16"/>
                      </w:rPr>
                    </w:pPr>
                    <w:r>
                      <w:rPr>
                        <w:rFonts w:hint="eastAsia"/>
                        <w:b/>
                        <w:sz w:val="20"/>
                      </w:rPr>
                      <w:t>L</w:t>
                    </w:r>
                  </w:p>
                  <w:p w14:paraId="1B5A77BB" w14:textId="77777777" w:rsidR="00335647" w:rsidRDefault="00335647">
                    <w:pPr>
                      <w:rPr>
                        <w:b/>
                        <w:sz w:val="10"/>
                      </w:rPr>
                    </w:pPr>
                  </w:p>
                  <w:p w14:paraId="78AFF41B" w14:textId="77777777" w:rsidR="00335647" w:rsidRDefault="00335647">
                    <w:pPr>
                      <w:rPr>
                        <w:b/>
                        <w:sz w:val="16"/>
                      </w:rPr>
                    </w:pPr>
                  </w:p>
                  <w:p w14:paraId="1134B256" w14:textId="77777777" w:rsidR="00335647" w:rsidRDefault="00335647">
                    <w:pPr>
                      <w:rPr>
                        <w:b/>
                        <w:sz w:val="16"/>
                      </w:rPr>
                    </w:pPr>
                  </w:p>
                  <w:p w14:paraId="2DAA50E7" w14:textId="77777777" w:rsidR="00335647" w:rsidRDefault="00335647">
                    <w:pPr>
                      <w:rPr>
                        <w:b/>
                        <w:sz w:val="16"/>
                      </w:rPr>
                    </w:pPr>
                    <w:r>
                      <w:rPr>
                        <w:rFonts w:hint="eastAsia"/>
                        <w:b/>
                        <w:sz w:val="20"/>
                      </w:rPr>
                      <w:t>M</w:t>
                    </w:r>
                  </w:p>
                  <w:p w14:paraId="79EE8894" w14:textId="77777777" w:rsidR="00335647" w:rsidRDefault="00335647">
                    <w:pPr>
                      <w:rPr>
                        <w:b/>
                        <w:sz w:val="10"/>
                      </w:rPr>
                    </w:pPr>
                  </w:p>
                  <w:p w14:paraId="4EFA8DBA" w14:textId="77777777" w:rsidR="00335647" w:rsidRDefault="00335647">
                    <w:pPr>
                      <w:rPr>
                        <w:b/>
                        <w:sz w:val="16"/>
                      </w:rPr>
                    </w:pPr>
                  </w:p>
                  <w:p w14:paraId="7D1BEB10" w14:textId="77777777" w:rsidR="00335647" w:rsidRDefault="00335647">
                    <w:pPr>
                      <w:rPr>
                        <w:b/>
                        <w:sz w:val="16"/>
                      </w:rPr>
                    </w:pPr>
                  </w:p>
                  <w:p w14:paraId="3315C47E" w14:textId="77777777" w:rsidR="00335647" w:rsidRDefault="00335647">
                    <w:pPr>
                      <w:rPr>
                        <w:b/>
                        <w:sz w:val="16"/>
                      </w:rPr>
                    </w:pPr>
                    <w:r>
                      <w:rPr>
                        <w:rFonts w:hint="eastAsia"/>
                        <w:b/>
                        <w:sz w:val="20"/>
                      </w:rPr>
                      <w:t>N</w:t>
                    </w:r>
                  </w:p>
                  <w:p w14:paraId="651FDD07" w14:textId="77777777" w:rsidR="00335647" w:rsidRDefault="00335647">
                    <w:pPr>
                      <w:rPr>
                        <w:b/>
                        <w:sz w:val="10"/>
                      </w:rPr>
                    </w:pPr>
                  </w:p>
                  <w:p w14:paraId="126F4BC8" w14:textId="77777777" w:rsidR="00335647" w:rsidRDefault="00335647">
                    <w:pPr>
                      <w:rPr>
                        <w:b/>
                        <w:sz w:val="16"/>
                      </w:rPr>
                    </w:pPr>
                  </w:p>
                  <w:p w14:paraId="52BB0342" w14:textId="77777777" w:rsidR="00335647" w:rsidRDefault="00335647">
                    <w:pPr>
                      <w:rPr>
                        <w:b/>
                        <w:sz w:val="16"/>
                      </w:rPr>
                    </w:pPr>
                  </w:p>
                  <w:p w14:paraId="6B78DF61" w14:textId="77777777" w:rsidR="00335647" w:rsidRDefault="00335647">
                    <w:pPr>
                      <w:rPr>
                        <w:b/>
                        <w:sz w:val="16"/>
                      </w:rPr>
                    </w:pPr>
                    <w:r>
                      <w:rPr>
                        <w:rFonts w:hint="eastAsia"/>
                        <w:b/>
                        <w:sz w:val="20"/>
                      </w:rPr>
                      <w:t>O</w:t>
                    </w:r>
                  </w:p>
                  <w:p w14:paraId="171E755E" w14:textId="77777777" w:rsidR="00335647" w:rsidRDefault="00335647">
                    <w:pPr>
                      <w:rPr>
                        <w:b/>
                        <w:sz w:val="10"/>
                      </w:rPr>
                    </w:pPr>
                  </w:p>
                  <w:p w14:paraId="068944A2" w14:textId="77777777" w:rsidR="00335647" w:rsidRDefault="00335647">
                    <w:pPr>
                      <w:rPr>
                        <w:b/>
                        <w:sz w:val="16"/>
                      </w:rPr>
                    </w:pPr>
                  </w:p>
                  <w:p w14:paraId="5B1AB824" w14:textId="77777777" w:rsidR="00335647" w:rsidRDefault="00335647">
                    <w:pPr>
                      <w:rPr>
                        <w:b/>
                        <w:sz w:val="16"/>
                      </w:rPr>
                    </w:pPr>
                  </w:p>
                  <w:p w14:paraId="2B172D3F" w14:textId="77777777" w:rsidR="00335647" w:rsidRDefault="00335647">
                    <w:pPr>
                      <w:rPr>
                        <w:b/>
                        <w:sz w:val="16"/>
                      </w:rPr>
                    </w:pPr>
                    <w:r>
                      <w:rPr>
                        <w:rFonts w:hint="eastAsia"/>
                        <w:b/>
                        <w:sz w:val="20"/>
                      </w:rPr>
                      <w:t>P</w:t>
                    </w:r>
                  </w:p>
                  <w:p w14:paraId="332FA081" w14:textId="77777777" w:rsidR="00335647" w:rsidRDefault="00335647">
                    <w:pPr>
                      <w:rPr>
                        <w:b/>
                        <w:sz w:val="10"/>
                      </w:rPr>
                    </w:pPr>
                  </w:p>
                  <w:p w14:paraId="452D4DCE" w14:textId="77777777" w:rsidR="00335647" w:rsidRDefault="00335647">
                    <w:pPr>
                      <w:rPr>
                        <w:b/>
                        <w:sz w:val="16"/>
                      </w:rPr>
                    </w:pPr>
                  </w:p>
                  <w:p w14:paraId="760EA29D" w14:textId="77777777" w:rsidR="00335647" w:rsidRDefault="00335647">
                    <w:pPr>
                      <w:rPr>
                        <w:b/>
                        <w:sz w:val="16"/>
                      </w:rPr>
                    </w:pPr>
                  </w:p>
                  <w:p w14:paraId="2A814584" w14:textId="77777777" w:rsidR="00335647" w:rsidRDefault="00335647">
                    <w:pPr>
                      <w:rPr>
                        <w:b/>
                        <w:sz w:val="16"/>
                      </w:rPr>
                    </w:pPr>
                    <w:r>
                      <w:rPr>
                        <w:rFonts w:hint="eastAsia"/>
                        <w:b/>
                        <w:sz w:val="20"/>
                      </w:rPr>
                      <w:t>Q</w:t>
                    </w:r>
                  </w:p>
                  <w:p w14:paraId="3C54A2C2" w14:textId="77777777" w:rsidR="00335647" w:rsidRDefault="00335647">
                    <w:pPr>
                      <w:rPr>
                        <w:b/>
                        <w:sz w:val="10"/>
                      </w:rPr>
                    </w:pPr>
                  </w:p>
                  <w:p w14:paraId="15F4C319" w14:textId="77777777" w:rsidR="00335647" w:rsidRDefault="00335647">
                    <w:pPr>
                      <w:rPr>
                        <w:b/>
                        <w:sz w:val="16"/>
                      </w:rPr>
                    </w:pPr>
                  </w:p>
                  <w:p w14:paraId="69ED48A8" w14:textId="77777777" w:rsidR="00335647" w:rsidRDefault="00335647">
                    <w:pPr>
                      <w:rPr>
                        <w:b/>
                        <w:sz w:val="16"/>
                      </w:rPr>
                    </w:pPr>
                  </w:p>
                  <w:p w14:paraId="4F09462C" w14:textId="77777777" w:rsidR="00335647" w:rsidRDefault="00335647">
                    <w:pPr>
                      <w:rPr>
                        <w:b/>
                        <w:sz w:val="16"/>
                      </w:rPr>
                    </w:pPr>
                    <w:r>
                      <w:rPr>
                        <w:rFonts w:hint="eastAsia"/>
                        <w:b/>
                        <w:sz w:val="20"/>
                      </w:rPr>
                      <w:t>R</w:t>
                    </w:r>
                  </w:p>
                  <w:p w14:paraId="31D5EA77" w14:textId="77777777" w:rsidR="00335647" w:rsidRDefault="00335647">
                    <w:pPr>
                      <w:rPr>
                        <w:b/>
                        <w:sz w:val="10"/>
                      </w:rPr>
                    </w:pPr>
                  </w:p>
                  <w:p w14:paraId="7690A0F5" w14:textId="77777777" w:rsidR="00335647" w:rsidRDefault="00335647">
                    <w:pPr>
                      <w:rPr>
                        <w:b/>
                        <w:sz w:val="16"/>
                      </w:rPr>
                    </w:pPr>
                  </w:p>
                  <w:p w14:paraId="257BCD05" w14:textId="77777777" w:rsidR="00335647" w:rsidRDefault="00335647">
                    <w:pPr>
                      <w:rPr>
                        <w:b/>
                        <w:sz w:val="16"/>
                      </w:rPr>
                    </w:pPr>
                  </w:p>
                  <w:p w14:paraId="1974EF97" w14:textId="77777777" w:rsidR="00335647" w:rsidRDefault="00335647">
                    <w:pPr>
                      <w:rPr>
                        <w:b/>
                        <w:sz w:val="16"/>
                      </w:rPr>
                    </w:pPr>
                    <w:r>
                      <w:rPr>
                        <w:rFonts w:hint="eastAsia"/>
                        <w:b/>
                        <w:sz w:val="20"/>
                      </w:rPr>
                      <w:t>S</w:t>
                    </w:r>
                  </w:p>
                  <w:p w14:paraId="3618453B" w14:textId="77777777" w:rsidR="00335647" w:rsidRDefault="00335647">
                    <w:pPr>
                      <w:rPr>
                        <w:b/>
                        <w:sz w:val="10"/>
                      </w:rPr>
                    </w:pPr>
                  </w:p>
                  <w:p w14:paraId="5C24A5F3" w14:textId="77777777" w:rsidR="00335647" w:rsidRDefault="00335647">
                    <w:pPr>
                      <w:rPr>
                        <w:b/>
                        <w:sz w:val="16"/>
                      </w:rPr>
                    </w:pPr>
                  </w:p>
                  <w:p w14:paraId="04FF39FE" w14:textId="77777777" w:rsidR="00335647" w:rsidRDefault="00335647">
                    <w:pPr>
                      <w:rPr>
                        <w:b/>
                        <w:sz w:val="16"/>
                      </w:rPr>
                    </w:pPr>
                  </w:p>
                  <w:p w14:paraId="4E60692A" w14:textId="77777777" w:rsidR="00335647" w:rsidRDefault="00335647">
                    <w:pPr>
                      <w:rPr>
                        <w:b/>
                        <w:sz w:val="16"/>
                      </w:rPr>
                    </w:pPr>
                    <w:r>
                      <w:rPr>
                        <w:rFonts w:hint="eastAsia"/>
                        <w:b/>
                        <w:sz w:val="20"/>
                      </w:rPr>
                      <w:t>T</w:t>
                    </w:r>
                  </w:p>
                  <w:p w14:paraId="63AF4A52" w14:textId="77777777" w:rsidR="00335647" w:rsidRDefault="00335647">
                    <w:pPr>
                      <w:rPr>
                        <w:b/>
                        <w:sz w:val="10"/>
                      </w:rPr>
                    </w:pPr>
                  </w:p>
                  <w:p w14:paraId="56C3125D" w14:textId="77777777" w:rsidR="00335647" w:rsidRDefault="00335647">
                    <w:pPr>
                      <w:rPr>
                        <w:b/>
                        <w:sz w:val="16"/>
                      </w:rPr>
                    </w:pPr>
                  </w:p>
                  <w:p w14:paraId="14A46D2D" w14:textId="77777777" w:rsidR="00335647" w:rsidRDefault="00335647">
                    <w:pPr>
                      <w:rPr>
                        <w:b/>
                        <w:sz w:val="16"/>
                      </w:rPr>
                    </w:pPr>
                  </w:p>
                  <w:p w14:paraId="02FD26B3" w14:textId="77777777" w:rsidR="00335647" w:rsidRDefault="00335647">
                    <w:pPr>
                      <w:rPr>
                        <w:b/>
                        <w:sz w:val="16"/>
                      </w:rPr>
                    </w:pPr>
                    <w:r>
                      <w:rPr>
                        <w:rFonts w:hint="eastAsia"/>
                        <w:b/>
                        <w:sz w:val="20"/>
                      </w:rPr>
                      <w:t>U</w:t>
                    </w:r>
                  </w:p>
                  <w:p w14:paraId="44C26237" w14:textId="77777777" w:rsidR="00335647" w:rsidRDefault="00335647">
                    <w:pPr>
                      <w:rPr>
                        <w:b/>
                        <w:sz w:val="10"/>
                      </w:rPr>
                    </w:pPr>
                  </w:p>
                  <w:p w14:paraId="703EB2DE" w14:textId="77777777" w:rsidR="00335647" w:rsidRDefault="00335647">
                    <w:pPr>
                      <w:rPr>
                        <w:b/>
                        <w:sz w:val="16"/>
                      </w:rPr>
                    </w:pPr>
                  </w:p>
                  <w:p w14:paraId="3060EC28" w14:textId="77777777" w:rsidR="00335647" w:rsidRDefault="00335647">
                    <w:pPr>
                      <w:rPr>
                        <w:b/>
                        <w:sz w:val="16"/>
                      </w:rPr>
                    </w:pPr>
                  </w:p>
                  <w:p w14:paraId="1150779A" w14:textId="77777777" w:rsidR="00335647" w:rsidRDefault="00335647">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3A1E0B18" wp14:editId="2D9C67BE">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E55874" w14:textId="77777777" w:rsidR="00335647" w:rsidRPr="00782869" w:rsidRDefault="00335647"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1E0B18"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0FE55874" w14:textId="77777777" w:rsidR="00335647" w:rsidRPr="00782869" w:rsidRDefault="00335647"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5FD38" w14:textId="06EC7D4C" w:rsidR="00335647" w:rsidRPr="00BD5D5E" w:rsidRDefault="00335647" w:rsidP="00BD5D5E">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6444BD90" wp14:editId="3C29197A">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C9B8F" w14:textId="77777777" w:rsidR="00335647" w:rsidRDefault="00335647">
                          <w:pPr>
                            <w:rPr>
                              <w:b/>
                              <w:sz w:val="20"/>
                            </w:rPr>
                          </w:pPr>
                          <w:r>
                            <w:rPr>
                              <w:rFonts w:hint="eastAsia"/>
                              <w:b/>
                              <w:sz w:val="20"/>
                            </w:rPr>
                            <w:t>A</w:t>
                          </w:r>
                        </w:p>
                        <w:p w14:paraId="7018B8F4" w14:textId="77777777" w:rsidR="00335647" w:rsidRDefault="00335647">
                          <w:pPr>
                            <w:rPr>
                              <w:b/>
                              <w:sz w:val="10"/>
                            </w:rPr>
                          </w:pPr>
                        </w:p>
                        <w:p w14:paraId="7F7C5A14" w14:textId="77777777" w:rsidR="00335647" w:rsidRDefault="00335647">
                          <w:pPr>
                            <w:rPr>
                              <w:b/>
                              <w:sz w:val="16"/>
                            </w:rPr>
                          </w:pPr>
                        </w:p>
                        <w:p w14:paraId="6098B1C4" w14:textId="77777777" w:rsidR="00335647" w:rsidRDefault="00335647">
                          <w:pPr>
                            <w:rPr>
                              <w:b/>
                              <w:sz w:val="16"/>
                            </w:rPr>
                          </w:pPr>
                        </w:p>
                        <w:p w14:paraId="5CE899D2" w14:textId="77777777" w:rsidR="00335647" w:rsidRDefault="00335647">
                          <w:pPr>
                            <w:rPr>
                              <w:b/>
                              <w:sz w:val="20"/>
                            </w:rPr>
                          </w:pPr>
                          <w:r>
                            <w:rPr>
                              <w:rFonts w:hint="eastAsia"/>
                              <w:b/>
                              <w:sz w:val="20"/>
                            </w:rPr>
                            <w:t>B</w:t>
                          </w:r>
                        </w:p>
                        <w:p w14:paraId="62620386" w14:textId="77777777" w:rsidR="00335647" w:rsidRDefault="00335647">
                          <w:pPr>
                            <w:rPr>
                              <w:b/>
                              <w:sz w:val="10"/>
                            </w:rPr>
                          </w:pPr>
                        </w:p>
                        <w:p w14:paraId="652E1DA5" w14:textId="77777777" w:rsidR="00335647" w:rsidRDefault="00335647">
                          <w:pPr>
                            <w:rPr>
                              <w:b/>
                              <w:sz w:val="16"/>
                            </w:rPr>
                          </w:pPr>
                        </w:p>
                        <w:p w14:paraId="35342759" w14:textId="77777777" w:rsidR="00335647" w:rsidRDefault="00335647">
                          <w:pPr>
                            <w:rPr>
                              <w:b/>
                              <w:sz w:val="16"/>
                            </w:rPr>
                          </w:pPr>
                        </w:p>
                        <w:p w14:paraId="2CD64418" w14:textId="77777777" w:rsidR="00335647" w:rsidRDefault="00335647">
                          <w:pPr>
                            <w:rPr>
                              <w:b/>
                              <w:sz w:val="16"/>
                            </w:rPr>
                          </w:pPr>
                          <w:r>
                            <w:rPr>
                              <w:rFonts w:hint="eastAsia"/>
                              <w:b/>
                              <w:sz w:val="20"/>
                            </w:rPr>
                            <w:t>C</w:t>
                          </w:r>
                        </w:p>
                        <w:p w14:paraId="32FF207D" w14:textId="77777777" w:rsidR="00335647" w:rsidRDefault="00335647">
                          <w:pPr>
                            <w:rPr>
                              <w:b/>
                              <w:sz w:val="10"/>
                            </w:rPr>
                          </w:pPr>
                        </w:p>
                        <w:p w14:paraId="008E381A" w14:textId="77777777" w:rsidR="00335647" w:rsidRDefault="00335647">
                          <w:pPr>
                            <w:rPr>
                              <w:b/>
                              <w:sz w:val="16"/>
                            </w:rPr>
                          </w:pPr>
                        </w:p>
                        <w:p w14:paraId="6B0AE501" w14:textId="77777777" w:rsidR="00335647" w:rsidRDefault="00335647">
                          <w:pPr>
                            <w:rPr>
                              <w:b/>
                              <w:sz w:val="16"/>
                            </w:rPr>
                          </w:pPr>
                        </w:p>
                        <w:p w14:paraId="1C0053F9" w14:textId="77777777" w:rsidR="00335647" w:rsidRDefault="00335647">
                          <w:pPr>
                            <w:pStyle w:val="Heading2"/>
                            <w:rPr>
                              <w:sz w:val="16"/>
                            </w:rPr>
                          </w:pPr>
                          <w:r>
                            <w:rPr>
                              <w:rFonts w:hint="eastAsia"/>
                            </w:rPr>
                            <w:t>D</w:t>
                          </w:r>
                        </w:p>
                        <w:p w14:paraId="53A2392B" w14:textId="77777777" w:rsidR="00335647" w:rsidRDefault="00335647">
                          <w:pPr>
                            <w:rPr>
                              <w:b/>
                              <w:sz w:val="10"/>
                            </w:rPr>
                          </w:pPr>
                        </w:p>
                        <w:p w14:paraId="11780BED" w14:textId="77777777" w:rsidR="00335647" w:rsidRDefault="00335647">
                          <w:pPr>
                            <w:rPr>
                              <w:b/>
                              <w:sz w:val="16"/>
                            </w:rPr>
                          </w:pPr>
                        </w:p>
                        <w:p w14:paraId="456E4CC1" w14:textId="77777777" w:rsidR="00335647" w:rsidRDefault="00335647">
                          <w:pPr>
                            <w:rPr>
                              <w:b/>
                              <w:sz w:val="16"/>
                            </w:rPr>
                          </w:pPr>
                        </w:p>
                        <w:p w14:paraId="338350CB" w14:textId="77777777" w:rsidR="00335647" w:rsidRDefault="00335647">
                          <w:pPr>
                            <w:rPr>
                              <w:b/>
                              <w:sz w:val="16"/>
                            </w:rPr>
                          </w:pPr>
                          <w:r>
                            <w:rPr>
                              <w:rFonts w:hint="eastAsia"/>
                              <w:b/>
                              <w:sz w:val="20"/>
                            </w:rPr>
                            <w:t>E</w:t>
                          </w:r>
                        </w:p>
                        <w:p w14:paraId="4FBF5CED" w14:textId="77777777" w:rsidR="00335647" w:rsidRDefault="00335647">
                          <w:pPr>
                            <w:rPr>
                              <w:b/>
                              <w:sz w:val="10"/>
                            </w:rPr>
                          </w:pPr>
                        </w:p>
                        <w:p w14:paraId="7B5CE07D" w14:textId="77777777" w:rsidR="00335647" w:rsidRDefault="00335647">
                          <w:pPr>
                            <w:rPr>
                              <w:b/>
                              <w:sz w:val="16"/>
                            </w:rPr>
                          </w:pPr>
                        </w:p>
                        <w:p w14:paraId="351D06EF" w14:textId="77777777" w:rsidR="00335647" w:rsidRDefault="00335647">
                          <w:pPr>
                            <w:rPr>
                              <w:b/>
                              <w:sz w:val="16"/>
                            </w:rPr>
                          </w:pPr>
                        </w:p>
                        <w:p w14:paraId="359FCB7A" w14:textId="77777777" w:rsidR="00335647" w:rsidRDefault="00335647">
                          <w:pPr>
                            <w:rPr>
                              <w:b/>
                              <w:sz w:val="20"/>
                            </w:rPr>
                          </w:pPr>
                          <w:r>
                            <w:rPr>
                              <w:rFonts w:hint="eastAsia"/>
                              <w:b/>
                              <w:sz w:val="20"/>
                            </w:rPr>
                            <w:t>F</w:t>
                          </w:r>
                        </w:p>
                        <w:p w14:paraId="4E4DDA31" w14:textId="77777777" w:rsidR="00335647" w:rsidRDefault="00335647">
                          <w:pPr>
                            <w:rPr>
                              <w:b/>
                              <w:sz w:val="10"/>
                            </w:rPr>
                          </w:pPr>
                        </w:p>
                        <w:p w14:paraId="1BB85F99" w14:textId="77777777" w:rsidR="00335647" w:rsidRDefault="00335647">
                          <w:pPr>
                            <w:rPr>
                              <w:b/>
                              <w:sz w:val="16"/>
                            </w:rPr>
                          </w:pPr>
                        </w:p>
                        <w:p w14:paraId="0B38233D" w14:textId="77777777" w:rsidR="00335647" w:rsidRDefault="00335647">
                          <w:pPr>
                            <w:rPr>
                              <w:b/>
                              <w:sz w:val="16"/>
                            </w:rPr>
                          </w:pPr>
                        </w:p>
                        <w:p w14:paraId="03AC868C" w14:textId="77777777" w:rsidR="00335647" w:rsidRDefault="00335647">
                          <w:pPr>
                            <w:rPr>
                              <w:b/>
                              <w:sz w:val="16"/>
                            </w:rPr>
                          </w:pPr>
                          <w:r>
                            <w:rPr>
                              <w:rFonts w:hint="eastAsia"/>
                              <w:b/>
                              <w:sz w:val="20"/>
                            </w:rPr>
                            <w:t>G</w:t>
                          </w:r>
                        </w:p>
                        <w:p w14:paraId="0CB262DB" w14:textId="77777777" w:rsidR="00335647" w:rsidRDefault="00335647">
                          <w:pPr>
                            <w:rPr>
                              <w:b/>
                              <w:sz w:val="10"/>
                            </w:rPr>
                          </w:pPr>
                        </w:p>
                        <w:p w14:paraId="328735AA" w14:textId="77777777" w:rsidR="00335647" w:rsidRDefault="00335647">
                          <w:pPr>
                            <w:rPr>
                              <w:b/>
                              <w:sz w:val="16"/>
                            </w:rPr>
                          </w:pPr>
                        </w:p>
                        <w:p w14:paraId="082286E4" w14:textId="77777777" w:rsidR="00335647" w:rsidRDefault="00335647">
                          <w:pPr>
                            <w:rPr>
                              <w:b/>
                              <w:sz w:val="16"/>
                            </w:rPr>
                          </w:pPr>
                        </w:p>
                        <w:p w14:paraId="2F9D7AEC" w14:textId="77777777" w:rsidR="00335647" w:rsidRDefault="00335647">
                          <w:pPr>
                            <w:rPr>
                              <w:b/>
                              <w:sz w:val="16"/>
                            </w:rPr>
                          </w:pPr>
                          <w:r>
                            <w:rPr>
                              <w:rFonts w:hint="eastAsia"/>
                              <w:b/>
                              <w:sz w:val="20"/>
                            </w:rPr>
                            <w:t>H</w:t>
                          </w:r>
                        </w:p>
                        <w:p w14:paraId="47817C03" w14:textId="77777777" w:rsidR="00335647" w:rsidRDefault="00335647">
                          <w:pPr>
                            <w:rPr>
                              <w:b/>
                              <w:sz w:val="10"/>
                            </w:rPr>
                          </w:pPr>
                        </w:p>
                        <w:p w14:paraId="4D7F557B" w14:textId="77777777" w:rsidR="00335647" w:rsidRDefault="00335647">
                          <w:pPr>
                            <w:rPr>
                              <w:b/>
                              <w:sz w:val="16"/>
                            </w:rPr>
                          </w:pPr>
                        </w:p>
                        <w:p w14:paraId="28FF3A15" w14:textId="77777777" w:rsidR="00335647" w:rsidRDefault="00335647">
                          <w:pPr>
                            <w:rPr>
                              <w:b/>
                              <w:sz w:val="16"/>
                            </w:rPr>
                          </w:pPr>
                        </w:p>
                        <w:p w14:paraId="62640EC5" w14:textId="77777777" w:rsidR="00335647" w:rsidRDefault="00335647">
                          <w:pPr>
                            <w:rPr>
                              <w:b/>
                              <w:sz w:val="16"/>
                            </w:rPr>
                          </w:pPr>
                          <w:r>
                            <w:rPr>
                              <w:rFonts w:hint="eastAsia"/>
                              <w:b/>
                              <w:sz w:val="20"/>
                            </w:rPr>
                            <w:t>I</w:t>
                          </w:r>
                        </w:p>
                        <w:p w14:paraId="33977EEC" w14:textId="77777777" w:rsidR="00335647" w:rsidRDefault="00335647">
                          <w:pPr>
                            <w:rPr>
                              <w:b/>
                              <w:sz w:val="10"/>
                            </w:rPr>
                          </w:pPr>
                        </w:p>
                        <w:p w14:paraId="55ECF807" w14:textId="77777777" w:rsidR="00335647" w:rsidRDefault="00335647">
                          <w:pPr>
                            <w:rPr>
                              <w:b/>
                              <w:sz w:val="16"/>
                            </w:rPr>
                          </w:pPr>
                        </w:p>
                        <w:p w14:paraId="7EF40BA4" w14:textId="77777777" w:rsidR="00335647" w:rsidRDefault="00335647">
                          <w:pPr>
                            <w:rPr>
                              <w:b/>
                              <w:sz w:val="16"/>
                            </w:rPr>
                          </w:pPr>
                        </w:p>
                        <w:p w14:paraId="736F9061" w14:textId="77777777" w:rsidR="00335647" w:rsidRDefault="00335647">
                          <w:pPr>
                            <w:rPr>
                              <w:b/>
                              <w:sz w:val="16"/>
                            </w:rPr>
                          </w:pPr>
                          <w:r>
                            <w:rPr>
                              <w:rFonts w:hint="eastAsia"/>
                              <w:b/>
                              <w:sz w:val="20"/>
                            </w:rPr>
                            <w:t>J</w:t>
                          </w:r>
                        </w:p>
                        <w:p w14:paraId="1A02D88B" w14:textId="77777777" w:rsidR="00335647" w:rsidRDefault="00335647">
                          <w:pPr>
                            <w:rPr>
                              <w:b/>
                              <w:sz w:val="10"/>
                            </w:rPr>
                          </w:pPr>
                        </w:p>
                        <w:p w14:paraId="7A3A1759" w14:textId="77777777" w:rsidR="00335647" w:rsidRDefault="00335647">
                          <w:pPr>
                            <w:rPr>
                              <w:b/>
                              <w:sz w:val="16"/>
                            </w:rPr>
                          </w:pPr>
                        </w:p>
                        <w:p w14:paraId="219E9CC8" w14:textId="77777777" w:rsidR="00335647" w:rsidRDefault="00335647">
                          <w:pPr>
                            <w:rPr>
                              <w:b/>
                              <w:sz w:val="16"/>
                            </w:rPr>
                          </w:pPr>
                        </w:p>
                        <w:p w14:paraId="5CF16A6A" w14:textId="77777777" w:rsidR="00335647" w:rsidRDefault="00335647">
                          <w:pPr>
                            <w:rPr>
                              <w:b/>
                              <w:sz w:val="16"/>
                            </w:rPr>
                          </w:pPr>
                          <w:r>
                            <w:rPr>
                              <w:rFonts w:hint="eastAsia"/>
                              <w:b/>
                              <w:sz w:val="20"/>
                            </w:rPr>
                            <w:t>K</w:t>
                          </w:r>
                        </w:p>
                        <w:p w14:paraId="348C4278" w14:textId="77777777" w:rsidR="00335647" w:rsidRDefault="00335647">
                          <w:pPr>
                            <w:rPr>
                              <w:b/>
                              <w:sz w:val="10"/>
                            </w:rPr>
                          </w:pPr>
                        </w:p>
                        <w:p w14:paraId="03DEC6E5" w14:textId="77777777" w:rsidR="00335647" w:rsidRDefault="00335647">
                          <w:pPr>
                            <w:rPr>
                              <w:b/>
                              <w:sz w:val="16"/>
                            </w:rPr>
                          </w:pPr>
                        </w:p>
                        <w:p w14:paraId="1480F5BE" w14:textId="77777777" w:rsidR="00335647" w:rsidRDefault="00335647">
                          <w:pPr>
                            <w:rPr>
                              <w:b/>
                              <w:sz w:val="16"/>
                            </w:rPr>
                          </w:pPr>
                        </w:p>
                        <w:p w14:paraId="3260367E" w14:textId="77777777" w:rsidR="00335647" w:rsidRDefault="00335647">
                          <w:pPr>
                            <w:rPr>
                              <w:b/>
                              <w:sz w:val="16"/>
                            </w:rPr>
                          </w:pPr>
                          <w:r>
                            <w:rPr>
                              <w:rFonts w:hint="eastAsia"/>
                              <w:b/>
                              <w:sz w:val="20"/>
                            </w:rPr>
                            <w:t>L</w:t>
                          </w:r>
                        </w:p>
                        <w:p w14:paraId="301749A7" w14:textId="77777777" w:rsidR="00335647" w:rsidRDefault="00335647">
                          <w:pPr>
                            <w:rPr>
                              <w:b/>
                              <w:sz w:val="10"/>
                            </w:rPr>
                          </w:pPr>
                        </w:p>
                        <w:p w14:paraId="08716942" w14:textId="77777777" w:rsidR="00335647" w:rsidRDefault="00335647">
                          <w:pPr>
                            <w:rPr>
                              <w:b/>
                              <w:sz w:val="16"/>
                            </w:rPr>
                          </w:pPr>
                        </w:p>
                        <w:p w14:paraId="01DFB770" w14:textId="77777777" w:rsidR="00335647" w:rsidRDefault="00335647">
                          <w:pPr>
                            <w:rPr>
                              <w:b/>
                              <w:sz w:val="16"/>
                            </w:rPr>
                          </w:pPr>
                        </w:p>
                        <w:p w14:paraId="7E8CE879" w14:textId="77777777" w:rsidR="00335647" w:rsidRDefault="00335647">
                          <w:pPr>
                            <w:rPr>
                              <w:b/>
                              <w:sz w:val="16"/>
                            </w:rPr>
                          </w:pPr>
                          <w:r>
                            <w:rPr>
                              <w:rFonts w:hint="eastAsia"/>
                              <w:b/>
                              <w:sz w:val="20"/>
                            </w:rPr>
                            <w:t>M</w:t>
                          </w:r>
                        </w:p>
                        <w:p w14:paraId="7EBF7147" w14:textId="77777777" w:rsidR="00335647" w:rsidRDefault="00335647">
                          <w:pPr>
                            <w:rPr>
                              <w:b/>
                              <w:sz w:val="10"/>
                            </w:rPr>
                          </w:pPr>
                        </w:p>
                        <w:p w14:paraId="1169A35D" w14:textId="77777777" w:rsidR="00335647" w:rsidRDefault="00335647">
                          <w:pPr>
                            <w:rPr>
                              <w:b/>
                              <w:sz w:val="16"/>
                            </w:rPr>
                          </w:pPr>
                        </w:p>
                        <w:p w14:paraId="1CACCFEC" w14:textId="77777777" w:rsidR="00335647" w:rsidRDefault="00335647">
                          <w:pPr>
                            <w:rPr>
                              <w:b/>
                              <w:sz w:val="16"/>
                            </w:rPr>
                          </w:pPr>
                        </w:p>
                        <w:p w14:paraId="2CB15FDC" w14:textId="77777777" w:rsidR="00335647" w:rsidRDefault="00335647">
                          <w:pPr>
                            <w:rPr>
                              <w:b/>
                              <w:sz w:val="16"/>
                            </w:rPr>
                          </w:pPr>
                          <w:r>
                            <w:rPr>
                              <w:rFonts w:hint="eastAsia"/>
                              <w:b/>
                              <w:sz w:val="20"/>
                            </w:rPr>
                            <w:t>N</w:t>
                          </w:r>
                        </w:p>
                        <w:p w14:paraId="2BB74D92" w14:textId="77777777" w:rsidR="00335647" w:rsidRDefault="00335647">
                          <w:pPr>
                            <w:rPr>
                              <w:b/>
                              <w:sz w:val="10"/>
                            </w:rPr>
                          </w:pPr>
                        </w:p>
                        <w:p w14:paraId="32279AEE" w14:textId="77777777" w:rsidR="00335647" w:rsidRDefault="00335647">
                          <w:pPr>
                            <w:rPr>
                              <w:b/>
                              <w:sz w:val="16"/>
                            </w:rPr>
                          </w:pPr>
                        </w:p>
                        <w:p w14:paraId="346F5B7A" w14:textId="77777777" w:rsidR="00335647" w:rsidRDefault="00335647">
                          <w:pPr>
                            <w:rPr>
                              <w:b/>
                              <w:sz w:val="16"/>
                            </w:rPr>
                          </w:pPr>
                        </w:p>
                        <w:p w14:paraId="2F1527F2" w14:textId="77777777" w:rsidR="00335647" w:rsidRDefault="00335647">
                          <w:pPr>
                            <w:rPr>
                              <w:b/>
                              <w:sz w:val="16"/>
                            </w:rPr>
                          </w:pPr>
                          <w:r>
                            <w:rPr>
                              <w:rFonts w:hint="eastAsia"/>
                              <w:b/>
                              <w:sz w:val="20"/>
                            </w:rPr>
                            <w:t>O</w:t>
                          </w:r>
                        </w:p>
                        <w:p w14:paraId="59AA3379" w14:textId="77777777" w:rsidR="00335647" w:rsidRDefault="00335647">
                          <w:pPr>
                            <w:rPr>
                              <w:b/>
                              <w:sz w:val="10"/>
                            </w:rPr>
                          </w:pPr>
                        </w:p>
                        <w:p w14:paraId="71858A83" w14:textId="77777777" w:rsidR="00335647" w:rsidRDefault="00335647">
                          <w:pPr>
                            <w:rPr>
                              <w:b/>
                              <w:sz w:val="16"/>
                            </w:rPr>
                          </w:pPr>
                        </w:p>
                        <w:p w14:paraId="2B1FB076" w14:textId="77777777" w:rsidR="00335647" w:rsidRDefault="00335647">
                          <w:pPr>
                            <w:rPr>
                              <w:b/>
                              <w:sz w:val="16"/>
                            </w:rPr>
                          </w:pPr>
                        </w:p>
                        <w:p w14:paraId="79C175DB" w14:textId="77777777" w:rsidR="00335647" w:rsidRDefault="00335647">
                          <w:pPr>
                            <w:rPr>
                              <w:b/>
                              <w:sz w:val="16"/>
                            </w:rPr>
                          </w:pPr>
                          <w:r>
                            <w:rPr>
                              <w:rFonts w:hint="eastAsia"/>
                              <w:b/>
                              <w:sz w:val="20"/>
                            </w:rPr>
                            <w:t>P</w:t>
                          </w:r>
                        </w:p>
                        <w:p w14:paraId="0DD34E58" w14:textId="77777777" w:rsidR="00335647" w:rsidRDefault="00335647">
                          <w:pPr>
                            <w:rPr>
                              <w:b/>
                              <w:sz w:val="10"/>
                            </w:rPr>
                          </w:pPr>
                        </w:p>
                        <w:p w14:paraId="7E713C23" w14:textId="77777777" w:rsidR="00335647" w:rsidRDefault="00335647">
                          <w:pPr>
                            <w:rPr>
                              <w:b/>
                              <w:sz w:val="16"/>
                            </w:rPr>
                          </w:pPr>
                        </w:p>
                        <w:p w14:paraId="591D176E" w14:textId="77777777" w:rsidR="00335647" w:rsidRDefault="00335647">
                          <w:pPr>
                            <w:rPr>
                              <w:b/>
                              <w:sz w:val="16"/>
                            </w:rPr>
                          </w:pPr>
                        </w:p>
                        <w:p w14:paraId="4C18B598" w14:textId="77777777" w:rsidR="00335647" w:rsidRDefault="00335647">
                          <w:pPr>
                            <w:rPr>
                              <w:b/>
                              <w:sz w:val="16"/>
                            </w:rPr>
                          </w:pPr>
                          <w:r>
                            <w:rPr>
                              <w:rFonts w:hint="eastAsia"/>
                              <w:b/>
                              <w:sz w:val="20"/>
                            </w:rPr>
                            <w:t>Q</w:t>
                          </w:r>
                        </w:p>
                        <w:p w14:paraId="6AFB71DE" w14:textId="77777777" w:rsidR="00335647" w:rsidRDefault="00335647">
                          <w:pPr>
                            <w:rPr>
                              <w:b/>
                              <w:sz w:val="10"/>
                            </w:rPr>
                          </w:pPr>
                        </w:p>
                        <w:p w14:paraId="4B4C2FD5" w14:textId="77777777" w:rsidR="00335647" w:rsidRDefault="00335647">
                          <w:pPr>
                            <w:rPr>
                              <w:b/>
                              <w:sz w:val="16"/>
                            </w:rPr>
                          </w:pPr>
                        </w:p>
                        <w:p w14:paraId="44D3E4A8" w14:textId="77777777" w:rsidR="00335647" w:rsidRDefault="00335647">
                          <w:pPr>
                            <w:rPr>
                              <w:b/>
                              <w:sz w:val="16"/>
                            </w:rPr>
                          </w:pPr>
                        </w:p>
                        <w:p w14:paraId="0FF7D88D" w14:textId="77777777" w:rsidR="00335647" w:rsidRDefault="00335647">
                          <w:pPr>
                            <w:rPr>
                              <w:b/>
                              <w:sz w:val="16"/>
                            </w:rPr>
                          </w:pPr>
                          <w:r>
                            <w:rPr>
                              <w:rFonts w:hint="eastAsia"/>
                              <w:b/>
                              <w:sz w:val="20"/>
                            </w:rPr>
                            <w:t>R</w:t>
                          </w:r>
                        </w:p>
                        <w:p w14:paraId="323B52B2" w14:textId="77777777" w:rsidR="00335647" w:rsidRDefault="00335647">
                          <w:pPr>
                            <w:rPr>
                              <w:b/>
                              <w:sz w:val="10"/>
                            </w:rPr>
                          </w:pPr>
                        </w:p>
                        <w:p w14:paraId="28E0365B" w14:textId="77777777" w:rsidR="00335647" w:rsidRDefault="00335647">
                          <w:pPr>
                            <w:rPr>
                              <w:b/>
                              <w:sz w:val="16"/>
                            </w:rPr>
                          </w:pPr>
                        </w:p>
                        <w:p w14:paraId="3C9203AC" w14:textId="77777777" w:rsidR="00335647" w:rsidRDefault="00335647">
                          <w:pPr>
                            <w:rPr>
                              <w:b/>
                              <w:sz w:val="16"/>
                            </w:rPr>
                          </w:pPr>
                        </w:p>
                        <w:p w14:paraId="48A3A351" w14:textId="77777777" w:rsidR="00335647" w:rsidRDefault="00335647">
                          <w:pPr>
                            <w:rPr>
                              <w:b/>
                              <w:sz w:val="16"/>
                            </w:rPr>
                          </w:pPr>
                          <w:r>
                            <w:rPr>
                              <w:rFonts w:hint="eastAsia"/>
                              <w:b/>
                              <w:sz w:val="20"/>
                            </w:rPr>
                            <w:t>S</w:t>
                          </w:r>
                        </w:p>
                        <w:p w14:paraId="48BD3F5B" w14:textId="77777777" w:rsidR="00335647" w:rsidRDefault="00335647">
                          <w:pPr>
                            <w:rPr>
                              <w:b/>
                              <w:sz w:val="10"/>
                            </w:rPr>
                          </w:pPr>
                        </w:p>
                        <w:p w14:paraId="1F34533D" w14:textId="77777777" w:rsidR="00335647" w:rsidRDefault="00335647">
                          <w:pPr>
                            <w:rPr>
                              <w:b/>
                              <w:sz w:val="16"/>
                            </w:rPr>
                          </w:pPr>
                        </w:p>
                        <w:p w14:paraId="356A0215" w14:textId="77777777" w:rsidR="00335647" w:rsidRDefault="00335647">
                          <w:pPr>
                            <w:rPr>
                              <w:b/>
                              <w:sz w:val="16"/>
                            </w:rPr>
                          </w:pPr>
                        </w:p>
                        <w:p w14:paraId="3EDEBEF0" w14:textId="77777777" w:rsidR="00335647" w:rsidRDefault="00335647">
                          <w:pPr>
                            <w:rPr>
                              <w:b/>
                              <w:sz w:val="16"/>
                            </w:rPr>
                          </w:pPr>
                          <w:r>
                            <w:rPr>
                              <w:rFonts w:hint="eastAsia"/>
                              <w:b/>
                              <w:sz w:val="20"/>
                            </w:rPr>
                            <w:t>T</w:t>
                          </w:r>
                        </w:p>
                        <w:p w14:paraId="024FD8D4" w14:textId="77777777" w:rsidR="00335647" w:rsidRDefault="00335647">
                          <w:pPr>
                            <w:rPr>
                              <w:b/>
                              <w:sz w:val="10"/>
                            </w:rPr>
                          </w:pPr>
                        </w:p>
                        <w:p w14:paraId="4C3DF61C" w14:textId="77777777" w:rsidR="00335647" w:rsidRDefault="00335647">
                          <w:pPr>
                            <w:rPr>
                              <w:b/>
                              <w:sz w:val="16"/>
                            </w:rPr>
                          </w:pPr>
                        </w:p>
                        <w:p w14:paraId="001779C1" w14:textId="77777777" w:rsidR="00335647" w:rsidRDefault="00335647">
                          <w:pPr>
                            <w:rPr>
                              <w:b/>
                              <w:sz w:val="16"/>
                            </w:rPr>
                          </w:pPr>
                        </w:p>
                        <w:p w14:paraId="1FA6829C" w14:textId="77777777" w:rsidR="00335647" w:rsidRDefault="00335647">
                          <w:pPr>
                            <w:rPr>
                              <w:b/>
                              <w:sz w:val="16"/>
                            </w:rPr>
                          </w:pPr>
                          <w:r>
                            <w:rPr>
                              <w:rFonts w:hint="eastAsia"/>
                              <w:b/>
                              <w:sz w:val="20"/>
                            </w:rPr>
                            <w:t>U</w:t>
                          </w:r>
                        </w:p>
                        <w:p w14:paraId="51ED5591" w14:textId="77777777" w:rsidR="00335647" w:rsidRDefault="00335647">
                          <w:pPr>
                            <w:rPr>
                              <w:b/>
                              <w:sz w:val="10"/>
                            </w:rPr>
                          </w:pPr>
                        </w:p>
                        <w:p w14:paraId="18F87A50" w14:textId="77777777" w:rsidR="00335647" w:rsidRDefault="00335647">
                          <w:pPr>
                            <w:rPr>
                              <w:b/>
                              <w:sz w:val="16"/>
                            </w:rPr>
                          </w:pPr>
                        </w:p>
                        <w:p w14:paraId="0F79125A" w14:textId="77777777" w:rsidR="00335647" w:rsidRDefault="00335647">
                          <w:pPr>
                            <w:rPr>
                              <w:b/>
                              <w:sz w:val="16"/>
                            </w:rPr>
                          </w:pPr>
                        </w:p>
                        <w:p w14:paraId="32C1BE85" w14:textId="77777777" w:rsidR="00335647" w:rsidRDefault="0033564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44BD90"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14:paraId="60EC9B8F" w14:textId="77777777" w:rsidR="00335647" w:rsidRDefault="00335647">
                    <w:pPr>
                      <w:rPr>
                        <w:b/>
                        <w:sz w:val="20"/>
                      </w:rPr>
                    </w:pPr>
                    <w:r>
                      <w:rPr>
                        <w:rFonts w:hint="eastAsia"/>
                        <w:b/>
                        <w:sz w:val="20"/>
                      </w:rPr>
                      <w:t>A</w:t>
                    </w:r>
                  </w:p>
                  <w:p w14:paraId="7018B8F4" w14:textId="77777777" w:rsidR="00335647" w:rsidRDefault="00335647">
                    <w:pPr>
                      <w:rPr>
                        <w:b/>
                        <w:sz w:val="10"/>
                      </w:rPr>
                    </w:pPr>
                  </w:p>
                  <w:p w14:paraId="7F7C5A14" w14:textId="77777777" w:rsidR="00335647" w:rsidRDefault="00335647">
                    <w:pPr>
                      <w:rPr>
                        <w:b/>
                        <w:sz w:val="16"/>
                      </w:rPr>
                    </w:pPr>
                  </w:p>
                  <w:p w14:paraId="6098B1C4" w14:textId="77777777" w:rsidR="00335647" w:rsidRDefault="00335647">
                    <w:pPr>
                      <w:rPr>
                        <w:b/>
                        <w:sz w:val="16"/>
                      </w:rPr>
                    </w:pPr>
                  </w:p>
                  <w:p w14:paraId="5CE899D2" w14:textId="77777777" w:rsidR="00335647" w:rsidRDefault="00335647">
                    <w:pPr>
                      <w:rPr>
                        <w:b/>
                        <w:sz w:val="20"/>
                      </w:rPr>
                    </w:pPr>
                    <w:r>
                      <w:rPr>
                        <w:rFonts w:hint="eastAsia"/>
                        <w:b/>
                        <w:sz w:val="20"/>
                      </w:rPr>
                      <w:t>B</w:t>
                    </w:r>
                  </w:p>
                  <w:p w14:paraId="62620386" w14:textId="77777777" w:rsidR="00335647" w:rsidRDefault="00335647">
                    <w:pPr>
                      <w:rPr>
                        <w:b/>
                        <w:sz w:val="10"/>
                      </w:rPr>
                    </w:pPr>
                  </w:p>
                  <w:p w14:paraId="652E1DA5" w14:textId="77777777" w:rsidR="00335647" w:rsidRDefault="00335647">
                    <w:pPr>
                      <w:rPr>
                        <w:b/>
                        <w:sz w:val="16"/>
                      </w:rPr>
                    </w:pPr>
                  </w:p>
                  <w:p w14:paraId="35342759" w14:textId="77777777" w:rsidR="00335647" w:rsidRDefault="00335647">
                    <w:pPr>
                      <w:rPr>
                        <w:b/>
                        <w:sz w:val="16"/>
                      </w:rPr>
                    </w:pPr>
                  </w:p>
                  <w:p w14:paraId="2CD64418" w14:textId="77777777" w:rsidR="00335647" w:rsidRDefault="00335647">
                    <w:pPr>
                      <w:rPr>
                        <w:b/>
                        <w:sz w:val="16"/>
                      </w:rPr>
                    </w:pPr>
                    <w:r>
                      <w:rPr>
                        <w:rFonts w:hint="eastAsia"/>
                        <w:b/>
                        <w:sz w:val="20"/>
                      </w:rPr>
                      <w:t>C</w:t>
                    </w:r>
                  </w:p>
                  <w:p w14:paraId="32FF207D" w14:textId="77777777" w:rsidR="00335647" w:rsidRDefault="00335647">
                    <w:pPr>
                      <w:rPr>
                        <w:b/>
                        <w:sz w:val="10"/>
                      </w:rPr>
                    </w:pPr>
                  </w:p>
                  <w:p w14:paraId="008E381A" w14:textId="77777777" w:rsidR="00335647" w:rsidRDefault="00335647">
                    <w:pPr>
                      <w:rPr>
                        <w:b/>
                        <w:sz w:val="16"/>
                      </w:rPr>
                    </w:pPr>
                  </w:p>
                  <w:p w14:paraId="6B0AE501" w14:textId="77777777" w:rsidR="00335647" w:rsidRDefault="00335647">
                    <w:pPr>
                      <w:rPr>
                        <w:b/>
                        <w:sz w:val="16"/>
                      </w:rPr>
                    </w:pPr>
                  </w:p>
                  <w:p w14:paraId="1C0053F9" w14:textId="77777777" w:rsidR="00335647" w:rsidRDefault="00335647">
                    <w:pPr>
                      <w:pStyle w:val="Heading2"/>
                      <w:rPr>
                        <w:sz w:val="16"/>
                      </w:rPr>
                    </w:pPr>
                    <w:r>
                      <w:rPr>
                        <w:rFonts w:hint="eastAsia"/>
                      </w:rPr>
                      <w:t>D</w:t>
                    </w:r>
                  </w:p>
                  <w:p w14:paraId="53A2392B" w14:textId="77777777" w:rsidR="00335647" w:rsidRDefault="00335647">
                    <w:pPr>
                      <w:rPr>
                        <w:b/>
                        <w:sz w:val="10"/>
                      </w:rPr>
                    </w:pPr>
                  </w:p>
                  <w:p w14:paraId="11780BED" w14:textId="77777777" w:rsidR="00335647" w:rsidRDefault="00335647">
                    <w:pPr>
                      <w:rPr>
                        <w:b/>
                        <w:sz w:val="16"/>
                      </w:rPr>
                    </w:pPr>
                  </w:p>
                  <w:p w14:paraId="456E4CC1" w14:textId="77777777" w:rsidR="00335647" w:rsidRDefault="00335647">
                    <w:pPr>
                      <w:rPr>
                        <w:b/>
                        <w:sz w:val="16"/>
                      </w:rPr>
                    </w:pPr>
                  </w:p>
                  <w:p w14:paraId="338350CB" w14:textId="77777777" w:rsidR="00335647" w:rsidRDefault="00335647">
                    <w:pPr>
                      <w:rPr>
                        <w:b/>
                        <w:sz w:val="16"/>
                      </w:rPr>
                    </w:pPr>
                    <w:r>
                      <w:rPr>
                        <w:rFonts w:hint="eastAsia"/>
                        <w:b/>
                        <w:sz w:val="20"/>
                      </w:rPr>
                      <w:t>E</w:t>
                    </w:r>
                  </w:p>
                  <w:p w14:paraId="4FBF5CED" w14:textId="77777777" w:rsidR="00335647" w:rsidRDefault="00335647">
                    <w:pPr>
                      <w:rPr>
                        <w:b/>
                        <w:sz w:val="10"/>
                      </w:rPr>
                    </w:pPr>
                  </w:p>
                  <w:p w14:paraId="7B5CE07D" w14:textId="77777777" w:rsidR="00335647" w:rsidRDefault="00335647">
                    <w:pPr>
                      <w:rPr>
                        <w:b/>
                        <w:sz w:val="16"/>
                      </w:rPr>
                    </w:pPr>
                  </w:p>
                  <w:p w14:paraId="351D06EF" w14:textId="77777777" w:rsidR="00335647" w:rsidRDefault="00335647">
                    <w:pPr>
                      <w:rPr>
                        <w:b/>
                        <w:sz w:val="16"/>
                      </w:rPr>
                    </w:pPr>
                  </w:p>
                  <w:p w14:paraId="359FCB7A" w14:textId="77777777" w:rsidR="00335647" w:rsidRDefault="00335647">
                    <w:pPr>
                      <w:rPr>
                        <w:b/>
                        <w:sz w:val="20"/>
                      </w:rPr>
                    </w:pPr>
                    <w:r>
                      <w:rPr>
                        <w:rFonts w:hint="eastAsia"/>
                        <w:b/>
                        <w:sz w:val="20"/>
                      </w:rPr>
                      <w:t>F</w:t>
                    </w:r>
                  </w:p>
                  <w:p w14:paraId="4E4DDA31" w14:textId="77777777" w:rsidR="00335647" w:rsidRDefault="00335647">
                    <w:pPr>
                      <w:rPr>
                        <w:b/>
                        <w:sz w:val="10"/>
                      </w:rPr>
                    </w:pPr>
                  </w:p>
                  <w:p w14:paraId="1BB85F99" w14:textId="77777777" w:rsidR="00335647" w:rsidRDefault="00335647">
                    <w:pPr>
                      <w:rPr>
                        <w:b/>
                        <w:sz w:val="16"/>
                      </w:rPr>
                    </w:pPr>
                  </w:p>
                  <w:p w14:paraId="0B38233D" w14:textId="77777777" w:rsidR="00335647" w:rsidRDefault="00335647">
                    <w:pPr>
                      <w:rPr>
                        <w:b/>
                        <w:sz w:val="16"/>
                      </w:rPr>
                    </w:pPr>
                  </w:p>
                  <w:p w14:paraId="03AC868C" w14:textId="77777777" w:rsidR="00335647" w:rsidRDefault="00335647">
                    <w:pPr>
                      <w:rPr>
                        <w:b/>
                        <w:sz w:val="16"/>
                      </w:rPr>
                    </w:pPr>
                    <w:r>
                      <w:rPr>
                        <w:rFonts w:hint="eastAsia"/>
                        <w:b/>
                        <w:sz w:val="20"/>
                      </w:rPr>
                      <w:t>G</w:t>
                    </w:r>
                  </w:p>
                  <w:p w14:paraId="0CB262DB" w14:textId="77777777" w:rsidR="00335647" w:rsidRDefault="00335647">
                    <w:pPr>
                      <w:rPr>
                        <w:b/>
                        <w:sz w:val="10"/>
                      </w:rPr>
                    </w:pPr>
                  </w:p>
                  <w:p w14:paraId="328735AA" w14:textId="77777777" w:rsidR="00335647" w:rsidRDefault="00335647">
                    <w:pPr>
                      <w:rPr>
                        <w:b/>
                        <w:sz w:val="16"/>
                      </w:rPr>
                    </w:pPr>
                  </w:p>
                  <w:p w14:paraId="082286E4" w14:textId="77777777" w:rsidR="00335647" w:rsidRDefault="00335647">
                    <w:pPr>
                      <w:rPr>
                        <w:b/>
                        <w:sz w:val="16"/>
                      </w:rPr>
                    </w:pPr>
                  </w:p>
                  <w:p w14:paraId="2F9D7AEC" w14:textId="77777777" w:rsidR="00335647" w:rsidRDefault="00335647">
                    <w:pPr>
                      <w:rPr>
                        <w:b/>
                        <w:sz w:val="16"/>
                      </w:rPr>
                    </w:pPr>
                    <w:r>
                      <w:rPr>
                        <w:rFonts w:hint="eastAsia"/>
                        <w:b/>
                        <w:sz w:val="20"/>
                      </w:rPr>
                      <w:t>H</w:t>
                    </w:r>
                  </w:p>
                  <w:p w14:paraId="47817C03" w14:textId="77777777" w:rsidR="00335647" w:rsidRDefault="00335647">
                    <w:pPr>
                      <w:rPr>
                        <w:b/>
                        <w:sz w:val="10"/>
                      </w:rPr>
                    </w:pPr>
                  </w:p>
                  <w:p w14:paraId="4D7F557B" w14:textId="77777777" w:rsidR="00335647" w:rsidRDefault="00335647">
                    <w:pPr>
                      <w:rPr>
                        <w:b/>
                        <w:sz w:val="16"/>
                      </w:rPr>
                    </w:pPr>
                  </w:p>
                  <w:p w14:paraId="28FF3A15" w14:textId="77777777" w:rsidR="00335647" w:rsidRDefault="00335647">
                    <w:pPr>
                      <w:rPr>
                        <w:b/>
                        <w:sz w:val="16"/>
                      </w:rPr>
                    </w:pPr>
                  </w:p>
                  <w:p w14:paraId="62640EC5" w14:textId="77777777" w:rsidR="00335647" w:rsidRDefault="00335647">
                    <w:pPr>
                      <w:rPr>
                        <w:b/>
                        <w:sz w:val="16"/>
                      </w:rPr>
                    </w:pPr>
                    <w:r>
                      <w:rPr>
                        <w:rFonts w:hint="eastAsia"/>
                        <w:b/>
                        <w:sz w:val="20"/>
                      </w:rPr>
                      <w:t>I</w:t>
                    </w:r>
                  </w:p>
                  <w:p w14:paraId="33977EEC" w14:textId="77777777" w:rsidR="00335647" w:rsidRDefault="00335647">
                    <w:pPr>
                      <w:rPr>
                        <w:b/>
                        <w:sz w:val="10"/>
                      </w:rPr>
                    </w:pPr>
                  </w:p>
                  <w:p w14:paraId="55ECF807" w14:textId="77777777" w:rsidR="00335647" w:rsidRDefault="00335647">
                    <w:pPr>
                      <w:rPr>
                        <w:b/>
                        <w:sz w:val="16"/>
                      </w:rPr>
                    </w:pPr>
                  </w:p>
                  <w:p w14:paraId="7EF40BA4" w14:textId="77777777" w:rsidR="00335647" w:rsidRDefault="00335647">
                    <w:pPr>
                      <w:rPr>
                        <w:b/>
                        <w:sz w:val="16"/>
                      </w:rPr>
                    </w:pPr>
                  </w:p>
                  <w:p w14:paraId="736F9061" w14:textId="77777777" w:rsidR="00335647" w:rsidRDefault="00335647">
                    <w:pPr>
                      <w:rPr>
                        <w:b/>
                        <w:sz w:val="16"/>
                      </w:rPr>
                    </w:pPr>
                    <w:r>
                      <w:rPr>
                        <w:rFonts w:hint="eastAsia"/>
                        <w:b/>
                        <w:sz w:val="20"/>
                      </w:rPr>
                      <w:t>J</w:t>
                    </w:r>
                  </w:p>
                  <w:p w14:paraId="1A02D88B" w14:textId="77777777" w:rsidR="00335647" w:rsidRDefault="00335647">
                    <w:pPr>
                      <w:rPr>
                        <w:b/>
                        <w:sz w:val="10"/>
                      </w:rPr>
                    </w:pPr>
                  </w:p>
                  <w:p w14:paraId="7A3A1759" w14:textId="77777777" w:rsidR="00335647" w:rsidRDefault="00335647">
                    <w:pPr>
                      <w:rPr>
                        <w:b/>
                        <w:sz w:val="16"/>
                      </w:rPr>
                    </w:pPr>
                  </w:p>
                  <w:p w14:paraId="219E9CC8" w14:textId="77777777" w:rsidR="00335647" w:rsidRDefault="00335647">
                    <w:pPr>
                      <w:rPr>
                        <w:b/>
                        <w:sz w:val="16"/>
                      </w:rPr>
                    </w:pPr>
                  </w:p>
                  <w:p w14:paraId="5CF16A6A" w14:textId="77777777" w:rsidR="00335647" w:rsidRDefault="00335647">
                    <w:pPr>
                      <w:rPr>
                        <w:b/>
                        <w:sz w:val="16"/>
                      </w:rPr>
                    </w:pPr>
                    <w:r>
                      <w:rPr>
                        <w:rFonts w:hint="eastAsia"/>
                        <w:b/>
                        <w:sz w:val="20"/>
                      </w:rPr>
                      <w:t>K</w:t>
                    </w:r>
                  </w:p>
                  <w:p w14:paraId="348C4278" w14:textId="77777777" w:rsidR="00335647" w:rsidRDefault="00335647">
                    <w:pPr>
                      <w:rPr>
                        <w:b/>
                        <w:sz w:val="10"/>
                      </w:rPr>
                    </w:pPr>
                  </w:p>
                  <w:p w14:paraId="03DEC6E5" w14:textId="77777777" w:rsidR="00335647" w:rsidRDefault="00335647">
                    <w:pPr>
                      <w:rPr>
                        <w:b/>
                        <w:sz w:val="16"/>
                      </w:rPr>
                    </w:pPr>
                  </w:p>
                  <w:p w14:paraId="1480F5BE" w14:textId="77777777" w:rsidR="00335647" w:rsidRDefault="00335647">
                    <w:pPr>
                      <w:rPr>
                        <w:b/>
                        <w:sz w:val="16"/>
                      </w:rPr>
                    </w:pPr>
                  </w:p>
                  <w:p w14:paraId="3260367E" w14:textId="77777777" w:rsidR="00335647" w:rsidRDefault="00335647">
                    <w:pPr>
                      <w:rPr>
                        <w:b/>
                        <w:sz w:val="16"/>
                      </w:rPr>
                    </w:pPr>
                    <w:r>
                      <w:rPr>
                        <w:rFonts w:hint="eastAsia"/>
                        <w:b/>
                        <w:sz w:val="20"/>
                      </w:rPr>
                      <w:t>L</w:t>
                    </w:r>
                  </w:p>
                  <w:p w14:paraId="301749A7" w14:textId="77777777" w:rsidR="00335647" w:rsidRDefault="00335647">
                    <w:pPr>
                      <w:rPr>
                        <w:b/>
                        <w:sz w:val="10"/>
                      </w:rPr>
                    </w:pPr>
                  </w:p>
                  <w:p w14:paraId="08716942" w14:textId="77777777" w:rsidR="00335647" w:rsidRDefault="00335647">
                    <w:pPr>
                      <w:rPr>
                        <w:b/>
                        <w:sz w:val="16"/>
                      </w:rPr>
                    </w:pPr>
                  </w:p>
                  <w:p w14:paraId="01DFB770" w14:textId="77777777" w:rsidR="00335647" w:rsidRDefault="00335647">
                    <w:pPr>
                      <w:rPr>
                        <w:b/>
                        <w:sz w:val="16"/>
                      </w:rPr>
                    </w:pPr>
                  </w:p>
                  <w:p w14:paraId="7E8CE879" w14:textId="77777777" w:rsidR="00335647" w:rsidRDefault="00335647">
                    <w:pPr>
                      <w:rPr>
                        <w:b/>
                        <w:sz w:val="16"/>
                      </w:rPr>
                    </w:pPr>
                    <w:r>
                      <w:rPr>
                        <w:rFonts w:hint="eastAsia"/>
                        <w:b/>
                        <w:sz w:val="20"/>
                      </w:rPr>
                      <w:t>M</w:t>
                    </w:r>
                  </w:p>
                  <w:p w14:paraId="7EBF7147" w14:textId="77777777" w:rsidR="00335647" w:rsidRDefault="00335647">
                    <w:pPr>
                      <w:rPr>
                        <w:b/>
                        <w:sz w:val="10"/>
                      </w:rPr>
                    </w:pPr>
                  </w:p>
                  <w:p w14:paraId="1169A35D" w14:textId="77777777" w:rsidR="00335647" w:rsidRDefault="00335647">
                    <w:pPr>
                      <w:rPr>
                        <w:b/>
                        <w:sz w:val="16"/>
                      </w:rPr>
                    </w:pPr>
                  </w:p>
                  <w:p w14:paraId="1CACCFEC" w14:textId="77777777" w:rsidR="00335647" w:rsidRDefault="00335647">
                    <w:pPr>
                      <w:rPr>
                        <w:b/>
                        <w:sz w:val="16"/>
                      </w:rPr>
                    </w:pPr>
                  </w:p>
                  <w:p w14:paraId="2CB15FDC" w14:textId="77777777" w:rsidR="00335647" w:rsidRDefault="00335647">
                    <w:pPr>
                      <w:rPr>
                        <w:b/>
                        <w:sz w:val="16"/>
                      </w:rPr>
                    </w:pPr>
                    <w:r>
                      <w:rPr>
                        <w:rFonts w:hint="eastAsia"/>
                        <w:b/>
                        <w:sz w:val="20"/>
                      </w:rPr>
                      <w:t>N</w:t>
                    </w:r>
                  </w:p>
                  <w:p w14:paraId="2BB74D92" w14:textId="77777777" w:rsidR="00335647" w:rsidRDefault="00335647">
                    <w:pPr>
                      <w:rPr>
                        <w:b/>
                        <w:sz w:val="10"/>
                      </w:rPr>
                    </w:pPr>
                  </w:p>
                  <w:p w14:paraId="32279AEE" w14:textId="77777777" w:rsidR="00335647" w:rsidRDefault="00335647">
                    <w:pPr>
                      <w:rPr>
                        <w:b/>
                        <w:sz w:val="16"/>
                      </w:rPr>
                    </w:pPr>
                  </w:p>
                  <w:p w14:paraId="346F5B7A" w14:textId="77777777" w:rsidR="00335647" w:rsidRDefault="00335647">
                    <w:pPr>
                      <w:rPr>
                        <w:b/>
                        <w:sz w:val="16"/>
                      </w:rPr>
                    </w:pPr>
                  </w:p>
                  <w:p w14:paraId="2F1527F2" w14:textId="77777777" w:rsidR="00335647" w:rsidRDefault="00335647">
                    <w:pPr>
                      <w:rPr>
                        <w:b/>
                        <w:sz w:val="16"/>
                      </w:rPr>
                    </w:pPr>
                    <w:r>
                      <w:rPr>
                        <w:rFonts w:hint="eastAsia"/>
                        <w:b/>
                        <w:sz w:val="20"/>
                      </w:rPr>
                      <w:t>O</w:t>
                    </w:r>
                  </w:p>
                  <w:p w14:paraId="59AA3379" w14:textId="77777777" w:rsidR="00335647" w:rsidRDefault="00335647">
                    <w:pPr>
                      <w:rPr>
                        <w:b/>
                        <w:sz w:val="10"/>
                      </w:rPr>
                    </w:pPr>
                  </w:p>
                  <w:p w14:paraId="71858A83" w14:textId="77777777" w:rsidR="00335647" w:rsidRDefault="00335647">
                    <w:pPr>
                      <w:rPr>
                        <w:b/>
                        <w:sz w:val="16"/>
                      </w:rPr>
                    </w:pPr>
                  </w:p>
                  <w:p w14:paraId="2B1FB076" w14:textId="77777777" w:rsidR="00335647" w:rsidRDefault="00335647">
                    <w:pPr>
                      <w:rPr>
                        <w:b/>
                        <w:sz w:val="16"/>
                      </w:rPr>
                    </w:pPr>
                  </w:p>
                  <w:p w14:paraId="79C175DB" w14:textId="77777777" w:rsidR="00335647" w:rsidRDefault="00335647">
                    <w:pPr>
                      <w:rPr>
                        <w:b/>
                        <w:sz w:val="16"/>
                      </w:rPr>
                    </w:pPr>
                    <w:r>
                      <w:rPr>
                        <w:rFonts w:hint="eastAsia"/>
                        <w:b/>
                        <w:sz w:val="20"/>
                      </w:rPr>
                      <w:t>P</w:t>
                    </w:r>
                  </w:p>
                  <w:p w14:paraId="0DD34E58" w14:textId="77777777" w:rsidR="00335647" w:rsidRDefault="00335647">
                    <w:pPr>
                      <w:rPr>
                        <w:b/>
                        <w:sz w:val="10"/>
                      </w:rPr>
                    </w:pPr>
                  </w:p>
                  <w:p w14:paraId="7E713C23" w14:textId="77777777" w:rsidR="00335647" w:rsidRDefault="00335647">
                    <w:pPr>
                      <w:rPr>
                        <w:b/>
                        <w:sz w:val="16"/>
                      </w:rPr>
                    </w:pPr>
                  </w:p>
                  <w:p w14:paraId="591D176E" w14:textId="77777777" w:rsidR="00335647" w:rsidRDefault="00335647">
                    <w:pPr>
                      <w:rPr>
                        <w:b/>
                        <w:sz w:val="16"/>
                      </w:rPr>
                    </w:pPr>
                  </w:p>
                  <w:p w14:paraId="4C18B598" w14:textId="77777777" w:rsidR="00335647" w:rsidRDefault="00335647">
                    <w:pPr>
                      <w:rPr>
                        <w:b/>
                        <w:sz w:val="16"/>
                      </w:rPr>
                    </w:pPr>
                    <w:r>
                      <w:rPr>
                        <w:rFonts w:hint="eastAsia"/>
                        <w:b/>
                        <w:sz w:val="20"/>
                      </w:rPr>
                      <w:t>Q</w:t>
                    </w:r>
                  </w:p>
                  <w:p w14:paraId="6AFB71DE" w14:textId="77777777" w:rsidR="00335647" w:rsidRDefault="00335647">
                    <w:pPr>
                      <w:rPr>
                        <w:b/>
                        <w:sz w:val="10"/>
                      </w:rPr>
                    </w:pPr>
                  </w:p>
                  <w:p w14:paraId="4B4C2FD5" w14:textId="77777777" w:rsidR="00335647" w:rsidRDefault="00335647">
                    <w:pPr>
                      <w:rPr>
                        <w:b/>
                        <w:sz w:val="16"/>
                      </w:rPr>
                    </w:pPr>
                  </w:p>
                  <w:p w14:paraId="44D3E4A8" w14:textId="77777777" w:rsidR="00335647" w:rsidRDefault="00335647">
                    <w:pPr>
                      <w:rPr>
                        <w:b/>
                        <w:sz w:val="16"/>
                      </w:rPr>
                    </w:pPr>
                  </w:p>
                  <w:p w14:paraId="0FF7D88D" w14:textId="77777777" w:rsidR="00335647" w:rsidRDefault="00335647">
                    <w:pPr>
                      <w:rPr>
                        <w:b/>
                        <w:sz w:val="16"/>
                      </w:rPr>
                    </w:pPr>
                    <w:r>
                      <w:rPr>
                        <w:rFonts w:hint="eastAsia"/>
                        <w:b/>
                        <w:sz w:val="20"/>
                      </w:rPr>
                      <w:t>R</w:t>
                    </w:r>
                  </w:p>
                  <w:p w14:paraId="323B52B2" w14:textId="77777777" w:rsidR="00335647" w:rsidRDefault="00335647">
                    <w:pPr>
                      <w:rPr>
                        <w:b/>
                        <w:sz w:val="10"/>
                      </w:rPr>
                    </w:pPr>
                  </w:p>
                  <w:p w14:paraId="28E0365B" w14:textId="77777777" w:rsidR="00335647" w:rsidRDefault="00335647">
                    <w:pPr>
                      <w:rPr>
                        <w:b/>
                        <w:sz w:val="16"/>
                      </w:rPr>
                    </w:pPr>
                  </w:p>
                  <w:p w14:paraId="3C9203AC" w14:textId="77777777" w:rsidR="00335647" w:rsidRDefault="00335647">
                    <w:pPr>
                      <w:rPr>
                        <w:b/>
                        <w:sz w:val="16"/>
                      </w:rPr>
                    </w:pPr>
                  </w:p>
                  <w:p w14:paraId="48A3A351" w14:textId="77777777" w:rsidR="00335647" w:rsidRDefault="00335647">
                    <w:pPr>
                      <w:rPr>
                        <w:b/>
                        <w:sz w:val="16"/>
                      </w:rPr>
                    </w:pPr>
                    <w:r>
                      <w:rPr>
                        <w:rFonts w:hint="eastAsia"/>
                        <w:b/>
                        <w:sz w:val="20"/>
                      </w:rPr>
                      <w:t>S</w:t>
                    </w:r>
                  </w:p>
                  <w:p w14:paraId="48BD3F5B" w14:textId="77777777" w:rsidR="00335647" w:rsidRDefault="00335647">
                    <w:pPr>
                      <w:rPr>
                        <w:b/>
                        <w:sz w:val="10"/>
                      </w:rPr>
                    </w:pPr>
                  </w:p>
                  <w:p w14:paraId="1F34533D" w14:textId="77777777" w:rsidR="00335647" w:rsidRDefault="00335647">
                    <w:pPr>
                      <w:rPr>
                        <w:b/>
                        <w:sz w:val="16"/>
                      </w:rPr>
                    </w:pPr>
                  </w:p>
                  <w:p w14:paraId="356A0215" w14:textId="77777777" w:rsidR="00335647" w:rsidRDefault="00335647">
                    <w:pPr>
                      <w:rPr>
                        <w:b/>
                        <w:sz w:val="16"/>
                      </w:rPr>
                    </w:pPr>
                  </w:p>
                  <w:p w14:paraId="3EDEBEF0" w14:textId="77777777" w:rsidR="00335647" w:rsidRDefault="00335647">
                    <w:pPr>
                      <w:rPr>
                        <w:b/>
                        <w:sz w:val="16"/>
                      </w:rPr>
                    </w:pPr>
                    <w:r>
                      <w:rPr>
                        <w:rFonts w:hint="eastAsia"/>
                        <w:b/>
                        <w:sz w:val="20"/>
                      </w:rPr>
                      <w:t>T</w:t>
                    </w:r>
                  </w:p>
                  <w:p w14:paraId="024FD8D4" w14:textId="77777777" w:rsidR="00335647" w:rsidRDefault="00335647">
                    <w:pPr>
                      <w:rPr>
                        <w:b/>
                        <w:sz w:val="10"/>
                      </w:rPr>
                    </w:pPr>
                  </w:p>
                  <w:p w14:paraId="4C3DF61C" w14:textId="77777777" w:rsidR="00335647" w:rsidRDefault="00335647">
                    <w:pPr>
                      <w:rPr>
                        <w:b/>
                        <w:sz w:val="16"/>
                      </w:rPr>
                    </w:pPr>
                  </w:p>
                  <w:p w14:paraId="001779C1" w14:textId="77777777" w:rsidR="00335647" w:rsidRDefault="00335647">
                    <w:pPr>
                      <w:rPr>
                        <w:b/>
                        <w:sz w:val="16"/>
                      </w:rPr>
                    </w:pPr>
                  </w:p>
                  <w:p w14:paraId="1FA6829C" w14:textId="77777777" w:rsidR="00335647" w:rsidRDefault="00335647">
                    <w:pPr>
                      <w:rPr>
                        <w:b/>
                        <w:sz w:val="16"/>
                      </w:rPr>
                    </w:pPr>
                    <w:r>
                      <w:rPr>
                        <w:rFonts w:hint="eastAsia"/>
                        <w:b/>
                        <w:sz w:val="20"/>
                      </w:rPr>
                      <w:t>U</w:t>
                    </w:r>
                  </w:p>
                  <w:p w14:paraId="51ED5591" w14:textId="77777777" w:rsidR="00335647" w:rsidRDefault="00335647">
                    <w:pPr>
                      <w:rPr>
                        <w:b/>
                        <w:sz w:val="10"/>
                      </w:rPr>
                    </w:pPr>
                  </w:p>
                  <w:p w14:paraId="18F87A50" w14:textId="77777777" w:rsidR="00335647" w:rsidRDefault="00335647">
                    <w:pPr>
                      <w:rPr>
                        <w:b/>
                        <w:sz w:val="16"/>
                      </w:rPr>
                    </w:pPr>
                  </w:p>
                  <w:p w14:paraId="0F79125A" w14:textId="77777777" w:rsidR="00335647" w:rsidRDefault="00335647">
                    <w:pPr>
                      <w:rPr>
                        <w:b/>
                        <w:sz w:val="16"/>
                      </w:rPr>
                    </w:pPr>
                  </w:p>
                  <w:p w14:paraId="32C1BE85" w14:textId="77777777" w:rsidR="00335647" w:rsidRDefault="0033564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A3B7F">
      <w:rPr>
        <w:rStyle w:val="PageNumber"/>
        <w:noProof/>
        <w:sz w:val="28"/>
      </w:rPr>
      <w:t>30</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0FC320D5" wp14:editId="4BCF581B">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A3314" w14:textId="77777777" w:rsidR="00335647" w:rsidRDefault="00335647">
                          <w:pPr>
                            <w:rPr>
                              <w:b/>
                              <w:sz w:val="20"/>
                            </w:rPr>
                          </w:pPr>
                          <w:r>
                            <w:rPr>
                              <w:rFonts w:hint="eastAsia"/>
                              <w:b/>
                              <w:sz w:val="20"/>
                            </w:rPr>
                            <w:t>A</w:t>
                          </w:r>
                        </w:p>
                        <w:p w14:paraId="6EF66A38" w14:textId="77777777" w:rsidR="00335647" w:rsidRDefault="00335647">
                          <w:pPr>
                            <w:rPr>
                              <w:b/>
                              <w:sz w:val="10"/>
                            </w:rPr>
                          </w:pPr>
                        </w:p>
                        <w:p w14:paraId="7E55CC2B" w14:textId="77777777" w:rsidR="00335647" w:rsidRDefault="00335647">
                          <w:pPr>
                            <w:rPr>
                              <w:b/>
                              <w:sz w:val="16"/>
                            </w:rPr>
                          </w:pPr>
                        </w:p>
                        <w:p w14:paraId="3C868821" w14:textId="77777777" w:rsidR="00335647" w:rsidRDefault="00335647">
                          <w:pPr>
                            <w:rPr>
                              <w:b/>
                              <w:sz w:val="16"/>
                            </w:rPr>
                          </w:pPr>
                        </w:p>
                        <w:p w14:paraId="1021333B" w14:textId="77777777" w:rsidR="00335647" w:rsidRDefault="00335647">
                          <w:pPr>
                            <w:rPr>
                              <w:b/>
                              <w:sz w:val="20"/>
                            </w:rPr>
                          </w:pPr>
                          <w:r>
                            <w:rPr>
                              <w:rFonts w:hint="eastAsia"/>
                              <w:b/>
                              <w:sz w:val="20"/>
                            </w:rPr>
                            <w:t>B</w:t>
                          </w:r>
                        </w:p>
                        <w:p w14:paraId="64B71EB8" w14:textId="77777777" w:rsidR="00335647" w:rsidRDefault="00335647">
                          <w:pPr>
                            <w:rPr>
                              <w:b/>
                              <w:sz w:val="10"/>
                            </w:rPr>
                          </w:pPr>
                        </w:p>
                        <w:p w14:paraId="60227333" w14:textId="77777777" w:rsidR="00335647" w:rsidRDefault="00335647">
                          <w:pPr>
                            <w:rPr>
                              <w:b/>
                              <w:sz w:val="16"/>
                            </w:rPr>
                          </w:pPr>
                        </w:p>
                        <w:p w14:paraId="24AA5D1F" w14:textId="77777777" w:rsidR="00335647" w:rsidRDefault="00335647">
                          <w:pPr>
                            <w:rPr>
                              <w:b/>
                              <w:sz w:val="16"/>
                            </w:rPr>
                          </w:pPr>
                        </w:p>
                        <w:p w14:paraId="36C32FD3" w14:textId="77777777" w:rsidR="00335647" w:rsidRDefault="00335647">
                          <w:pPr>
                            <w:rPr>
                              <w:b/>
                              <w:sz w:val="16"/>
                            </w:rPr>
                          </w:pPr>
                          <w:r>
                            <w:rPr>
                              <w:rFonts w:hint="eastAsia"/>
                              <w:b/>
                              <w:sz w:val="20"/>
                            </w:rPr>
                            <w:t>C</w:t>
                          </w:r>
                        </w:p>
                        <w:p w14:paraId="790E8904" w14:textId="77777777" w:rsidR="00335647" w:rsidRDefault="00335647">
                          <w:pPr>
                            <w:rPr>
                              <w:b/>
                              <w:sz w:val="10"/>
                            </w:rPr>
                          </w:pPr>
                        </w:p>
                        <w:p w14:paraId="3DAB56B7" w14:textId="77777777" w:rsidR="00335647" w:rsidRDefault="00335647">
                          <w:pPr>
                            <w:rPr>
                              <w:b/>
                              <w:sz w:val="16"/>
                            </w:rPr>
                          </w:pPr>
                        </w:p>
                        <w:p w14:paraId="712A727C" w14:textId="77777777" w:rsidR="00335647" w:rsidRDefault="00335647">
                          <w:pPr>
                            <w:rPr>
                              <w:b/>
                              <w:sz w:val="16"/>
                            </w:rPr>
                          </w:pPr>
                        </w:p>
                        <w:p w14:paraId="0476EE3F" w14:textId="77777777" w:rsidR="00335647" w:rsidRDefault="00335647">
                          <w:pPr>
                            <w:pStyle w:val="Heading2"/>
                            <w:rPr>
                              <w:sz w:val="16"/>
                            </w:rPr>
                          </w:pPr>
                          <w:r>
                            <w:rPr>
                              <w:rFonts w:hint="eastAsia"/>
                            </w:rPr>
                            <w:t>D</w:t>
                          </w:r>
                        </w:p>
                        <w:p w14:paraId="619E8947" w14:textId="77777777" w:rsidR="00335647" w:rsidRDefault="00335647">
                          <w:pPr>
                            <w:rPr>
                              <w:b/>
                              <w:sz w:val="10"/>
                            </w:rPr>
                          </w:pPr>
                        </w:p>
                        <w:p w14:paraId="1A0550F2" w14:textId="77777777" w:rsidR="00335647" w:rsidRDefault="00335647">
                          <w:pPr>
                            <w:rPr>
                              <w:b/>
                              <w:sz w:val="16"/>
                            </w:rPr>
                          </w:pPr>
                        </w:p>
                        <w:p w14:paraId="58FF19D2" w14:textId="77777777" w:rsidR="00335647" w:rsidRDefault="00335647">
                          <w:pPr>
                            <w:rPr>
                              <w:b/>
                              <w:sz w:val="16"/>
                            </w:rPr>
                          </w:pPr>
                        </w:p>
                        <w:p w14:paraId="4D8E792F" w14:textId="77777777" w:rsidR="00335647" w:rsidRDefault="00335647">
                          <w:pPr>
                            <w:rPr>
                              <w:b/>
                              <w:sz w:val="16"/>
                            </w:rPr>
                          </w:pPr>
                          <w:r>
                            <w:rPr>
                              <w:rFonts w:hint="eastAsia"/>
                              <w:b/>
                              <w:sz w:val="20"/>
                            </w:rPr>
                            <w:t>E</w:t>
                          </w:r>
                        </w:p>
                        <w:p w14:paraId="6DCBEF7D" w14:textId="77777777" w:rsidR="00335647" w:rsidRDefault="00335647">
                          <w:pPr>
                            <w:rPr>
                              <w:b/>
                              <w:sz w:val="10"/>
                            </w:rPr>
                          </w:pPr>
                        </w:p>
                        <w:p w14:paraId="43AF926F" w14:textId="77777777" w:rsidR="00335647" w:rsidRDefault="00335647">
                          <w:pPr>
                            <w:rPr>
                              <w:b/>
                              <w:sz w:val="16"/>
                            </w:rPr>
                          </w:pPr>
                        </w:p>
                        <w:p w14:paraId="41918843" w14:textId="77777777" w:rsidR="00335647" w:rsidRDefault="00335647">
                          <w:pPr>
                            <w:rPr>
                              <w:b/>
                              <w:sz w:val="16"/>
                            </w:rPr>
                          </w:pPr>
                        </w:p>
                        <w:p w14:paraId="07254750" w14:textId="77777777" w:rsidR="00335647" w:rsidRDefault="00335647">
                          <w:pPr>
                            <w:rPr>
                              <w:b/>
                              <w:sz w:val="20"/>
                            </w:rPr>
                          </w:pPr>
                          <w:r>
                            <w:rPr>
                              <w:rFonts w:hint="eastAsia"/>
                              <w:b/>
                              <w:sz w:val="20"/>
                            </w:rPr>
                            <w:t>F</w:t>
                          </w:r>
                        </w:p>
                        <w:p w14:paraId="3C2D7ACA" w14:textId="77777777" w:rsidR="00335647" w:rsidRDefault="00335647">
                          <w:pPr>
                            <w:rPr>
                              <w:b/>
                              <w:sz w:val="10"/>
                            </w:rPr>
                          </w:pPr>
                        </w:p>
                        <w:p w14:paraId="37CC7019" w14:textId="77777777" w:rsidR="00335647" w:rsidRDefault="00335647">
                          <w:pPr>
                            <w:rPr>
                              <w:b/>
                              <w:sz w:val="16"/>
                            </w:rPr>
                          </w:pPr>
                        </w:p>
                        <w:p w14:paraId="38F54B52" w14:textId="77777777" w:rsidR="00335647" w:rsidRDefault="00335647">
                          <w:pPr>
                            <w:rPr>
                              <w:b/>
                              <w:sz w:val="16"/>
                            </w:rPr>
                          </w:pPr>
                        </w:p>
                        <w:p w14:paraId="35575345" w14:textId="77777777" w:rsidR="00335647" w:rsidRDefault="00335647">
                          <w:pPr>
                            <w:rPr>
                              <w:b/>
                              <w:sz w:val="16"/>
                            </w:rPr>
                          </w:pPr>
                          <w:r>
                            <w:rPr>
                              <w:rFonts w:hint="eastAsia"/>
                              <w:b/>
                              <w:sz w:val="20"/>
                            </w:rPr>
                            <w:t>G</w:t>
                          </w:r>
                        </w:p>
                        <w:p w14:paraId="722246AB" w14:textId="77777777" w:rsidR="00335647" w:rsidRDefault="00335647">
                          <w:pPr>
                            <w:rPr>
                              <w:b/>
                              <w:sz w:val="10"/>
                            </w:rPr>
                          </w:pPr>
                        </w:p>
                        <w:p w14:paraId="27FE0EB3" w14:textId="77777777" w:rsidR="00335647" w:rsidRDefault="00335647">
                          <w:pPr>
                            <w:rPr>
                              <w:b/>
                              <w:sz w:val="16"/>
                            </w:rPr>
                          </w:pPr>
                        </w:p>
                        <w:p w14:paraId="5886B72D" w14:textId="77777777" w:rsidR="00335647" w:rsidRDefault="00335647">
                          <w:pPr>
                            <w:rPr>
                              <w:b/>
                              <w:sz w:val="16"/>
                            </w:rPr>
                          </w:pPr>
                        </w:p>
                        <w:p w14:paraId="432E247F" w14:textId="77777777" w:rsidR="00335647" w:rsidRDefault="00335647">
                          <w:pPr>
                            <w:rPr>
                              <w:b/>
                              <w:sz w:val="16"/>
                            </w:rPr>
                          </w:pPr>
                          <w:r>
                            <w:rPr>
                              <w:rFonts w:hint="eastAsia"/>
                              <w:b/>
                              <w:sz w:val="20"/>
                            </w:rPr>
                            <w:t>H</w:t>
                          </w:r>
                        </w:p>
                        <w:p w14:paraId="5C3AEC3C" w14:textId="77777777" w:rsidR="00335647" w:rsidRDefault="00335647">
                          <w:pPr>
                            <w:rPr>
                              <w:b/>
                              <w:sz w:val="10"/>
                            </w:rPr>
                          </w:pPr>
                        </w:p>
                        <w:p w14:paraId="5B859A4E" w14:textId="77777777" w:rsidR="00335647" w:rsidRDefault="00335647">
                          <w:pPr>
                            <w:rPr>
                              <w:b/>
                              <w:sz w:val="16"/>
                            </w:rPr>
                          </w:pPr>
                        </w:p>
                        <w:p w14:paraId="2F7D7A61" w14:textId="77777777" w:rsidR="00335647" w:rsidRDefault="00335647">
                          <w:pPr>
                            <w:rPr>
                              <w:b/>
                              <w:sz w:val="16"/>
                            </w:rPr>
                          </w:pPr>
                        </w:p>
                        <w:p w14:paraId="7BCC9F1F" w14:textId="77777777" w:rsidR="00335647" w:rsidRDefault="00335647">
                          <w:pPr>
                            <w:rPr>
                              <w:b/>
                              <w:sz w:val="16"/>
                            </w:rPr>
                          </w:pPr>
                          <w:r>
                            <w:rPr>
                              <w:rFonts w:hint="eastAsia"/>
                              <w:b/>
                              <w:sz w:val="20"/>
                            </w:rPr>
                            <w:t>I</w:t>
                          </w:r>
                        </w:p>
                        <w:p w14:paraId="740157D4" w14:textId="77777777" w:rsidR="00335647" w:rsidRDefault="00335647">
                          <w:pPr>
                            <w:rPr>
                              <w:b/>
                              <w:sz w:val="10"/>
                            </w:rPr>
                          </w:pPr>
                        </w:p>
                        <w:p w14:paraId="72934BAF" w14:textId="77777777" w:rsidR="00335647" w:rsidRDefault="00335647">
                          <w:pPr>
                            <w:rPr>
                              <w:b/>
                              <w:sz w:val="16"/>
                            </w:rPr>
                          </w:pPr>
                        </w:p>
                        <w:p w14:paraId="17CB7987" w14:textId="77777777" w:rsidR="00335647" w:rsidRDefault="00335647">
                          <w:pPr>
                            <w:rPr>
                              <w:b/>
                              <w:sz w:val="16"/>
                            </w:rPr>
                          </w:pPr>
                        </w:p>
                        <w:p w14:paraId="7401FABE" w14:textId="77777777" w:rsidR="00335647" w:rsidRDefault="00335647">
                          <w:pPr>
                            <w:rPr>
                              <w:b/>
                              <w:sz w:val="16"/>
                            </w:rPr>
                          </w:pPr>
                          <w:r>
                            <w:rPr>
                              <w:rFonts w:hint="eastAsia"/>
                              <w:b/>
                              <w:sz w:val="20"/>
                            </w:rPr>
                            <w:t>J</w:t>
                          </w:r>
                        </w:p>
                        <w:p w14:paraId="0AFD4EE7" w14:textId="77777777" w:rsidR="00335647" w:rsidRDefault="00335647">
                          <w:pPr>
                            <w:rPr>
                              <w:b/>
                              <w:sz w:val="10"/>
                            </w:rPr>
                          </w:pPr>
                        </w:p>
                        <w:p w14:paraId="32C89B68" w14:textId="77777777" w:rsidR="00335647" w:rsidRDefault="00335647">
                          <w:pPr>
                            <w:rPr>
                              <w:b/>
                              <w:sz w:val="16"/>
                            </w:rPr>
                          </w:pPr>
                        </w:p>
                        <w:p w14:paraId="54FEB40E" w14:textId="77777777" w:rsidR="00335647" w:rsidRDefault="00335647">
                          <w:pPr>
                            <w:rPr>
                              <w:b/>
                              <w:sz w:val="16"/>
                            </w:rPr>
                          </w:pPr>
                        </w:p>
                        <w:p w14:paraId="4A4E5DAB" w14:textId="77777777" w:rsidR="00335647" w:rsidRDefault="00335647">
                          <w:pPr>
                            <w:rPr>
                              <w:b/>
                              <w:sz w:val="16"/>
                            </w:rPr>
                          </w:pPr>
                          <w:r>
                            <w:rPr>
                              <w:rFonts w:hint="eastAsia"/>
                              <w:b/>
                              <w:sz w:val="20"/>
                            </w:rPr>
                            <w:t>K</w:t>
                          </w:r>
                        </w:p>
                        <w:p w14:paraId="3B6C4821" w14:textId="77777777" w:rsidR="00335647" w:rsidRDefault="00335647">
                          <w:pPr>
                            <w:rPr>
                              <w:b/>
                              <w:sz w:val="10"/>
                            </w:rPr>
                          </w:pPr>
                        </w:p>
                        <w:p w14:paraId="4418001E" w14:textId="77777777" w:rsidR="00335647" w:rsidRDefault="00335647">
                          <w:pPr>
                            <w:rPr>
                              <w:b/>
                              <w:sz w:val="16"/>
                            </w:rPr>
                          </w:pPr>
                        </w:p>
                        <w:p w14:paraId="67C9487A" w14:textId="77777777" w:rsidR="00335647" w:rsidRDefault="00335647">
                          <w:pPr>
                            <w:rPr>
                              <w:b/>
                              <w:sz w:val="16"/>
                            </w:rPr>
                          </w:pPr>
                        </w:p>
                        <w:p w14:paraId="2FEE5866" w14:textId="77777777" w:rsidR="00335647" w:rsidRDefault="00335647">
                          <w:pPr>
                            <w:rPr>
                              <w:b/>
                              <w:sz w:val="16"/>
                            </w:rPr>
                          </w:pPr>
                          <w:r>
                            <w:rPr>
                              <w:rFonts w:hint="eastAsia"/>
                              <w:b/>
                              <w:sz w:val="20"/>
                            </w:rPr>
                            <w:t>L</w:t>
                          </w:r>
                        </w:p>
                        <w:p w14:paraId="65C1FFFE" w14:textId="77777777" w:rsidR="00335647" w:rsidRDefault="00335647">
                          <w:pPr>
                            <w:rPr>
                              <w:b/>
                              <w:sz w:val="10"/>
                            </w:rPr>
                          </w:pPr>
                        </w:p>
                        <w:p w14:paraId="5E86A34A" w14:textId="77777777" w:rsidR="00335647" w:rsidRDefault="00335647">
                          <w:pPr>
                            <w:rPr>
                              <w:b/>
                              <w:sz w:val="16"/>
                            </w:rPr>
                          </w:pPr>
                        </w:p>
                        <w:p w14:paraId="6E333CED" w14:textId="77777777" w:rsidR="00335647" w:rsidRDefault="00335647">
                          <w:pPr>
                            <w:rPr>
                              <w:b/>
                              <w:sz w:val="16"/>
                            </w:rPr>
                          </w:pPr>
                        </w:p>
                        <w:p w14:paraId="3EB53148" w14:textId="77777777" w:rsidR="00335647" w:rsidRDefault="00335647">
                          <w:pPr>
                            <w:rPr>
                              <w:b/>
                              <w:sz w:val="16"/>
                            </w:rPr>
                          </w:pPr>
                          <w:r>
                            <w:rPr>
                              <w:rFonts w:hint="eastAsia"/>
                              <w:b/>
                              <w:sz w:val="20"/>
                            </w:rPr>
                            <w:t>M</w:t>
                          </w:r>
                        </w:p>
                        <w:p w14:paraId="48306143" w14:textId="77777777" w:rsidR="00335647" w:rsidRDefault="00335647">
                          <w:pPr>
                            <w:rPr>
                              <w:b/>
                              <w:sz w:val="10"/>
                            </w:rPr>
                          </w:pPr>
                        </w:p>
                        <w:p w14:paraId="03101379" w14:textId="77777777" w:rsidR="00335647" w:rsidRDefault="00335647">
                          <w:pPr>
                            <w:rPr>
                              <w:b/>
                              <w:sz w:val="16"/>
                            </w:rPr>
                          </w:pPr>
                        </w:p>
                        <w:p w14:paraId="1AC7AB0D" w14:textId="77777777" w:rsidR="00335647" w:rsidRDefault="00335647">
                          <w:pPr>
                            <w:rPr>
                              <w:b/>
                              <w:sz w:val="16"/>
                            </w:rPr>
                          </w:pPr>
                        </w:p>
                        <w:p w14:paraId="78F9DE00" w14:textId="77777777" w:rsidR="00335647" w:rsidRDefault="00335647">
                          <w:pPr>
                            <w:rPr>
                              <w:b/>
                              <w:sz w:val="16"/>
                            </w:rPr>
                          </w:pPr>
                          <w:r>
                            <w:rPr>
                              <w:rFonts w:hint="eastAsia"/>
                              <w:b/>
                              <w:sz w:val="20"/>
                            </w:rPr>
                            <w:t>N</w:t>
                          </w:r>
                        </w:p>
                        <w:p w14:paraId="24C69366" w14:textId="77777777" w:rsidR="00335647" w:rsidRDefault="00335647">
                          <w:pPr>
                            <w:rPr>
                              <w:b/>
                              <w:sz w:val="10"/>
                            </w:rPr>
                          </w:pPr>
                        </w:p>
                        <w:p w14:paraId="71116B05" w14:textId="77777777" w:rsidR="00335647" w:rsidRDefault="00335647">
                          <w:pPr>
                            <w:rPr>
                              <w:b/>
                              <w:sz w:val="16"/>
                            </w:rPr>
                          </w:pPr>
                        </w:p>
                        <w:p w14:paraId="44439D25" w14:textId="77777777" w:rsidR="00335647" w:rsidRDefault="00335647">
                          <w:pPr>
                            <w:rPr>
                              <w:b/>
                              <w:sz w:val="16"/>
                            </w:rPr>
                          </w:pPr>
                        </w:p>
                        <w:p w14:paraId="70F077DE" w14:textId="77777777" w:rsidR="00335647" w:rsidRDefault="00335647">
                          <w:pPr>
                            <w:rPr>
                              <w:b/>
                              <w:sz w:val="16"/>
                            </w:rPr>
                          </w:pPr>
                          <w:r>
                            <w:rPr>
                              <w:rFonts w:hint="eastAsia"/>
                              <w:b/>
                              <w:sz w:val="20"/>
                            </w:rPr>
                            <w:t>O</w:t>
                          </w:r>
                        </w:p>
                        <w:p w14:paraId="54338146" w14:textId="77777777" w:rsidR="00335647" w:rsidRDefault="00335647">
                          <w:pPr>
                            <w:rPr>
                              <w:b/>
                              <w:sz w:val="10"/>
                            </w:rPr>
                          </w:pPr>
                        </w:p>
                        <w:p w14:paraId="56F33D8F" w14:textId="77777777" w:rsidR="00335647" w:rsidRDefault="00335647">
                          <w:pPr>
                            <w:rPr>
                              <w:b/>
                              <w:sz w:val="16"/>
                            </w:rPr>
                          </w:pPr>
                        </w:p>
                        <w:p w14:paraId="4C8D7CB4" w14:textId="77777777" w:rsidR="00335647" w:rsidRDefault="00335647">
                          <w:pPr>
                            <w:rPr>
                              <w:b/>
                              <w:sz w:val="16"/>
                            </w:rPr>
                          </w:pPr>
                        </w:p>
                        <w:p w14:paraId="6AF5D27D" w14:textId="77777777" w:rsidR="00335647" w:rsidRDefault="00335647">
                          <w:pPr>
                            <w:rPr>
                              <w:b/>
                              <w:sz w:val="16"/>
                            </w:rPr>
                          </w:pPr>
                          <w:r>
                            <w:rPr>
                              <w:rFonts w:hint="eastAsia"/>
                              <w:b/>
                              <w:sz w:val="20"/>
                            </w:rPr>
                            <w:t>P</w:t>
                          </w:r>
                        </w:p>
                        <w:p w14:paraId="73990217" w14:textId="77777777" w:rsidR="00335647" w:rsidRDefault="00335647">
                          <w:pPr>
                            <w:rPr>
                              <w:b/>
                              <w:sz w:val="10"/>
                            </w:rPr>
                          </w:pPr>
                        </w:p>
                        <w:p w14:paraId="4FF20FC9" w14:textId="77777777" w:rsidR="00335647" w:rsidRDefault="00335647">
                          <w:pPr>
                            <w:rPr>
                              <w:b/>
                              <w:sz w:val="16"/>
                            </w:rPr>
                          </w:pPr>
                        </w:p>
                        <w:p w14:paraId="14546D5C" w14:textId="77777777" w:rsidR="00335647" w:rsidRDefault="00335647">
                          <w:pPr>
                            <w:rPr>
                              <w:b/>
                              <w:sz w:val="16"/>
                            </w:rPr>
                          </w:pPr>
                        </w:p>
                        <w:p w14:paraId="05F42603" w14:textId="77777777" w:rsidR="00335647" w:rsidRDefault="00335647">
                          <w:pPr>
                            <w:rPr>
                              <w:b/>
                              <w:sz w:val="16"/>
                            </w:rPr>
                          </w:pPr>
                          <w:r>
                            <w:rPr>
                              <w:rFonts w:hint="eastAsia"/>
                              <w:b/>
                              <w:sz w:val="20"/>
                            </w:rPr>
                            <w:t>Q</w:t>
                          </w:r>
                        </w:p>
                        <w:p w14:paraId="0262EE6D" w14:textId="77777777" w:rsidR="00335647" w:rsidRDefault="00335647">
                          <w:pPr>
                            <w:rPr>
                              <w:b/>
                              <w:sz w:val="10"/>
                            </w:rPr>
                          </w:pPr>
                        </w:p>
                        <w:p w14:paraId="28617AF4" w14:textId="77777777" w:rsidR="00335647" w:rsidRDefault="00335647">
                          <w:pPr>
                            <w:rPr>
                              <w:b/>
                              <w:sz w:val="16"/>
                            </w:rPr>
                          </w:pPr>
                        </w:p>
                        <w:p w14:paraId="3EB6B4B1" w14:textId="77777777" w:rsidR="00335647" w:rsidRDefault="00335647">
                          <w:pPr>
                            <w:rPr>
                              <w:b/>
                              <w:sz w:val="16"/>
                            </w:rPr>
                          </w:pPr>
                        </w:p>
                        <w:p w14:paraId="023EB0D0" w14:textId="77777777" w:rsidR="00335647" w:rsidRDefault="00335647">
                          <w:pPr>
                            <w:rPr>
                              <w:b/>
                              <w:sz w:val="16"/>
                            </w:rPr>
                          </w:pPr>
                          <w:r>
                            <w:rPr>
                              <w:rFonts w:hint="eastAsia"/>
                              <w:b/>
                              <w:sz w:val="20"/>
                            </w:rPr>
                            <w:t>R</w:t>
                          </w:r>
                        </w:p>
                        <w:p w14:paraId="3A11CC1E" w14:textId="77777777" w:rsidR="00335647" w:rsidRDefault="00335647">
                          <w:pPr>
                            <w:rPr>
                              <w:b/>
                              <w:sz w:val="10"/>
                            </w:rPr>
                          </w:pPr>
                        </w:p>
                        <w:p w14:paraId="57D06959" w14:textId="77777777" w:rsidR="00335647" w:rsidRDefault="00335647">
                          <w:pPr>
                            <w:rPr>
                              <w:b/>
                              <w:sz w:val="16"/>
                            </w:rPr>
                          </w:pPr>
                        </w:p>
                        <w:p w14:paraId="716672FD" w14:textId="77777777" w:rsidR="00335647" w:rsidRDefault="00335647">
                          <w:pPr>
                            <w:rPr>
                              <w:b/>
                              <w:sz w:val="16"/>
                            </w:rPr>
                          </w:pPr>
                        </w:p>
                        <w:p w14:paraId="02565730" w14:textId="77777777" w:rsidR="00335647" w:rsidRDefault="00335647">
                          <w:pPr>
                            <w:rPr>
                              <w:b/>
                              <w:sz w:val="16"/>
                            </w:rPr>
                          </w:pPr>
                          <w:r>
                            <w:rPr>
                              <w:rFonts w:hint="eastAsia"/>
                              <w:b/>
                              <w:sz w:val="20"/>
                            </w:rPr>
                            <w:t>S</w:t>
                          </w:r>
                        </w:p>
                        <w:p w14:paraId="455B88E8" w14:textId="77777777" w:rsidR="00335647" w:rsidRDefault="00335647">
                          <w:pPr>
                            <w:rPr>
                              <w:b/>
                              <w:sz w:val="10"/>
                            </w:rPr>
                          </w:pPr>
                        </w:p>
                        <w:p w14:paraId="639FF629" w14:textId="77777777" w:rsidR="00335647" w:rsidRDefault="00335647">
                          <w:pPr>
                            <w:rPr>
                              <w:b/>
                              <w:sz w:val="16"/>
                            </w:rPr>
                          </w:pPr>
                        </w:p>
                        <w:p w14:paraId="0AB3777D" w14:textId="77777777" w:rsidR="00335647" w:rsidRDefault="00335647">
                          <w:pPr>
                            <w:rPr>
                              <w:b/>
                              <w:sz w:val="16"/>
                            </w:rPr>
                          </w:pPr>
                        </w:p>
                        <w:p w14:paraId="21FB9BCD" w14:textId="77777777" w:rsidR="00335647" w:rsidRDefault="00335647">
                          <w:pPr>
                            <w:rPr>
                              <w:b/>
                              <w:sz w:val="16"/>
                            </w:rPr>
                          </w:pPr>
                          <w:r>
                            <w:rPr>
                              <w:rFonts w:hint="eastAsia"/>
                              <w:b/>
                              <w:sz w:val="20"/>
                            </w:rPr>
                            <w:t>T</w:t>
                          </w:r>
                        </w:p>
                        <w:p w14:paraId="4C94D373" w14:textId="77777777" w:rsidR="00335647" w:rsidRDefault="00335647">
                          <w:pPr>
                            <w:rPr>
                              <w:b/>
                              <w:sz w:val="10"/>
                            </w:rPr>
                          </w:pPr>
                        </w:p>
                        <w:p w14:paraId="0480C3AA" w14:textId="77777777" w:rsidR="00335647" w:rsidRDefault="00335647">
                          <w:pPr>
                            <w:rPr>
                              <w:b/>
                              <w:sz w:val="16"/>
                            </w:rPr>
                          </w:pPr>
                        </w:p>
                        <w:p w14:paraId="5ADEFEEA" w14:textId="77777777" w:rsidR="00335647" w:rsidRDefault="00335647">
                          <w:pPr>
                            <w:rPr>
                              <w:b/>
                              <w:sz w:val="16"/>
                            </w:rPr>
                          </w:pPr>
                        </w:p>
                        <w:p w14:paraId="37E62CA7" w14:textId="77777777" w:rsidR="00335647" w:rsidRDefault="00335647">
                          <w:pPr>
                            <w:rPr>
                              <w:b/>
                              <w:sz w:val="16"/>
                            </w:rPr>
                          </w:pPr>
                          <w:r>
                            <w:rPr>
                              <w:rFonts w:hint="eastAsia"/>
                              <w:b/>
                              <w:sz w:val="20"/>
                            </w:rPr>
                            <w:t>U</w:t>
                          </w:r>
                        </w:p>
                        <w:p w14:paraId="144BCDC0" w14:textId="77777777" w:rsidR="00335647" w:rsidRDefault="00335647">
                          <w:pPr>
                            <w:rPr>
                              <w:b/>
                              <w:sz w:val="10"/>
                            </w:rPr>
                          </w:pPr>
                        </w:p>
                        <w:p w14:paraId="3B20F260" w14:textId="77777777" w:rsidR="00335647" w:rsidRDefault="00335647">
                          <w:pPr>
                            <w:rPr>
                              <w:b/>
                              <w:sz w:val="16"/>
                            </w:rPr>
                          </w:pPr>
                        </w:p>
                        <w:p w14:paraId="79FF2C7B" w14:textId="77777777" w:rsidR="00335647" w:rsidRDefault="00335647">
                          <w:pPr>
                            <w:rPr>
                              <w:b/>
                              <w:sz w:val="16"/>
                            </w:rPr>
                          </w:pPr>
                        </w:p>
                        <w:p w14:paraId="4D5A6232" w14:textId="77777777" w:rsidR="00335647" w:rsidRDefault="0033564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320D5"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752A3314" w14:textId="77777777" w:rsidR="00335647" w:rsidRDefault="00335647">
                    <w:pPr>
                      <w:rPr>
                        <w:b/>
                        <w:sz w:val="20"/>
                      </w:rPr>
                    </w:pPr>
                    <w:r>
                      <w:rPr>
                        <w:rFonts w:hint="eastAsia"/>
                        <w:b/>
                        <w:sz w:val="20"/>
                      </w:rPr>
                      <w:t>A</w:t>
                    </w:r>
                  </w:p>
                  <w:p w14:paraId="6EF66A38" w14:textId="77777777" w:rsidR="00335647" w:rsidRDefault="00335647">
                    <w:pPr>
                      <w:rPr>
                        <w:b/>
                        <w:sz w:val="10"/>
                      </w:rPr>
                    </w:pPr>
                  </w:p>
                  <w:p w14:paraId="7E55CC2B" w14:textId="77777777" w:rsidR="00335647" w:rsidRDefault="00335647">
                    <w:pPr>
                      <w:rPr>
                        <w:b/>
                        <w:sz w:val="16"/>
                      </w:rPr>
                    </w:pPr>
                  </w:p>
                  <w:p w14:paraId="3C868821" w14:textId="77777777" w:rsidR="00335647" w:rsidRDefault="00335647">
                    <w:pPr>
                      <w:rPr>
                        <w:b/>
                        <w:sz w:val="16"/>
                      </w:rPr>
                    </w:pPr>
                  </w:p>
                  <w:p w14:paraId="1021333B" w14:textId="77777777" w:rsidR="00335647" w:rsidRDefault="00335647">
                    <w:pPr>
                      <w:rPr>
                        <w:b/>
                        <w:sz w:val="20"/>
                      </w:rPr>
                    </w:pPr>
                    <w:r>
                      <w:rPr>
                        <w:rFonts w:hint="eastAsia"/>
                        <w:b/>
                        <w:sz w:val="20"/>
                      </w:rPr>
                      <w:t>B</w:t>
                    </w:r>
                  </w:p>
                  <w:p w14:paraId="64B71EB8" w14:textId="77777777" w:rsidR="00335647" w:rsidRDefault="00335647">
                    <w:pPr>
                      <w:rPr>
                        <w:b/>
                        <w:sz w:val="10"/>
                      </w:rPr>
                    </w:pPr>
                  </w:p>
                  <w:p w14:paraId="60227333" w14:textId="77777777" w:rsidR="00335647" w:rsidRDefault="00335647">
                    <w:pPr>
                      <w:rPr>
                        <w:b/>
                        <w:sz w:val="16"/>
                      </w:rPr>
                    </w:pPr>
                  </w:p>
                  <w:p w14:paraId="24AA5D1F" w14:textId="77777777" w:rsidR="00335647" w:rsidRDefault="00335647">
                    <w:pPr>
                      <w:rPr>
                        <w:b/>
                        <w:sz w:val="16"/>
                      </w:rPr>
                    </w:pPr>
                  </w:p>
                  <w:p w14:paraId="36C32FD3" w14:textId="77777777" w:rsidR="00335647" w:rsidRDefault="00335647">
                    <w:pPr>
                      <w:rPr>
                        <w:b/>
                        <w:sz w:val="16"/>
                      </w:rPr>
                    </w:pPr>
                    <w:r>
                      <w:rPr>
                        <w:rFonts w:hint="eastAsia"/>
                        <w:b/>
                        <w:sz w:val="20"/>
                      </w:rPr>
                      <w:t>C</w:t>
                    </w:r>
                  </w:p>
                  <w:p w14:paraId="790E8904" w14:textId="77777777" w:rsidR="00335647" w:rsidRDefault="00335647">
                    <w:pPr>
                      <w:rPr>
                        <w:b/>
                        <w:sz w:val="10"/>
                      </w:rPr>
                    </w:pPr>
                  </w:p>
                  <w:p w14:paraId="3DAB56B7" w14:textId="77777777" w:rsidR="00335647" w:rsidRDefault="00335647">
                    <w:pPr>
                      <w:rPr>
                        <w:b/>
                        <w:sz w:val="16"/>
                      </w:rPr>
                    </w:pPr>
                  </w:p>
                  <w:p w14:paraId="712A727C" w14:textId="77777777" w:rsidR="00335647" w:rsidRDefault="00335647">
                    <w:pPr>
                      <w:rPr>
                        <w:b/>
                        <w:sz w:val="16"/>
                      </w:rPr>
                    </w:pPr>
                  </w:p>
                  <w:p w14:paraId="0476EE3F" w14:textId="77777777" w:rsidR="00335647" w:rsidRDefault="00335647">
                    <w:pPr>
                      <w:pStyle w:val="Heading2"/>
                      <w:rPr>
                        <w:sz w:val="16"/>
                      </w:rPr>
                    </w:pPr>
                    <w:r>
                      <w:rPr>
                        <w:rFonts w:hint="eastAsia"/>
                      </w:rPr>
                      <w:t>D</w:t>
                    </w:r>
                  </w:p>
                  <w:p w14:paraId="619E8947" w14:textId="77777777" w:rsidR="00335647" w:rsidRDefault="00335647">
                    <w:pPr>
                      <w:rPr>
                        <w:b/>
                        <w:sz w:val="10"/>
                      </w:rPr>
                    </w:pPr>
                  </w:p>
                  <w:p w14:paraId="1A0550F2" w14:textId="77777777" w:rsidR="00335647" w:rsidRDefault="00335647">
                    <w:pPr>
                      <w:rPr>
                        <w:b/>
                        <w:sz w:val="16"/>
                      </w:rPr>
                    </w:pPr>
                  </w:p>
                  <w:p w14:paraId="58FF19D2" w14:textId="77777777" w:rsidR="00335647" w:rsidRDefault="00335647">
                    <w:pPr>
                      <w:rPr>
                        <w:b/>
                        <w:sz w:val="16"/>
                      </w:rPr>
                    </w:pPr>
                  </w:p>
                  <w:p w14:paraId="4D8E792F" w14:textId="77777777" w:rsidR="00335647" w:rsidRDefault="00335647">
                    <w:pPr>
                      <w:rPr>
                        <w:b/>
                        <w:sz w:val="16"/>
                      </w:rPr>
                    </w:pPr>
                    <w:r>
                      <w:rPr>
                        <w:rFonts w:hint="eastAsia"/>
                        <w:b/>
                        <w:sz w:val="20"/>
                      </w:rPr>
                      <w:t>E</w:t>
                    </w:r>
                  </w:p>
                  <w:p w14:paraId="6DCBEF7D" w14:textId="77777777" w:rsidR="00335647" w:rsidRDefault="00335647">
                    <w:pPr>
                      <w:rPr>
                        <w:b/>
                        <w:sz w:val="10"/>
                      </w:rPr>
                    </w:pPr>
                  </w:p>
                  <w:p w14:paraId="43AF926F" w14:textId="77777777" w:rsidR="00335647" w:rsidRDefault="00335647">
                    <w:pPr>
                      <w:rPr>
                        <w:b/>
                        <w:sz w:val="16"/>
                      </w:rPr>
                    </w:pPr>
                  </w:p>
                  <w:p w14:paraId="41918843" w14:textId="77777777" w:rsidR="00335647" w:rsidRDefault="00335647">
                    <w:pPr>
                      <w:rPr>
                        <w:b/>
                        <w:sz w:val="16"/>
                      </w:rPr>
                    </w:pPr>
                  </w:p>
                  <w:p w14:paraId="07254750" w14:textId="77777777" w:rsidR="00335647" w:rsidRDefault="00335647">
                    <w:pPr>
                      <w:rPr>
                        <w:b/>
                        <w:sz w:val="20"/>
                      </w:rPr>
                    </w:pPr>
                    <w:r>
                      <w:rPr>
                        <w:rFonts w:hint="eastAsia"/>
                        <w:b/>
                        <w:sz w:val="20"/>
                      </w:rPr>
                      <w:t>F</w:t>
                    </w:r>
                  </w:p>
                  <w:p w14:paraId="3C2D7ACA" w14:textId="77777777" w:rsidR="00335647" w:rsidRDefault="00335647">
                    <w:pPr>
                      <w:rPr>
                        <w:b/>
                        <w:sz w:val="10"/>
                      </w:rPr>
                    </w:pPr>
                  </w:p>
                  <w:p w14:paraId="37CC7019" w14:textId="77777777" w:rsidR="00335647" w:rsidRDefault="00335647">
                    <w:pPr>
                      <w:rPr>
                        <w:b/>
                        <w:sz w:val="16"/>
                      </w:rPr>
                    </w:pPr>
                  </w:p>
                  <w:p w14:paraId="38F54B52" w14:textId="77777777" w:rsidR="00335647" w:rsidRDefault="00335647">
                    <w:pPr>
                      <w:rPr>
                        <w:b/>
                        <w:sz w:val="16"/>
                      </w:rPr>
                    </w:pPr>
                  </w:p>
                  <w:p w14:paraId="35575345" w14:textId="77777777" w:rsidR="00335647" w:rsidRDefault="00335647">
                    <w:pPr>
                      <w:rPr>
                        <w:b/>
                        <w:sz w:val="16"/>
                      </w:rPr>
                    </w:pPr>
                    <w:r>
                      <w:rPr>
                        <w:rFonts w:hint="eastAsia"/>
                        <w:b/>
                        <w:sz w:val="20"/>
                      </w:rPr>
                      <w:t>G</w:t>
                    </w:r>
                  </w:p>
                  <w:p w14:paraId="722246AB" w14:textId="77777777" w:rsidR="00335647" w:rsidRDefault="00335647">
                    <w:pPr>
                      <w:rPr>
                        <w:b/>
                        <w:sz w:val="10"/>
                      </w:rPr>
                    </w:pPr>
                  </w:p>
                  <w:p w14:paraId="27FE0EB3" w14:textId="77777777" w:rsidR="00335647" w:rsidRDefault="00335647">
                    <w:pPr>
                      <w:rPr>
                        <w:b/>
                        <w:sz w:val="16"/>
                      </w:rPr>
                    </w:pPr>
                  </w:p>
                  <w:p w14:paraId="5886B72D" w14:textId="77777777" w:rsidR="00335647" w:rsidRDefault="00335647">
                    <w:pPr>
                      <w:rPr>
                        <w:b/>
                        <w:sz w:val="16"/>
                      </w:rPr>
                    </w:pPr>
                  </w:p>
                  <w:p w14:paraId="432E247F" w14:textId="77777777" w:rsidR="00335647" w:rsidRDefault="00335647">
                    <w:pPr>
                      <w:rPr>
                        <w:b/>
                        <w:sz w:val="16"/>
                      </w:rPr>
                    </w:pPr>
                    <w:r>
                      <w:rPr>
                        <w:rFonts w:hint="eastAsia"/>
                        <w:b/>
                        <w:sz w:val="20"/>
                      </w:rPr>
                      <w:t>H</w:t>
                    </w:r>
                  </w:p>
                  <w:p w14:paraId="5C3AEC3C" w14:textId="77777777" w:rsidR="00335647" w:rsidRDefault="00335647">
                    <w:pPr>
                      <w:rPr>
                        <w:b/>
                        <w:sz w:val="10"/>
                      </w:rPr>
                    </w:pPr>
                  </w:p>
                  <w:p w14:paraId="5B859A4E" w14:textId="77777777" w:rsidR="00335647" w:rsidRDefault="00335647">
                    <w:pPr>
                      <w:rPr>
                        <w:b/>
                        <w:sz w:val="16"/>
                      </w:rPr>
                    </w:pPr>
                  </w:p>
                  <w:p w14:paraId="2F7D7A61" w14:textId="77777777" w:rsidR="00335647" w:rsidRDefault="00335647">
                    <w:pPr>
                      <w:rPr>
                        <w:b/>
                        <w:sz w:val="16"/>
                      </w:rPr>
                    </w:pPr>
                  </w:p>
                  <w:p w14:paraId="7BCC9F1F" w14:textId="77777777" w:rsidR="00335647" w:rsidRDefault="00335647">
                    <w:pPr>
                      <w:rPr>
                        <w:b/>
                        <w:sz w:val="16"/>
                      </w:rPr>
                    </w:pPr>
                    <w:r>
                      <w:rPr>
                        <w:rFonts w:hint="eastAsia"/>
                        <w:b/>
                        <w:sz w:val="20"/>
                      </w:rPr>
                      <w:t>I</w:t>
                    </w:r>
                  </w:p>
                  <w:p w14:paraId="740157D4" w14:textId="77777777" w:rsidR="00335647" w:rsidRDefault="00335647">
                    <w:pPr>
                      <w:rPr>
                        <w:b/>
                        <w:sz w:val="10"/>
                      </w:rPr>
                    </w:pPr>
                  </w:p>
                  <w:p w14:paraId="72934BAF" w14:textId="77777777" w:rsidR="00335647" w:rsidRDefault="00335647">
                    <w:pPr>
                      <w:rPr>
                        <w:b/>
                        <w:sz w:val="16"/>
                      </w:rPr>
                    </w:pPr>
                  </w:p>
                  <w:p w14:paraId="17CB7987" w14:textId="77777777" w:rsidR="00335647" w:rsidRDefault="00335647">
                    <w:pPr>
                      <w:rPr>
                        <w:b/>
                        <w:sz w:val="16"/>
                      </w:rPr>
                    </w:pPr>
                  </w:p>
                  <w:p w14:paraId="7401FABE" w14:textId="77777777" w:rsidR="00335647" w:rsidRDefault="00335647">
                    <w:pPr>
                      <w:rPr>
                        <w:b/>
                        <w:sz w:val="16"/>
                      </w:rPr>
                    </w:pPr>
                    <w:r>
                      <w:rPr>
                        <w:rFonts w:hint="eastAsia"/>
                        <w:b/>
                        <w:sz w:val="20"/>
                      </w:rPr>
                      <w:t>J</w:t>
                    </w:r>
                  </w:p>
                  <w:p w14:paraId="0AFD4EE7" w14:textId="77777777" w:rsidR="00335647" w:rsidRDefault="00335647">
                    <w:pPr>
                      <w:rPr>
                        <w:b/>
                        <w:sz w:val="10"/>
                      </w:rPr>
                    </w:pPr>
                  </w:p>
                  <w:p w14:paraId="32C89B68" w14:textId="77777777" w:rsidR="00335647" w:rsidRDefault="00335647">
                    <w:pPr>
                      <w:rPr>
                        <w:b/>
                        <w:sz w:val="16"/>
                      </w:rPr>
                    </w:pPr>
                  </w:p>
                  <w:p w14:paraId="54FEB40E" w14:textId="77777777" w:rsidR="00335647" w:rsidRDefault="00335647">
                    <w:pPr>
                      <w:rPr>
                        <w:b/>
                        <w:sz w:val="16"/>
                      </w:rPr>
                    </w:pPr>
                  </w:p>
                  <w:p w14:paraId="4A4E5DAB" w14:textId="77777777" w:rsidR="00335647" w:rsidRDefault="00335647">
                    <w:pPr>
                      <w:rPr>
                        <w:b/>
                        <w:sz w:val="16"/>
                      </w:rPr>
                    </w:pPr>
                    <w:r>
                      <w:rPr>
                        <w:rFonts w:hint="eastAsia"/>
                        <w:b/>
                        <w:sz w:val="20"/>
                      </w:rPr>
                      <w:t>K</w:t>
                    </w:r>
                  </w:p>
                  <w:p w14:paraId="3B6C4821" w14:textId="77777777" w:rsidR="00335647" w:rsidRDefault="00335647">
                    <w:pPr>
                      <w:rPr>
                        <w:b/>
                        <w:sz w:val="10"/>
                      </w:rPr>
                    </w:pPr>
                  </w:p>
                  <w:p w14:paraId="4418001E" w14:textId="77777777" w:rsidR="00335647" w:rsidRDefault="00335647">
                    <w:pPr>
                      <w:rPr>
                        <w:b/>
                        <w:sz w:val="16"/>
                      </w:rPr>
                    </w:pPr>
                  </w:p>
                  <w:p w14:paraId="67C9487A" w14:textId="77777777" w:rsidR="00335647" w:rsidRDefault="00335647">
                    <w:pPr>
                      <w:rPr>
                        <w:b/>
                        <w:sz w:val="16"/>
                      </w:rPr>
                    </w:pPr>
                  </w:p>
                  <w:p w14:paraId="2FEE5866" w14:textId="77777777" w:rsidR="00335647" w:rsidRDefault="00335647">
                    <w:pPr>
                      <w:rPr>
                        <w:b/>
                        <w:sz w:val="16"/>
                      </w:rPr>
                    </w:pPr>
                    <w:r>
                      <w:rPr>
                        <w:rFonts w:hint="eastAsia"/>
                        <w:b/>
                        <w:sz w:val="20"/>
                      </w:rPr>
                      <w:t>L</w:t>
                    </w:r>
                  </w:p>
                  <w:p w14:paraId="65C1FFFE" w14:textId="77777777" w:rsidR="00335647" w:rsidRDefault="00335647">
                    <w:pPr>
                      <w:rPr>
                        <w:b/>
                        <w:sz w:val="10"/>
                      </w:rPr>
                    </w:pPr>
                  </w:p>
                  <w:p w14:paraId="5E86A34A" w14:textId="77777777" w:rsidR="00335647" w:rsidRDefault="00335647">
                    <w:pPr>
                      <w:rPr>
                        <w:b/>
                        <w:sz w:val="16"/>
                      </w:rPr>
                    </w:pPr>
                  </w:p>
                  <w:p w14:paraId="6E333CED" w14:textId="77777777" w:rsidR="00335647" w:rsidRDefault="00335647">
                    <w:pPr>
                      <w:rPr>
                        <w:b/>
                        <w:sz w:val="16"/>
                      </w:rPr>
                    </w:pPr>
                  </w:p>
                  <w:p w14:paraId="3EB53148" w14:textId="77777777" w:rsidR="00335647" w:rsidRDefault="00335647">
                    <w:pPr>
                      <w:rPr>
                        <w:b/>
                        <w:sz w:val="16"/>
                      </w:rPr>
                    </w:pPr>
                    <w:r>
                      <w:rPr>
                        <w:rFonts w:hint="eastAsia"/>
                        <w:b/>
                        <w:sz w:val="20"/>
                      </w:rPr>
                      <w:t>M</w:t>
                    </w:r>
                  </w:p>
                  <w:p w14:paraId="48306143" w14:textId="77777777" w:rsidR="00335647" w:rsidRDefault="00335647">
                    <w:pPr>
                      <w:rPr>
                        <w:b/>
                        <w:sz w:val="10"/>
                      </w:rPr>
                    </w:pPr>
                  </w:p>
                  <w:p w14:paraId="03101379" w14:textId="77777777" w:rsidR="00335647" w:rsidRDefault="00335647">
                    <w:pPr>
                      <w:rPr>
                        <w:b/>
                        <w:sz w:val="16"/>
                      </w:rPr>
                    </w:pPr>
                  </w:p>
                  <w:p w14:paraId="1AC7AB0D" w14:textId="77777777" w:rsidR="00335647" w:rsidRDefault="00335647">
                    <w:pPr>
                      <w:rPr>
                        <w:b/>
                        <w:sz w:val="16"/>
                      </w:rPr>
                    </w:pPr>
                  </w:p>
                  <w:p w14:paraId="78F9DE00" w14:textId="77777777" w:rsidR="00335647" w:rsidRDefault="00335647">
                    <w:pPr>
                      <w:rPr>
                        <w:b/>
                        <w:sz w:val="16"/>
                      </w:rPr>
                    </w:pPr>
                    <w:r>
                      <w:rPr>
                        <w:rFonts w:hint="eastAsia"/>
                        <w:b/>
                        <w:sz w:val="20"/>
                      </w:rPr>
                      <w:t>N</w:t>
                    </w:r>
                  </w:p>
                  <w:p w14:paraId="24C69366" w14:textId="77777777" w:rsidR="00335647" w:rsidRDefault="00335647">
                    <w:pPr>
                      <w:rPr>
                        <w:b/>
                        <w:sz w:val="10"/>
                      </w:rPr>
                    </w:pPr>
                  </w:p>
                  <w:p w14:paraId="71116B05" w14:textId="77777777" w:rsidR="00335647" w:rsidRDefault="00335647">
                    <w:pPr>
                      <w:rPr>
                        <w:b/>
                        <w:sz w:val="16"/>
                      </w:rPr>
                    </w:pPr>
                  </w:p>
                  <w:p w14:paraId="44439D25" w14:textId="77777777" w:rsidR="00335647" w:rsidRDefault="00335647">
                    <w:pPr>
                      <w:rPr>
                        <w:b/>
                        <w:sz w:val="16"/>
                      </w:rPr>
                    </w:pPr>
                  </w:p>
                  <w:p w14:paraId="70F077DE" w14:textId="77777777" w:rsidR="00335647" w:rsidRDefault="00335647">
                    <w:pPr>
                      <w:rPr>
                        <w:b/>
                        <w:sz w:val="16"/>
                      </w:rPr>
                    </w:pPr>
                    <w:r>
                      <w:rPr>
                        <w:rFonts w:hint="eastAsia"/>
                        <w:b/>
                        <w:sz w:val="20"/>
                      </w:rPr>
                      <w:t>O</w:t>
                    </w:r>
                  </w:p>
                  <w:p w14:paraId="54338146" w14:textId="77777777" w:rsidR="00335647" w:rsidRDefault="00335647">
                    <w:pPr>
                      <w:rPr>
                        <w:b/>
                        <w:sz w:val="10"/>
                      </w:rPr>
                    </w:pPr>
                  </w:p>
                  <w:p w14:paraId="56F33D8F" w14:textId="77777777" w:rsidR="00335647" w:rsidRDefault="00335647">
                    <w:pPr>
                      <w:rPr>
                        <w:b/>
                        <w:sz w:val="16"/>
                      </w:rPr>
                    </w:pPr>
                  </w:p>
                  <w:p w14:paraId="4C8D7CB4" w14:textId="77777777" w:rsidR="00335647" w:rsidRDefault="00335647">
                    <w:pPr>
                      <w:rPr>
                        <w:b/>
                        <w:sz w:val="16"/>
                      </w:rPr>
                    </w:pPr>
                  </w:p>
                  <w:p w14:paraId="6AF5D27D" w14:textId="77777777" w:rsidR="00335647" w:rsidRDefault="00335647">
                    <w:pPr>
                      <w:rPr>
                        <w:b/>
                        <w:sz w:val="16"/>
                      </w:rPr>
                    </w:pPr>
                    <w:r>
                      <w:rPr>
                        <w:rFonts w:hint="eastAsia"/>
                        <w:b/>
                        <w:sz w:val="20"/>
                      </w:rPr>
                      <w:t>P</w:t>
                    </w:r>
                  </w:p>
                  <w:p w14:paraId="73990217" w14:textId="77777777" w:rsidR="00335647" w:rsidRDefault="00335647">
                    <w:pPr>
                      <w:rPr>
                        <w:b/>
                        <w:sz w:val="10"/>
                      </w:rPr>
                    </w:pPr>
                  </w:p>
                  <w:p w14:paraId="4FF20FC9" w14:textId="77777777" w:rsidR="00335647" w:rsidRDefault="00335647">
                    <w:pPr>
                      <w:rPr>
                        <w:b/>
                        <w:sz w:val="16"/>
                      </w:rPr>
                    </w:pPr>
                  </w:p>
                  <w:p w14:paraId="14546D5C" w14:textId="77777777" w:rsidR="00335647" w:rsidRDefault="00335647">
                    <w:pPr>
                      <w:rPr>
                        <w:b/>
                        <w:sz w:val="16"/>
                      </w:rPr>
                    </w:pPr>
                  </w:p>
                  <w:p w14:paraId="05F42603" w14:textId="77777777" w:rsidR="00335647" w:rsidRDefault="00335647">
                    <w:pPr>
                      <w:rPr>
                        <w:b/>
                        <w:sz w:val="16"/>
                      </w:rPr>
                    </w:pPr>
                    <w:r>
                      <w:rPr>
                        <w:rFonts w:hint="eastAsia"/>
                        <w:b/>
                        <w:sz w:val="20"/>
                      </w:rPr>
                      <w:t>Q</w:t>
                    </w:r>
                  </w:p>
                  <w:p w14:paraId="0262EE6D" w14:textId="77777777" w:rsidR="00335647" w:rsidRDefault="00335647">
                    <w:pPr>
                      <w:rPr>
                        <w:b/>
                        <w:sz w:val="10"/>
                      </w:rPr>
                    </w:pPr>
                  </w:p>
                  <w:p w14:paraId="28617AF4" w14:textId="77777777" w:rsidR="00335647" w:rsidRDefault="00335647">
                    <w:pPr>
                      <w:rPr>
                        <w:b/>
                        <w:sz w:val="16"/>
                      </w:rPr>
                    </w:pPr>
                  </w:p>
                  <w:p w14:paraId="3EB6B4B1" w14:textId="77777777" w:rsidR="00335647" w:rsidRDefault="00335647">
                    <w:pPr>
                      <w:rPr>
                        <w:b/>
                        <w:sz w:val="16"/>
                      </w:rPr>
                    </w:pPr>
                  </w:p>
                  <w:p w14:paraId="023EB0D0" w14:textId="77777777" w:rsidR="00335647" w:rsidRDefault="00335647">
                    <w:pPr>
                      <w:rPr>
                        <w:b/>
                        <w:sz w:val="16"/>
                      </w:rPr>
                    </w:pPr>
                    <w:r>
                      <w:rPr>
                        <w:rFonts w:hint="eastAsia"/>
                        <w:b/>
                        <w:sz w:val="20"/>
                      </w:rPr>
                      <w:t>R</w:t>
                    </w:r>
                  </w:p>
                  <w:p w14:paraId="3A11CC1E" w14:textId="77777777" w:rsidR="00335647" w:rsidRDefault="00335647">
                    <w:pPr>
                      <w:rPr>
                        <w:b/>
                        <w:sz w:val="10"/>
                      </w:rPr>
                    </w:pPr>
                  </w:p>
                  <w:p w14:paraId="57D06959" w14:textId="77777777" w:rsidR="00335647" w:rsidRDefault="00335647">
                    <w:pPr>
                      <w:rPr>
                        <w:b/>
                        <w:sz w:val="16"/>
                      </w:rPr>
                    </w:pPr>
                  </w:p>
                  <w:p w14:paraId="716672FD" w14:textId="77777777" w:rsidR="00335647" w:rsidRDefault="00335647">
                    <w:pPr>
                      <w:rPr>
                        <w:b/>
                        <w:sz w:val="16"/>
                      </w:rPr>
                    </w:pPr>
                  </w:p>
                  <w:p w14:paraId="02565730" w14:textId="77777777" w:rsidR="00335647" w:rsidRDefault="00335647">
                    <w:pPr>
                      <w:rPr>
                        <w:b/>
                        <w:sz w:val="16"/>
                      </w:rPr>
                    </w:pPr>
                    <w:r>
                      <w:rPr>
                        <w:rFonts w:hint="eastAsia"/>
                        <w:b/>
                        <w:sz w:val="20"/>
                      </w:rPr>
                      <w:t>S</w:t>
                    </w:r>
                  </w:p>
                  <w:p w14:paraId="455B88E8" w14:textId="77777777" w:rsidR="00335647" w:rsidRDefault="00335647">
                    <w:pPr>
                      <w:rPr>
                        <w:b/>
                        <w:sz w:val="10"/>
                      </w:rPr>
                    </w:pPr>
                  </w:p>
                  <w:p w14:paraId="639FF629" w14:textId="77777777" w:rsidR="00335647" w:rsidRDefault="00335647">
                    <w:pPr>
                      <w:rPr>
                        <w:b/>
                        <w:sz w:val="16"/>
                      </w:rPr>
                    </w:pPr>
                  </w:p>
                  <w:p w14:paraId="0AB3777D" w14:textId="77777777" w:rsidR="00335647" w:rsidRDefault="00335647">
                    <w:pPr>
                      <w:rPr>
                        <w:b/>
                        <w:sz w:val="16"/>
                      </w:rPr>
                    </w:pPr>
                  </w:p>
                  <w:p w14:paraId="21FB9BCD" w14:textId="77777777" w:rsidR="00335647" w:rsidRDefault="00335647">
                    <w:pPr>
                      <w:rPr>
                        <w:b/>
                        <w:sz w:val="16"/>
                      </w:rPr>
                    </w:pPr>
                    <w:r>
                      <w:rPr>
                        <w:rFonts w:hint="eastAsia"/>
                        <w:b/>
                        <w:sz w:val="20"/>
                      </w:rPr>
                      <w:t>T</w:t>
                    </w:r>
                  </w:p>
                  <w:p w14:paraId="4C94D373" w14:textId="77777777" w:rsidR="00335647" w:rsidRDefault="00335647">
                    <w:pPr>
                      <w:rPr>
                        <w:b/>
                        <w:sz w:val="10"/>
                      </w:rPr>
                    </w:pPr>
                  </w:p>
                  <w:p w14:paraId="0480C3AA" w14:textId="77777777" w:rsidR="00335647" w:rsidRDefault="00335647">
                    <w:pPr>
                      <w:rPr>
                        <w:b/>
                        <w:sz w:val="16"/>
                      </w:rPr>
                    </w:pPr>
                  </w:p>
                  <w:p w14:paraId="5ADEFEEA" w14:textId="77777777" w:rsidR="00335647" w:rsidRDefault="00335647">
                    <w:pPr>
                      <w:rPr>
                        <w:b/>
                        <w:sz w:val="16"/>
                      </w:rPr>
                    </w:pPr>
                  </w:p>
                  <w:p w14:paraId="37E62CA7" w14:textId="77777777" w:rsidR="00335647" w:rsidRDefault="00335647">
                    <w:pPr>
                      <w:rPr>
                        <w:b/>
                        <w:sz w:val="16"/>
                      </w:rPr>
                    </w:pPr>
                    <w:r>
                      <w:rPr>
                        <w:rFonts w:hint="eastAsia"/>
                        <w:b/>
                        <w:sz w:val="20"/>
                      </w:rPr>
                      <w:t>U</w:t>
                    </w:r>
                  </w:p>
                  <w:p w14:paraId="144BCDC0" w14:textId="77777777" w:rsidR="00335647" w:rsidRDefault="00335647">
                    <w:pPr>
                      <w:rPr>
                        <w:b/>
                        <w:sz w:val="10"/>
                      </w:rPr>
                    </w:pPr>
                  </w:p>
                  <w:p w14:paraId="3B20F260" w14:textId="77777777" w:rsidR="00335647" w:rsidRDefault="00335647">
                    <w:pPr>
                      <w:rPr>
                        <w:b/>
                        <w:sz w:val="16"/>
                      </w:rPr>
                    </w:pPr>
                  </w:p>
                  <w:p w14:paraId="79FF2C7B" w14:textId="77777777" w:rsidR="00335647" w:rsidRDefault="00335647">
                    <w:pPr>
                      <w:rPr>
                        <w:b/>
                        <w:sz w:val="16"/>
                      </w:rPr>
                    </w:pPr>
                  </w:p>
                  <w:p w14:paraId="4D5A6232" w14:textId="77777777" w:rsidR="00335647" w:rsidRDefault="00335647">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6C73DDA5" wp14:editId="340AFAFA">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33F4A9" w14:textId="77777777" w:rsidR="00335647" w:rsidRDefault="0033564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3DDA5"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14:paraId="0933F4A9" w14:textId="77777777" w:rsidR="00335647" w:rsidRDefault="00335647">
                    <w:pPr>
                      <w:rPr>
                        <w:rFonts w:eastAsia="黑体"/>
                        <w:b/>
                        <w:sz w:val="18"/>
                      </w:rPr>
                    </w:pPr>
                  </w:p>
                </w:txbxContent>
              </v:textbox>
            </v:shape>
          </w:pict>
        </mc:Fallback>
      </mc:AlternateContent>
    </w:r>
  </w:p>
  <w:p w14:paraId="4C101BF1" w14:textId="77777777" w:rsidR="00335647" w:rsidRDefault="0033564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6" style="width:23.25pt;height:3pt" coordsize="" o:spt="100" o:bullet="t" adj="0,,0" path="" stroked="f">
        <v:stroke joinstyle="miter"/>
        <v:imagedata r:id="rId1" o:title="image32"/>
        <v:formulas/>
        <v:path o:connecttype="segments"/>
      </v:shape>
    </w:pict>
  </w:numPicBullet>
  <w:abstractNum w:abstractNumId="0" w15:restartNumberingAfterBreak="0">
    <w:nsid w:val="01FA7540"/>
    <w:multiLevelType w:val="hybridMultilevel"/>
    <w:tmpl w:val="B5503A80"/>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3DF8"/>
    <w:multiLevelType w:val="hybridMultilevel"/>
    <w:tmpl w:val="43600C22"/>
    <w:lvl w:ilvl="0" w:tplc="46FEF44E">
      <w:start w:val="1"/>
      <w:numFmt w:val="lowerLetter"/>
      <w:lvlText w:val="(%1)"/>
      <w:lvlJc w:val="left"/>
      <w:pPr>
        <w:ind w:left="180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3604E4"/>
    <w:multiLevelType w:val="hybridMultilevel"/>
    <w:tmpl w:val="BC08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57451"/>
    <w:multiLevelType w:val="hybridMultilevel"/>
    <w:tmpl w:val="4CAA9344"/>
    <w:lvl w:ilvl="0" w:tplc="19EAACEC">
      <w:start w:val="57"/>
      <w:numFmt w:val="decimal"/>
      <w:lvlText w:val="%1."/>
      <w:lvlJc w:val="left"/>
      <w:pPr>
        <w:ind w:left="7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B6ACA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BA8E1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DDE5CF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31EB1C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B2E0F3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CE8A7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36C49F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2E29F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276A4116"/>
    <w:multiLevelType w:val="hybridMultilevel"/>
    <w:tmpl w:val="301AB6BC"/>
    <w:lvl w:ilvl="0" w:tplc="FA9E36DE">
      <w:start w:val="59"/>
      <w:numFmt w:val="decimal"/>
      <w:lvlText w:val="%1."/>
      <w:lvlJc w:val="left"/>
      <w:pPr>
        <w:ind w:left="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B836F8">
      <w:start w:val="1"/>
      <w:numFmt w:val="lowerLetter"/>
      <w:lvlText w:val="%2"/>
      <w:lvlJc w:val="left"/>
      <w:pPr>
        <w:ind w:left="10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14EE04">
      <w:start w:val="1"/>
      <w:numFmt w:val="lowerRoman"/>
      <w:lvlText w:val="%3"/>
      <w:lvlJc w:val="left"/>
      <w:pPr>
        <w:ind w:left="18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54FB34">
      <w:start w:val="1"/>
      <w:numFmt w:val="decimal"/>
      <w:lvlText w:val="%4"/>
      <w:lvlJc w:val="left"/>
      <w:pPr>
        <w:ind w:left="2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6521654">
      <w:start w:val="1"/>
      <w:numFmt w:val="lowerLetter"/>
      <w:lvlText w:val="%5"/>
      <w:lvlJc w:val="left"/>
      <w:pPr>
        <w:ind w:left="32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5AC4D4">
      <w:start w:val="1"/>
      <w:numFmt w:val="lowerRoman"/>
      <w:lvlText w:val="%6"/>
      <w:lvlJc w:val="left"/>
      <w:pPr>
        <w:ind w:left="39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668ADE">
      <w:start w:val="1"/>
      <w:numFmt w:val="decimal"/>
      <w:lvlText w:val="%7"/>
      <w:lvlJc w:val="left"/>
      <w:pPr>
        <w:ind w:left="46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BE0D3A">
      <w:start w:val="1"/>
      <w:numFmt w:val="lowerLetter"/>
      <w:lvlText w:val="%8"/>
      <w:lvlJc w:val="left"/>
      <w:pPr>
        <w:ind w:left="5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44BF64">
      <w:start w:val="1"/>
      <w:numFmt w:val="lowerRoman"/>
      <w:lvlText w:val="%9"/>
      <w:lvlJc w:val="left"/>
      <w:pPr>
        <w:ind w:left="6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8CC4805"/>
    <w:multiLevelType w:val="hybridMultilevel"/>
    <w:tmpl w:val="514684E2"/>
    <w:lvl w:ilvl="0" w:tplc="4800AC2E">
      <w:start w:val="1"/>
      <w:numFmt w:val="decimal"/>
      <w:lvlText w:val="(%1)"/>
      <w:lvlJc w:val="left"/>
      <w:pPr>
        <w:ind w:left="1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FA9906">
      <w:start w:val="1"/>
      <w:numFmt w:val="lowerLetter"/>
      <w:lvlText w:val="%2"/>
      <w:lvlJc w:val="left"/>
      <w:pPr>
        <w:ind w:left="13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BF26BE4">
      <w:start w:val="1"/>
      <w:numFmt w:val="lowerRoman"/>
      <w:lvlText w:val="%3"/>
      <w:lvlJc w:val="left"/>
      <w:pPr>
        <w:ind w:left="20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13E7640">
      <w:start w:val="1"/>
      <w:numFmt w:val="decimal"/>
      <w:lvlText w:val="%4"/>
      <w:lvlJc w:val="left"/>
      <w:pPr>
        <w:ind w:left="27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3ECD14">
      <w:start w:val="1"/>
      <w:numFmt w:val="lowerLetter"/>
      <w:lvlText w:val="%5"/>
      <w:lvlJc w:val="left"/>
      <w:pPr>
        <w:ind w:left="34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BBC6E2C">
      <w:start w:val="1"/>
      <w:numFmt w:val="lowerRoman"/>
      <w:lvlText w:val="%6"/>
      <w:lvlJc w:val="left"/>
      <w:pPr>
        <w:ind w:left="42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4C15EA">
      <w:start w:val="1"/>
      <w:numFmt w:val="decimal"/>
      <w:lvlText w:val="%7"/>
      <w:lvlJc w:val="left"/>
      <w:pPr>
        <w:ind w:left="49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546461C">
      <w:start w:val="1"/>
      <w:numFmt w:val="lowerLetter"/>
      <w:lvlText w:val="%8"/>
      <w:lvlJc w:val="left"/>
      <w:pPr>
        <w:ind w:left="56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C58853E">
      <w:start w:val="1"/>
      <w:numFmt w:val="lowerRoman"/>
      <w:lvlText w:val="%9"/>
      <w:lvlJc w:val="left"/>
      <w:pPr>
        <w:ind w:left="6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7810E9"/>
    <w:multiLevelType w:val="hybridMultilevel"/>
    <w:tmpl w:val="F7FE8EA0"/>
    <w:lvl w:ilvl="0" w:tplc="112ABDC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F1A15"/>
    <w:multiLevelType w:val="hybridMultilevel"/>
    <w:tmpl w:val="A2E6CED4"/>
    <w:lvl w:ilvl="0" w:tplc="386C1176">
      <w:start w:val="1"/>
      <w:numFmt w:val="bullet"/>
      <w:lvlText w:val="•"/>
      <w:lvlPicBulletId w:val="0"/>
      <w:lvlJc w:val="left"/>
      <w:pPr>
        <w:ind w:left="11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A293C2">
      <w:start w:val="1"/>
      <w:numFmt w:val="decimal"/>
      <w:lvlText w:val="%2."/>
      <w:lvlJc w:val="left"/>
      <w:pPr>
        <w:ind w:left="174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0EB486F2">
      <w:start w:val="1"/>
      <w:numFmt w:val="lowerRoman"/>
      <w:lvlText w:val="%3"/>
      <w:lvlJc w:val="left"/>
      <w:pPr>
        <w:ind w:left="144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B86A1EA">
      <w:start w:val="1"/>
      <w:numFmt w:val="decimal"/>
      <w:lvlText w:val="%4"/>
      <w:lvlJc w:val="left"/>
      <w:pPr>
        <w:ind w:left="21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76A3C36">
      <w:start w:val="1"/>
      <w:numFmt w:val="lowerLetter"/>
      <w:lvlText w:val="%5"/>
      <w:lvlJc w:val="left"/>
      <w:pPr>
        <w:ind w:left="288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EE43F74">
      <w:start w:val="1"/>
      <w:numFmt w:val="lowerRoman"/>
      <w:lvlText w:val="%6"/>
      <w:lvlJc w:val="left"/>
      <w:pPr>
        <w:ind w:left="360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BB5AF1C8">
      <w:start w:val="1"/>
      <w:numFmt w:val="decimal"/>
      <w:lvlText w:val="%7"/>
      <w:lvlJc w:val="left"/>
      <w:pPr>
        <w:ind w:left="432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25A2FA4">
      <w:start w:val="1"/>
      <w:numFmt w:val="lowerLetter"/>
      <w:lvlText w:val="%8"/>
      <w:lvlJc w:val="left"/>
      <w:pPr>
        <w:ind w:left="504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42E33C2">
      <w:start w:val="1"/>
      <w:numFmt w:val="lowerRoman"/>
      <w:lvlText w:val="%9"/>
      <w:lvlJc w:val="left"/>
      <w:pPr>
        <w:ind w:left="576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1C126C"/>
    <w:multiLevelType w:val="hybridMultilevel"/>
    <w:tmpl w:val="D37CE968"/>
    <w:lvl w:ilvl="0" w:tplc="D3ACEC3A">
      <w:start w:val="51"/>
      <w:numFmt w:val="decimal"/>
      <w:lvlText w:val="%1."/>
      <w:lvlJc w:val="left"/>
      <w:pPr>
        <w:ind w:left="6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D22A74">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5160C90">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BA7C6E">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A230C2">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D4B170">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2C868BA">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A16088E">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808BA4">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88C5493"/>
    <w:multiLevelType w:val="hybridMultilevel"/>
    <w:tmpl w:val="94FE532A"/>
    <w:lvl w:ilvl="0" w:tplc="D174CF44">
      <w:start w:val="3"/>
      <w:numFmt w:val="decimal"/>
      <w:lvlText w:val="%1."/>
      <w:lvlJc w:val="left"/>
      <w:pPr>
        <w:ind w:left="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3E5E1E">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40B994">
      <w:start w:val="1"/>
      <w:numFmt w:val="lowerRoman"/>
      <w:lvlText w:val="%3"/>
      <w:lvlJc w:val="left"/>
      <w:pPr>
        <w:ind w:left="17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C6C0BE">
      <w:start w:val="1"/>
      <w:numFmt w:val="decimal"/>
      <w:lvlText w:val="%4"/>
      <w:lvlJc w:val="left"/>
      <w:pPr>
        <w:ind w:left="25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568B74">
      <w:start w:val="1"/>
      <w:numFmt w:val="lowerLetter"/>
      <w:lvlText w:val="%5"/>
      <w:lvlJc w:val="left"/>
      <w:pPr>
        <w:ind w:left="32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8A5ACA">
      <w:start w:val="1"/>
      <w:numFmt w:val="lowerRoman"/>
      <w:lvlText w:val="%6"/>
      <w:lvlJc w:val="left"/>
      <w:pPr>
        <w:ind w:left="39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2621C98">
      <w:start w:val="1"/>
      <w:numFmt w:val="decimal"/>
      <w:lvlText w:val="%7"/>
      <w:lvlJc w:val="left"/>
      <w:pPr>
        <w:ind w:left="46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267D90">
      <w:start w:val="1"/>
      <w:numFmt w:val="lowerLetter"/>
      <w:lvlText w:val="%8"/>
      <w:lvlJc w:val="left"/>
      <w:pPr>
        <w:ind w:left="53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98D7B2">
      <w:start w:val="1"/>
      <w:numFmt w:val="lowerRoman"/>
      <w:lvlText w:val="%9"/>
      <w:lvlJc w:val="left"/>
      <w:pPr>
        <w:ind w:left="61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A2305"/>
    <w:multiLevelType w:val="hybridMultilevel"/>
    <w:tmpl w:val="301AB6BC"/>
    <w:lvl w:ilvl="0" w:tplc="FA9E36DE">
      <w:start w:val="59"/>
      <w:numFmt w:val="decimal"/>
      <w:lvlText w:val="%1."/>
      <w:lvlJc w:val="left"/>
      <w:pPr>
        <w:ind w:left="6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DB836F8">
      <w:start w:val="1"/>
      <w:numFmt w:val="lowerLetter"/>
      <w:lvlText w:val="%2"/>
      <w:lvlJc w:val="left"/>
      <w:pPr>
        <w:ind w:left="10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14EE04">
      <w:start w:val="1"/>
      <w:numFmt w:val="lowerRoman"/>
      <w:lvlText w:val="%3"/>
      <w:lvlJc w:val="left"/>
      <w:pPr>
        <w:ind w:left="18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54FB34">
      <w:start w:val="1"/>
      <w:numFmt w:val="decimal"/>
      <w:lvlText w:val="%4"/>
      <w:lvlJc w:val="left"/>
      <w:pPr>
        <w:ind w:left="25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6521654">
      <w:start w:val="1"/>
      <w:numFmt w:val="lowerLetter"/>
      <w:lvlText w:val="%5"/>
      <w:lvlJc w:val="left"/>
      <w:pPr>
        <w:ind w:left="32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5AC4D4">
      <w:start w:val="1"/>
      <w:numFmt w:val="lowerRoman"/>
      <w:lvlText w:val="%6"/>
      <w:lvlJc w:val="left"/>
      <w:pPr>
        <w:ind w:left="39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E668ADE">
      <w:start w:val="1"/>
      <w:numFmt w:val="decimal"/>
      <w:lvlText w:val="%7"/>
      <w:lvlJc w:val="left"/>
      <w:pPr>
        <w:ind w:left="46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BE0D3A">
      <w:start w:val="1"/>
      <w:numFmt w:val="lowerLetter"/>
      <w:lvlText w:val="%8"/>
      <w:lvlJc w:val="left"/>
      <w:pPr>
        <w:ind w:left="5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E44BF64">
      <w:start w:val="1"/>
      <w:numFmt w:val="lowerRoman"/>
      <w:lvlText w:val="%9"/>
      <w:lvlJc w:val="left"/>
      <w:pPr>
        <w:ind w:left="61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38A10F8"/>
    <w:multiLevelType w:val="multilevel"/>
    <w:tmpl w:val="FB488FE6"/>
    <w:styleLink w:val="CurrentList1"/>
    <w:lvl w:ilvl="0">
      <w:start w:val="1"/>
      <w:numFmt w:val="decimal"/>
      <w:lvlText w:val="%1."/>
      <w:lvlJc w:val="left"/>
      <w:pPr>
        <w:ind w:left="643"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A303A3B"/>
    <w:multiLevelType w:val="hybridMultilevel"/>
    <w:tmpl w:val="489ACCE0"/>
    <w:lvl w:ilvl="0" w:tplc="23BEA8E8">
      <w:start w:val="54"/>
      <w:numFmt w:val="decimal"/>
      <w:lvlText w:val="%1."/>
      <w:lvlJc w:val="left"/>
      <w:pPr>
        <w:ind w:left="6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7E09DA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66450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BAF7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1709A4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E70488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214194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BE8838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D0A77E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5BAE6BCD"/>
    <w:multiLevelType w:val="hybridMultilevel"/>
    <w:tmpl w:val="AC023900"/>
    <w:lvl w:ilvl="0" w:tplc="35080532">
      <w:start w:val="48"/>
      <w:numFmt w:val="decimal"/>
      <w:lvlText w:val="%1."/>
      <w:lvlJc w:val="left"/>
      <w:pPr>
        <w:ind w:left="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C622BFC">
      <w:start w:val="1"/>
      <w:numFmt w:val="lowerLetter"/>
      <w:lvlText w:val="%2"/>
      <w:lvlJc w:val="left"/>
      <w:pPr>
        <w:ind w:left="10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280458">
      <w:start w:val="1"/>
      <w:numFmt w:val="lowerRoman"/>
      <w:lvlText w:val="%3"/>
      <w:lvlJc w:val="left"/>
      <w:pPr>
        <w:ind w:left="18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BCAC8C">
      <w:start w:val="1"/>
      <w:numFmt w:val="decimal"/>
      <w:lvlText w:val="%4"/>
      <w:lvlJc w:val="left"/>
      <w:pPr>
        <w:ind w:left="25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C0ACE2A">
      <w:start w:val="1"/>
      <w:numFmt w:val="lowerLetter"/>
      <w:lvlText w:val="%5"/>
      <w:lvlJc w:val="left"/>
      <w:pPr>
        <w:ind w:left="32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B7CC4CC">
      <w:start w:val="1"/>
      <w:numFmt w:val="lowerRoman"/>
      <w:lvlText w:val="%6"/>
      <w:lvlJc w:val="left"/>
      <w:pPr>
        <w:ind w:left="39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28FF7C">
      <w:start w:val="1"/>
      <w:numFmt w:val="decimal"/>
      <w:lvlText w:val="%7"/>
      <w:lvlJc w:val="left"/>
      <w:pPr>
        <w:ind w:left="46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CBECFDA">
      <w:start w:val="1"/>
      <w:numFmt w:val="lowerLetter"/>
      <w:lvlText w:val="%8"/>
      <w:lvlJc w:val="left"/>
      <w:pPr>
        <w:ind w:left="54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C96414C">
      <w:start w:val="1"/>
      <w:numFmt w:val="lowerRoman"/>
      <w:lvlText w:val="%9"/>
      <w:lvlJc w:val="left"/>
      <w:pPr>
        <w:ind w:left="61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8"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2A17854"/>
    <w:multiLevelType w:val="hybridMultilevel"/>
    <w:tmpl w:val="248A0B9C"/>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993A01"/>
    <w:multiLevelType w:val="hybridMultilevel"/>
    <w:tmpl w:val="833639D0"/>
    <w:lvl w:ilvl="0" w:tplc="49362F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32"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38F11A0"/>
    <w:multiLevelType w:val="hybridMultilevel"/>
    <w:tmpl w:val="7E8058EA"/>
    <w:lvl w:ilvl="0" w:tplc="F80223E0">
      <w:start w:val="1"/>
      <w:numFmt w:val="lowerLetter"/>
      <w:lvlText w:val="(%1)"/>
      <w:lvlJc w:val="left"/>
      <w:pPr>
        <w:ind w:left="2160" w:hanging="360"/>
      </w:pPr>
      <w:rPr>
        <w:rFonts w:hint="default"/>
      </w:rPr>
    </w:lvl>
    <w:lvl w:ilvl="1" w:tplc="F80223E0">
      <w:start w:val="1"/>
      <w:numFmt w:val="lowerLetter"/>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71A65D3"/>
    <w:multiLevelType w:val="hybridMultilevel"/>
    <w:tmpl w:val="566CE2AA"/>
    <w:lvl w:ilvl="0" w:tplc="44B8CDF4">
      <w:start w:val="1"/>
      <w:numFmt w:val="decimal"/>
      <w:lvlText w:val="(%1)"/>
      <w:lvlJc w:val="left"/>
      <w:pPr>
        <w:ind w:left="4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68F684">
      <w:start w:val="1"/>
      <w:numFmt w:val="lowerLetter"/>
      <w:lvlText w:val="%2"/>
      <w:lvlJc w:val="left"/>
      <w:pPr>
        <w:ind w:left="11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3ABEC8">
      <w:start w:val="1"/>
      <w:numFmt w:val="lowerRoman"/>
      <w:lvlText w:val="%3"/>
      <w:lvlJc w:val="left"/>
      <w:pPr>
        <w:ind w:left="18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FB46956">
      <w:start w:val="1"/>
      <w:numFmt w:val="decimal"/>
      <w:lvlText w:val="%4"/>
      <w:lvlJc w:val="left"/>
      <w:pPr>
        <w:ind w:left="25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441758">
      <w:start w:val="1"/>
      <w:numFmt w:val="lowerLetter"/>
      <w:lvlText w:val="%5"/>
      <w:lvlJc w:val="left"/>
      <w:pPr>
        <w:ind w:left="3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CA2D920">
      <w:start w:val="1"/>
      <w:numFmt w:val="lowerRoman"/>
      <w:lvlText w:val="%6"/>
      <w:lvlJc w:val="left"/>
      <w:pPr>
        <w:ind w:left="40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D8D826">
      <w:start w:val="1"/>
      <w:numFmt w:val="decimal"/>
      <w:lvlText w:val="%7"/>
      <w:lvlJc w:val="left"/>
      <w:pPr>
        <w:ind w:left="47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CC86DC">
      <w:start w:val="1"/>
      <w:numFmt w:val="lowerLetter"/>
      <w:lvlText w:val="%8"/>
      <w:lvlJc w:val="left"/>
      <w:pPr>
        <w:ind w:left="5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B46928A">
      <w:start w:val="1"/>
      <w:numFmt w:val="lowerRoman"/>
      <w:lvlText w:val="%9"/>
      <w:lvlJc w:val="left"/>
      <w:pPr>
        <w:ind w:left="6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785C35E3"/>
    <w:multiLevelType w:val="hybridMultilevel"/>
    <w:tmpl w:val="B97A1CE2"/>
    <w:lvl w:ilvl="0" w:tplc="777AF588">
      <w:start w:val="1"/>
      <w:numFmt w:val="decimal"/>
      <w:lvlText w:val="%1."/>
      <w:lvlJc w:val="left"/>
      <w:pPr>
        <w:ind w:left="360" w:hanging="360"/>
      </w:pPr>
      <w:rPr>
        <w:rFonts w:eastAsia="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7"/>
  </w:num>
  <w:num w:numId="3">
    <w:abstractNumId w:val="5"/>
  </w:num>
  <w:num w:numId="4">
    <w:abstractNumId w:val="31"/>
  </w:num>
  <w:num w:numId="5">
    <w:abstractNumId w:val="10"/>
  </w:num>
  <w:num w:numId="6">
    <w:abstractNumId w:val="32"/>
  </w:num>
  <w:num w:numId="7">
    <w:abstractNumId w:val="24"/>
  </w:num>
  <w:num w:numId="8">
    <w:abstractNumId w:val="22"/>
  </w:num>
  <w:num w:numId="9">
    <w:abstractNumId w:val="9"/>
  </w:num>
  <w:num w:numId="10">
    <w:abstractNumId w:val="4"/>
  </w:num>
  <w:num w:numId="11">
    <w:abstractNumId w:val="14"/>
  </w:num>
  <w:num w:numId="12">
    <w:abstractNumId w:val="7"/>
  </w:num>
  <w:num w:numId="13">
    <w:abstractNumId w:val="28"/>
  </w:num>
  <w:num w:numId="14">
    <w:abstractNumId w:val="21"/>
  </w:num>
  <w:num w:numId="15">
    <w:abstractNumId w:val="11"/>
  </w:num>
  <w:num w:numId="16">
    <w:abstractNumId w:val="15"/>
  </w:num>
  <w:num w:numId="17">
    <w:abstractNumId w:val="2"/>
  </w:num>
  <w:num w:numId="18">
    <w:abstractNumId w:val="17"/>
  </w:num>
  <w:num w:numId="19">
    <w:abstractNumId w:val="0"/>
  </w:num>
  <w:num w:numId="20">
    <w:abstractNumId w:val="1"/>
  </w:num>
  <w:num w:numId="21">
    <w:abstractNumId w:val="30"/>
  </w:num>
  <w:num w:numId="22">
    <w:abstractNumId w:val="26"/>
  </w:num>
  <w:num w:numId="23">
    <w:abstractNumId w:val="16"/>
  </w:num>
  <w:num w:numId="24">
    <w:abstractNumId w:val="25"/>
  </w:num>
  <w:num w:numId="25">
    <w:abstractNumId w:val="8"/>
  </w:num>
  <w:num w:numId="26">
    <w:abstractNumId w:val="3"/>
  </w:num>
  <w:num w:numId="27">
    <w:abstractNumId w:val="6"/>
  </w:num>
  <w:num w:numId="28">
    <w:abstractNumId w:val="20"/>
  </w:num>
  <w:num w:numId="29">
    <w:abstractNumId w:val="13"/>
  </w:num>
  <w:num w:numId="30">
    <w:abstractNumId w:val="35"/>
  </w:num>
  <w:num w:numId="31">
    <w:abstractNumId w:val="12"/>
  </w:num>
  <w:num w:numId="32">
    <w:abstractNumId w:val="33"/>
  </w:num>
  <w:num w:numId="33">
    <w:abstractNumId w:val="34"/>
  </w:num>
  <w:num w:numId="34">
    <w:abstractNumId w:val="29"/>
  </w:num>
  <w:num w:numId="35">
    <w:abstractNumId w:val="18"/>
  </w:num>
  <w:num w:numId="36">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AA3"/>
    <w:rsid w:val="00003C12"/>
    <w:rsid w:val="000048E7"/>
    <w:rsid w:val="00004A13"/>
    <w:rsid w:val="00004CCF"/>
    <w:rsid w:val="000065ED"/>
    <w:rsid w:val="0000732A"/>
    <w:rsid w:val="00016DF7"/>
    <w:rsid w:val="000172BD"/>
    <w:rsid w:val="00017BBF"/>
    <w:rsid w:val="00021175"/>
    <w:rsid w:val="000223FE"/>
    <w:rsid w:val="0002243D"/>
    <w:rsid w:val="00022BE9"/>
    <w:rsid w:val="0002479B"/>
    <w:rsid w:val="0002524E"/>
    <w:rsid w:val="000257C1"/>
    <w:rsid w:val="0002723D"/>
    <w:rsid w:val="000273CF"/>
    <w:rsid w:val="0003079B"/>
    <w:rsid w:val="00031E7D"/>
    <w:rsid w:val="00033D71"/>
    <w:rsid w:val="00035C9E"/>
    <w:rsid w:val="00036067"/>
    <w:rsid w:val="00040291"/>
    <w:rsid w:val="000422AC"/>
    <w:rsid w:val="00046437"/>
    <w:rsid w:val="00047090"/>
    <w:rsid w:val="00050A92"/>
    <w:rsid w:val="00050BFF"/>
    <w:rsid w:val="00050E8E"/>
    <w:rsid w:val="00051382"/>
    <w:rsid w:val="00051824"/>
    <w:rsid w:val="00052199"/>
    <w:rsid w:val="000529A0"/>
    <w:rsid w:val="00052E23"/>
    <w:rsid w:val="00053C4A"/>
    <w:rsid w:val="00053E26"/>
    <w:rsid w:val="000552A4"/>
    <w:rsid w:val="00055F9C"/>
    <w:rsid w:val="00056848"/>
    <w:rsid w:val="000600F2"/>
    <w:rsid w:val="00061710"/>
    <w:rsid w:val="0006197E"/>
    <w:rsid w:val="000629ED"/>
    <w:rsid w:val="00063AC9"/>
    <w:rsid w:val="00063B7F"/>
    <w:rsid w:val="00065986"/>
    <w:rsid w:val="00066074"/>
    <w:rsid w:val="00066208"/>
    <w:rsid w:val="0006785D"/>
    <w:rsid w:val="00067F66"/>
    <w:rsid w:val="00070353"/>
    <w:rsid w:val="000748B4"/>
    <w:rsid w:val="00074D59"/>
    <w:rsid w:val="0007684C"/>
    <w:rsid w:val="00076F86"/>
    <w:rsid w:val="00076FDE"/>
    <w:rsid w:val="000776CB"/>
    <w:rsid w:val="00077D0C"/>
    <w:rsid w:val="00081A74"/>
    <w:rsid w:val="00082931"/>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59B8"/>
    <w:rsid w:val="00096616"/>
    <w:rsid w:val="000A07BD"/>
    <w:rsid w:val="000A1DA9"/>
    <w:rsid w:val="000A48F3"/>
    <w:rsid w:val="000A5AEA"/>
    <w:rsid w:val="000A7FA3"/>
    <w:rsid w:val="000B004F"/>
    <w:rsid w:val="000B02A6"/>
    <w:rsid w:val="000B0613"/>
    <w:rsid w:val="000B1D42"/>
    <w:rsid w:val="000B1F07"/>
    <w:rsid w:val="000B28A0"/>
    <w:rsid w:val="000B30B8"/>
    <w:rsid w:val="000B3681"/>
    <w:rsid w:val="000B4661"/>
    <w:rsid w:val="000B4D75"/>
    <w:rsid w:val="000B56E2"/>
    <w:rsid w:val="000B7DC5"/>
    <w:rsid w:val="000C0D9C"/>
    <w:rsid w:val="000C1A58"/>
    <w:rsid w:val="000C3E1A"/>
    <w:rsid w:val="000C5DCF"/>
    <w:rsid w:val="000C616F"/>
    <w:rsid w:val="000C6330"/>
    <w:rsid w:val="000C7167"/>
    <w:rsid w:val="000C791F"/>
    <w:rsid w:val="000D2117"/>
    <w:rsid w:val="000D3F00"/>
    <w:rsid w:val="000D5265"/>
    <w:rsid w:val="000D5DA9"/>
    <w:rsid w:val="000D6602"/>
    <w:rsid w:val="000D7829"/>
    <w:rsid w:val="000E0760"/>
    <w:rsid w:val="000E0B3E"/>
    <w:rsid w:val="000E2BF9"/>
    <w:rsid w:val="000E4D96"/>
    <w:rsid w:val="000E58F6"/>
    <w:rsid w:val="000E5A37"/>
    <w:rsid w:val="000E6969"/>
    <w:rsid w:val="000F0D04"/>
    <w:rsid w:val="000F1314"/>
    <w:rsid w:val="000F2C95"/>
    <w:rsid w:val="000F2ECD"/>
    <w:rsid w:val="000F30D3"/>
    <w:rsid w:val="000F47BA"/>
    <w:rsid w:val="000F4F65"/>
    <w:rsid w:val="000F6F78"/>
    <w:rsid w:val="000F70AC"/>
    <w:rsid w:val="00105A28"/>
    <w:rsid w:val="00106CB8"/>
    <w:rsid w:val="001071F1"/>
    <w:rsid w:val="001103EC"/>
    <w:rsid w:val="00110660"/>
    <w:rsid w:val="001115A6"/>
    <w:rsid w:val="00111706"/>
    <w:rsid w:val="00111A4B"/>
    <w:rsid w:val="00112DA1"/>
    <w:rsid w:val="00112EDE"/>
    <w:rsid w:val="0011336B"/>
    <w:rsid w:val="001133AB"/>
    <w:rsid w:val="00113DF5"/>
    <w:rsid w:val="00114C61"/>
    <w:rsid w:val="00115075"/>
    <w:rsid w:val="00115768"/>
    <w:rsid w:val="00115898"/>
    <w:rsid w:val="00116159"/>
    <w:rsid w:val="001165F8"/>
    <w:rsid w:val="00117B60"/>
    <w:rsid w:val="00120422"/>
    <w:rsid w:val="00120AE8"/>
    <w:rsid w:val="001219F2"/>
    <w:rsid w:val="001225D1"/>
    <w:rsid w:val="001233B4"/>
    <w:rsid w:val="0012382C"/>
    <w:rsid w:val="00124CA8"/>
    <w:rsid w:val="00124D70"/>
    <w:rsid w:val="0012725E"/>
    <w:rsid w:val="001305C2"/>
    <w:rsid w:val="001328F9"/>
    <w:rsid w:val="0013453B"/>
    <w:rsid w:val="00134E4F"/>
    <w:rsid w:val="001359DC"/>
    <w:rsid w:val="00136331"/>
    <w:rsid w:val="00136D06"/>
    <w:rsid w:val="00137AD4"/>
    <w:rsid w:val="00137EBF"/>
    <w:rsid w:val="001410BE"/>
    <w:rsid w:val="00141AD3"/>
    <w:rsid w:val="00141E3B"/>
    <w:rsid w:val="00142CEF"/>
    <w:rsid w:val="00143222"/>
    <w:rsid w:val="00143302"/>
    <w:rsid w:val="00144086"/>
    <w:rsid w:val="00144D71"/>
    <w:rsid w:val="0014696A"/>
    <w:rsid w:val="00146D60"/>
    <w:rsid w:val="00146FAC"/>
    <w:rsid w:val="00147312"/>
    <w:rsid w:val="00147712"/>
    <w:rsid w:val="00150644"/>
    <w:rsid w:val="00152F7E"/>
    <w:rsid w:val="001535B2"/>
    <w:rsid w:val="0015361F"/>
    <w:rsid w:val="001542B6"/>
    <w:rsid w:val="001546DC"/>
    <w:rsid w:val="00154F5D"/>
    <w:rsid w:val="00156BB6"/>
    <w:rsid w:val="001570D6"/>
    <w:rsid w:val="00162252"/>
    <w:rsid w:val="00162848"/>
    <w:rsid w:val="00162E64"/>
    <w:rsid w:val="0016498E"/>
    <w:rsid w:val="0016788D"/>
    <w:rsid w:val="00167A71"/>
    <w:rsid w:val="00167FA5"/>
    <w:rsid w:val="001741B1"/>
    <w:rsid w:val="0017441B"/>
    <w:rsid w:val="001744D0"/>
    <w:rsid w:val="0017594B"/>
    <w:rsid w:val="0017776A"/>
    <w:rsid w:val="001778CD"/>
    <w:rsid w:val="00177F6B"/>
    <w:rsid w:val="00180417"/>
    <w:rsid w:val="0018055F"/>
    <w:rsid w:val="00182B38"/>
    <w:rsid w:val="0018403A"/>
    <w:rsid w:val="00184B02"/>
    <w:rsid w:val="00187CDF"/>
    <w:rsid w:val="00192623"/>
    <w:rsid w:val="00192F07"/>
    <w:rsid w:val="00193CAB"/>
    <w:rsid w:val="00194455"/>
    <w:rsid w:val="0019497C"/>
    <w:rsid w:val="00194982"/>
    <w:rsid w:val="00196940"/>
    <w:rsid w:val="001973F2"/>
    <w:rsid w:val="001979B0"/>
    <w:rsid w:val="00197D8B"/>
    <w:rsid w:val="00197F74"/>
    <w:rsid w:val="001A0E94"/>
    <w:rsid w:val="001A1100"/>
    <w:rsid w:val="001A18AE"/>
    <w:rsid w:val="001A2AAA"/>
    <w:rsid w:val="001A31AB"/>
    <w:rsid w:val="001A3B25"/>
    <w:rsid w:val="001A3B7C"/>
    <w:rsid w:val="001A42C1"/>
    <w:rsid w:val="001A48E9"/>
    <w:rsid w:val="001A5240"/>
    <w:rsid w:val="001A6A94"/>
    <w:rsid w:val="001A6FEB"/>
    <w:rsid w:val="001B011E"/>
    <w:rsid w:val="001B0B16"/>
    <w:rsid w:val="001B1C7A"/>
    <w:rsid w:val="001B2A19"/>
    <w:rsid w:val="001B4314"/>
    <w:rsid w:val="001B4491"/>
    <w:rsid w:val="001B5869"/>
    <w:rsid w:val="001B7EC7"/>
    <w:rsid w:val="001C0113"/>
    <w:rsid w:val="001C0CAE"/>
    <w:rsid w:val="001C2371"/>
    <w:rsid w:val="001C255F"/>
    <w:rsid w:val="001C40A7"/>
    <w:rsid w:val="001C45B3"/>
    <w:rsid w:val="001C481E"/>
    <w:rsid w:val="001C54F9"/>
    <w:rsid w:val="001C5BA1"/>
    <w:rsid w:val="001C7743"/>
    <w:rsid w:val="001C79AE"/>
    <w:rsid w:val="001D0987"/>
    <w:rsid w:val="001D1E7E"/>
    <w:rsid w:val="001D278F"/>
    <w:rsid w:val="001D3B1B"/>
    <w:rsid w:val="001D42FB"/>
    <w:rsid w:val="001D48BB"/>
    <w:rsid w:val="001D4A12"/>
    <w:rsid w:val="001D4B5D"/>
    <w:rsid w:val="001D7C28"/>
    <w:rsid w:val="001E022A"/>
    <w:rsid w:val="001E2E00"/>
    <w:rsid w:val="001E2FD1"/>
    <w:rsid w:val="001E39D6"/>
    <w:rsid w:val="001E4562"/>
    <w:rsid w:val="001E5204"/>
    <w:rsid w:val="001E52D0"/>
    <w:rsid w:val="001E5C01"/>
    <w:rsid w:val="001E6690"/>
    <w:rsid w:val="001E7019"/>
    <w:rsid w:val="001E72D7"/>
    <w:rsid w:val="001E79AC"/>
    <w:rsid w:val="001E7BA9"/>
    <w:rsid w:val="001F2B61"/>
    <w:rsid w:val="001F34CF"/>
    <w:rsid w:val="001F3B0A"/>
    <w:rsid w:val="001F46FC"/>
    <w:rsid w:val="001F48DC"/>
    <w:rsid w:val="001F4CEC"/>
    <w:rsid w:val="001F4ECE"/>
    <w:rsid w:val="001F57AD"/>
    <w:rsid w:val="001F5BEA"/>
    <w:rsid w:val="00200478"/>
    <w:rsid w:val="002006E5"/>
    <w:rsid w:val="00200F50"/>
    <w:rsid w:val="002016FD"/>
    <w:rsid w:val="00201A3B"/>
    <w:rsid w:val="002049D9"/>
    <w:rsid w:val="00207877"/>
    <w:rsid w:val="00207B82"/>
    <w:rsid w:val="00207FD2"/>
    <w:rsid w:val="00212B04"/>
    <w:rsid w:val="002139AA"/>
    <w:rsid w:val="002145D6"/>
    <w:rsid w:val="00216AA6"/>
    <w:rsid w:val="0022370A"/>
    <w:rsid w:val="00223D71"/>
    <w:rsid w:val="00224DA0"/>
    <w:rsid w:val="00224F35"/>
    <w:rsid w:val="0022510E"/>
    <w:rsid w:val="00227818"/>
    <w:rsid w:val="00227D8D"/>
    <w:rsid w:val="00227FA7"/>
    <w:rsid w:val="00231155"/>
    <w:rsid w:val="00232A16"/>
    <w:rsid w:val="002354C2"/>
    <w:rsid w:val="0023788A"/>
    <w:rsid w:val="002407C3"/>
    <w:rsid w:val="00240CCF"/>
    <w:rsid w:val="002419A1"/>
    <w:rsid w:val="00242BE5"/>
    <w:rsid w:val="00242F67"/>
    <w:rsid w:val="002441DA"/>
    <w:rsid w:val="00246689"/>
    <w:rsid w:val="00246B8D"/>
    <w:rsid w:val="002478BF"/>
    <w:rsid w:val="00250593"/>
    <w:rsid w:val="00251D00"/>
    <w:rsid w:val="002535BF"/>
    <w:rsid w:val="0025375A"/>
    <w:rsid w:val="00253992"/>
    <w:rsid w:val="00253ED6"/>
    <w:rsid w:val="00255194"/>
    <w:rsid w:val="00257CBE"/>
    <w:rsid w:val="00261569"/>
    <w:rsid w:val="00262372"/>
    <w:rsid w:val="00262402"/>
    <w:rsid w:val="0026325B"/>
    <w:rsid w:val="00263F69"/>
    <w:rsid w:val="00265809"/>
    <w:rsid w:val="00265B3B"/>
    <w:rsid w:val="00266436"/>
    <w:rsid w:val="00271BD4"/>
    <w:rsid w:val="00271D16"/>
    <w:rsid w:val="002721E8"/>
    <w:rsid w:val="00275709"/>
    <w:rsid w:val="002758DD"/>
    <w:rsid w:val="002774D1"/>
    <w:rsid w:val="0028486A"/>
    <w:rsid w:val="00284DE6"/>
    <w:rsid w:val="0028556A"/>
    <w:rsid w:val="00285666"/>
    <w:rsid w:val="00286EE5"/>
    <w:rsid w:val="00287F9D"/>
    <w:rsid w:val="002900BC"/>
    <w:rsid w:val="00290C18"/>
    <w:rsid w:val="00291B46"/>
    <w:rsid w:val="0029202C"/>
    <w:rsid w:val="0029341F"/>
    <w:rsid w:val="002937F1"/>
    <w:rsid w:val="00294282"/>
    <w:rsid w:val="00294805"/>
    <w:rsid w:val="002948CC"/>
    <w:rsid w:val="00294923"/>
    <w:rsid w:val="00294E01"/>
    <w:rsid w:val="0029712F"/>
    <w:rsid w:val="002A0018"/>
    <w:rsid w:val="002A01DF"/>
    <w:rsid w:val="002A088A"/>
    <w:rsid w:val="002A0C16"/>
    <w:rsid w:val="002A0FCD"/>
    <w:rsid w:val="002A105C"/>
    <w:rsid w:val="002A1714"/>
    <w:rsid w:val="002A186F"/>
    <w:rsid w:val="002A7ED2"/>
    <w:rsid w:val="002B023C"/>
    <w:rsid w:val="002B06BB"/>
    <w:rsid w:val="002B2B3D"/>
    <w:rsid w:val="002B2D35"/>
    <w:rsid w:val="002B3313"/>
    <w:rsid w:val="002B3497"/>
    <w:rsid w:val="002B3A47"/>
    <w:rsid w:val="002B62B2"/>
    <w:rsid w:val="002B6691"/>
    <w:rsid w:val="002B6B1E"/>
    <w:rsid w:val="002B6CB1"/>
    <w:rsid w:val="002C097F"/>
    <w:rsid w:val="002C1927"/>
    <w:rsid w:val="002C1FCF"/>
    <w:rsid w:val="002C3464"/>
    <w:rsid w:val="002C3C80"/>
    <w:rsid w:val="002C3DDB"/>
    <w:rsid w:val="002C4352"/>
    <w:rsid w:val="002C45F4"/>
    <w:rsid w:val="002C5729"/>
    <w:rsid w:val="002C5B1F"/>
    <w:rsid w:val="002C7210"/>
    <w:rsid w:val="002D05AE"/>
    <w:rsid w:val="002D08F8"/>
    <w:rsid w:val="002D36D0"/>
    <w:rsid w:val="002D5371"/>
    <w:rsid w:val="002D54EF"/>
    <w:rsid w:val="002D5E37"/>
    <w:rsid w:val="002D629D"/>
    <w:rsid w:val="002D63E8"/>
    <w:rsid w:val="002D7AE1"/>
    <w:rsid w:val="002E0255"/>
    <w:rsid w:val="002E0453"/>
    <w:rsid w:val="002E0BE9"/>
    <w:rsid w:val="002E10F2"/>
    <w:rsid w:val="002E1533"/>
    <w:rsid w:val="002E502E"/>
    <w:rsid w:val="002E63A0"/>
    <w:rsid w:val="002E6AD2"/>
    <w:rsid w:val="002F0EC7"/>
    <w:rsid w:val="002F148E"/>
    <w:rsid w:val="002F2AEB"/>
    <w:rsid w:val="002F2F5A"/>
    <w:rsid w:val="002F42EC"/>
    <w:rsid w:val="002F487A"/>
    <w:rsid w:val="002F5734"/>
    <w:rsid w:val="002F62E5"/>
    <w:rsid w:val="002F6440"/>
    <w:rsid w:val="002F72B6"/>
    <w:rsid w:val="002F7B52"/>
    <w:rsid w:val="002F7EB6"/>
    <w:rsid w:val="0030147E"/>
    <w:rsid w:val="00301D17"/>
    <w:rsid w:val="003023EC"/>
    <w:rsid w:val="00303C28"/>
    <w:rsid w:val="0030424E"/>
    <w:rsid w:val="0030434E"/>
    <w:rsid w:val="00304415"/>
    <w:rsid w:val="0030755C"/>
    <w:rsid w:val="00310898"/>
    <w:rsid w:val="00311232"/>
    <w:rsid w:val="00313E0A"/>
    <w:rsid w:val="00313E8D"/>
    <w:rsid w:val="00314232"/>
    <w:rsid w:val="003158AF"/>
    <w:rsid w:val="003164FD"/>
    <w:rsid w:val="00316C40"/>
    <w:rsid w:val="00316F40"/>
    <w:rsid w:val="0031707D"/>
    <w:rsid w:val="00317903"/>
    <w:rsid w:val="003215B4"/>
    <w:rsid w:val="003237D5"/>
    <w:rsid w:val="00323DD7"/>
    <w:rsid w:val="003252A3"/>
    <w:rsid w:val="00325B9A"/>
    <w:rsid w:val="00326E12"/>
    <w:rsid w:val="00330699"/>
    <w:rsid w:val="00330748"/>
    <w:rsid w:val="00330FBB"/>
    <w:rsid w:val="00331814"/>
    <w:rsid w:val="00332190"/>
    <w:rsid w:val="003328D3"/>
    <w:rsid w:val="00332C67"/>
    <w:rsid w:val="00332E8D"/>
    <w:rsid w:val="00332EC2"/>
    <w:rsid w:val="00335647"/>
    <w:rsid w:val="00336776"/>
    <w:rsid w:val="00337E7D"/>
    <w:rsid w:val="003411D6"/>
    <w:rsid w:val="003419B7"/>
    <w:rsid w:val="003422D1"/>
    <w:rsid w:val="00342421"/>
    <w:rsid w:val="00342782"/>
    <w:rsid w:val="003430EB"/>
    <w:rsid w:val="003445F5"/>
    <w:rsid w:val="003445FA"/>
    <w:rsid w:val="00344A06"/>
    <w:rsid w:val="00345097"/>
    <w:rsid w:val="003458FA"/>
    <w:rsid w:val="00345E7F"/>
    <w:rsid w:val="003473EB"/>
    <w:rsid w:val="00347FDD"/>
    <w:rsid w:val="003514DE"/>
    <w:rsid w:val="0035167C"/>
    <w:rsid w:val="00353CB7"/>
    <w:rsid w:val="003545A8"/>
    <w:rsid w:val="00354DC7"/>
    <w:rsid w:val="003552C7"/>
    <w:rsid w:val="0035532F"/>
    <w:rsid w:val="003565FC"/>
    <w:rsid w:val="003608B3"/>
    <w:rsid w:val="00361113"/>
    <w:rsid w:val="0036240B"/>
    <w:rsid w:val="003637CD"/>
    <w:rsid w:val="00363CE2"/>
    <w:rsid w:val="00364F93"/>
    <w:rsid w:val="00365127"/>
    <w:rsid w:val="00366398"/>
    <w:rsid w:val="00370B0E"/>
    <w:rsid w:val="00373674"/>
    <w:rsid w:val="00373741"/>
    <w:rsid w:val="003745EC"/>
    <w:rsid w:val="003761AE"/>
    <w:rsid w:val="00376E5F"/>
    <w:rsid w:val="003776AF"/>
    <w:rsid w:val="00377B19"/>
    <w:rsid w:val="00377BD3"/>
    <w:rsid w:val="00380601"/>
    <w:rsid w:val="0038314E"/>
    <w:rsid w:val="00387360"/>
    <w:rsid w:val="0039246E"/>
    <w:rsid w:val="0039307F"/>
    <w:rsid w:val="00394F32"/>
    <w:rsid w:val="00395DEE"/>
    <w:rsid w:val="00395E1F"/>
    <w:rsid w:val="00397FC0"/>
    <w:rsid w:val="003A0306"/>
    <w:rsid w:val="003A09E8"/>
    <w:rsid w:val="003A1137"/>
    <w:rsid w:val="003A2BD2"/>
    <w:rsid w:val="003A37C6"/>
    <w:rsid w:val="003A43D2"/>
    <w:rsid w:val="003A4686"/>
    <w:rsid w:val="003A4BCE"/>
    <w:rsid w:val="003A5C56"/>
    <w:rsid w:val="003A6429"/>
    <w:rsid w:val="003A647F"/>
    <w:rsid w:val="003A6A78"/>
    <w:rsid w:val="003A6AB5"/>
    <w:rsid w:val="003B14FA"/>
    <w:rsid w:val="003B1A17"/>
    <w:rsid w:val="003B2659"/>
    <w:rsid w:val="003B4AFE"/>
    <w:rsid w:val="003B5F00"/>
    <w:rsid w:val="003B63B3"/>
    <w:rsid w:val="003C05B8"/>
    <w:rsid w:val="003C0D33"/>
    <w:rsid w:val="003C1027"/>
    <w:rsid w:val="003C2243"/>
    <w:rsid w:val="003C33E4"/>
    <w:rsid w:val="003C5A9E"/>
    <w:rsid w:val="003C632F"/>
    <w:rsid w:val="003C6339"/>
    <w:rsid w:val="003C6B36"/>
    <w:rsid w:val="003C73F9"/>
    <w:rsid w:val="003C7493"/>
    <w:rsid w:val="003C7929"/>
    <w:rsid w:val="003D07B3"/>
    <w:rsid w:val="003D23D6"/>
    <w:rsid w:val="003D279F"/>
    <w:rsid w:val="003D35B3"/>
    <w:rsid w:val="003D3621"/>
    <w:rsid w:val="003D431D"/>
    <w:rsid w:val="003D4FED"/>
    <w:rsid w:val="003D6168"/>
    <w:rsid w:val="003D6C5D"/>
    <w:rsid w:val="003D6D51"/>
    <w:rsid w:val="003E249C"/>
    <w:rsid w:val="003E3B99"/>
    <w:rsid w:val="003E4E6E"/>
    <w:rsid w:val="003E52E0"/>
    <w:rsid w:val="003E7614"/>
    <w:rsid w:val="003E7CDF"/>
    <w:rsid w:val="003F06D9"/>
    <w:rsid w:val="003F2EA5"/>
    <w:rsid w:val="003F50DB"/>
    <w:rsid w:val="003F65B2"/>
    <w:rsid w:val="003F7ACB"/>
    <w:rsid w:val="00401C72"/>
    <w:rsid w:val="0040327B"/>
    <w:rsid w:val="00403365"/>
    <w:rsid w:val="0040350A"/>
    <w:rsid w:val="0040452D"/>
    <w:rsid w:val="0040596F"/>
    <w:rsid w:val="00407A59"/>
    <w:rsid w:val="00407DDE"/>
    <w:rsid w:val="004106BF"/>
    <w:rsid w:val="00412918"/>
    <w:rsid w:val="00414EE9"/>
    <w:rsid w:val="0041598F"/>
    <w:rsid w:val="00415DD0"/>
    <w:rsid w:val="0041740E"/>
    <w:rsid w:val="00417752"/>
    <w:rsid w:val="00417ECB"/>
    <w:rsid w:val="00420D29"/>
    <w:rsid w:val="00421DB0"/>
    <w:rsid w:val="00422F09"/>
    <w:rsid w:val="004239B9"/>
    <w:rsid w:val="00424F94"/>
    <w:rsid w:val="004250DB"/>
    <w:rsid w:val="00425C49"/>
    <w:rsid w:val="00426003"/>
    <w:rsid w:val="004262AE"/>
    <w:rsid w:val="004272BF"/>
    <w:rsid w:val="004303B9"/>
    <w:rsid w:val="00431013"/>
    <w:rsid w:val="004312CB"/>
    <w:rsid w:val="0043216D"/>
    <w:rsid w:val="00432A86"/>
    <w:rsid w:val="004331FC"/>
    <w:rsid w:val="00435CF0"/>
    <w:rsid w:val="00436D16"/>
    <w:rsid w:val="004404A9"/>
    <w:rsid w:val="004413B2"/>
    <w:rsid w:val="004417E1"/>
    <w:rsid w:val="00441B83"/>
    <w:rsid w:val="0044210F"/>
    <w:rsid w:val="004424DA"/>
    <w:rsid w:val="004444AD"/>
    <w:rsid w:val="00445AE0"/>
    <w:rsid w:val="00445C62"/>
    <w:rsid w:val="00447225"/>
    <w:rsid w:val="00450035"/>
    <w:rsid w:val="00450C59"/>
    <w:rsid w:val="00450EF0"/>
    <w:rsid w:val="0045144C"/>
    <w:rsid w:val="004520B5"/>
    <w:rsid w:val="00452A89"/>
    <w:rsid w:val="00455017"/>
    <w:rsid w:val="0045668C"/>
    <w:rsid w:val="004578F0"/>
    <w:rsid w:val="0045796B"/>
    <w:rsid w:val="00457CBD"/>
    <w:rsid w:val="00461317"/>
    <w:rsid w:val="0046169D"/>
    <w:rsid w:val="004616D1"/>
    <w:rsid w:val="0046182D"/>
    <w:rsid w:val="00461BE2"/>
    <w:rsid w:val="004620F5"/>
    <w:rsid w:val="004629E3"/>
    <w:rsid w:val="004639F1"/>
    <w:rsid w:val="00464C40"/>
    <w:rsid w:val="00464EA8"/>
    <w:rsid w:val="00466397"/>
    <w:rsid w:val="00467F0D"/>
    <w:rsid w:val="00470016"/>
    <w:rsid w:val="004707FB"/>
    <w:rsid w:val="00470851"/>
    <w:rsid w:val="00471595"/>
    <w:rsid w:val="00472413"/>
    <w:rsid w:val="0047652C"/>
    <w:rsid w:val="004766EA"/>
    <w:rsid w:val="00481359"/>
    <w:rsid w:val="00481CCA"/>
    <w:rsid w:val="00483FAF"/>
    <w:rsid w:val="004858EE"/>
    <w:rsid w:val="00485D7B"/>
    <w:rsid w:val="00486DAC"/>
    <w:rsid w:val="00487006"/>
    <w:rsid w:val="004872F6"/>
    <w:rsid w:val="00487FF6"/>
    <w:rsid w:val="0049169A"/>
    <w:rsid w:val="0049209D"/>
    <w:rsid w:val="00493CCE"/>
    <w:rsid w:val="00493F40"/>
    <w:rsid w:val="00494889"/>
    <w:rsid w:val="00494EC7"/>
    <w:rsid w:val="004953D3"/>
    <w:rsid w:val="0049705C"/>
    <w:rsid w:val="0049768A"/>
    <w:rsid w:val="004A007B"/>
    <w:rsid w:val="004A081C"/>
    <w:rsid w:val="004A0E4A"/>
    <w:rsid w:val="004A255D"/>
    <w:rsid w:val="004A2763"/>
    <w:rsid w:val="004A296E"/>
    <w:rsid w:val="004A2BA8"/>
    <w:rsid w:val="004A32EA"/>
    <w:rsid w:val="004A3764"/>
    <w:rsid w:val="004A37B6"/>
    <w:rsid w:val="004A4ED0"/>
    <w:rsid w:val="004A55C7"/>
    <w:rsid w:val="004A7AA6"/>
    <w:rsid w:val="004B1077"/>
    <w:rsid w:val="004B12F7"/>
    <w:rsid w:val="004B246B"/>
    <w:rsid w:val="004B296F"/>
    <w:rsid w:val="004B2AF9"/>
    <w:rsid w:val="004B3CD0"/>
    <w:rsid w:val="004B4712"/>
    <w:rsid w:val="004B65F4"/>
    <w:rsid w:val="004B77BB"/>
    <w:rsid w:val="004C1612"/>
    <w:rsid w:val="004C1CE4"/>
    <w:rsid w:val="004C2858"/>
    <w:rsid w:val="004C3423"/>
    <w:rsid w:val="004C3BE1"/>
    <w:rsid w:val="004C492A"/>
    <w:rsid w:val="004C4C71"/>
    <w:rsid w:val="004C503A"/>
    <w:rsid w:val="004C5906"/>
    <w:rsid w:val="004C6012"/>
    <w:rsid w:val="004C6333"/>
    <w:rsid w:val="004D02AE"/>
    <w:rsid w:val="004D221A"/>
    <w:rsid w:val="004D2CCD"/>
    <w:rsid w:val="004D2EB4"/>
    <w:rsid w:val="004D348C"/>
    <w:rsid w:val="004D49D3"/>
    <w:rsid w:val="004D4A4E"/>
    <w:rsid w:val="004D5230"/>
    <w:rsid w:val="004D5400"/>
    <w:rsid w:val="004D5A82"/>
    <w:rsid w:val="004D6EAB"/>
    <w:rsid w:val="004E047F"/>
    <w:rsid w:val="004E0972"/>
    <w:rsid w:val="004E1678"/>
    <w:rsid w:val="004E2D09"/>
    <w:rsid w:val="004E30DF"/>
    <w:rsid w:val="004E41B1"/>
    <w:rsid w:val="004E42EE"/>
    <w:rsid w:val="004E51A5"/>
    <w:rsid w:val="004E521C"/>
    <w:rsid w:val="004E6F1D"/>
    <w:rsid w:val="004F0057"/>
    <w:rsid w:val="004F17F4"/>
    <w:rsid w:val="004F33B0"/>
    <w:rsid w:val="004F5DCA"/>
    <w:rsid w:val="004F5E0D"/>
    <w:rsid w:val="004F72B9"/>
    <w:rsid w:val="004F770E"/>
    <w:rsid w:val="004F7F9D"/>
    <w:rsid w:val="005001B3"/>
    <w:rsid w:val="00500D81"/>
    <w:rsid w:val="0050196E"/>
    <w:rsid w:val="00501AB7"/>
    <w:rsid w:val="00502062"/>
    <w:rsid w:val="00502EF9"/>
    <w:rsid w:val="00504634"/>
    <w:rsid w:val="00506915"/>
    <w:rsid w:val="00510470"/>
    <w:rsid w:val="0051199B"/>
    <w:rsid w:val="00512266"/>
    <w:rsid w:val="00512EFF"/>
    <w:rsid w:val="00514B1B"/>
    <w:rsid w:val="005218DD"/>
    <w:rsid w:val="005224EE"/>
    <w:rsid w:val="0052257D"/>
    <w:rsid w:val="00523352"/>
    <w:rsid w:val="00524090"/>
    <w:rsid w:val="00524E54"/>
    <w:rsid w:val="00526A9A"/>
    <w:rsid w:val="00530C9B"/>
    <w:rsid w:val="00531038"/>
    <w:rsid w:val="00531391"/>
    <w:rsid w:val="0053182F"/>
    <w:rsid w:val="005320AC"/>
    <w:rsid w:val="00532540"/>
    <w:rsid w:val="00533429"/>
    <w:rsid w:val="00533CAD"/>
    <w:rsid w:val="00534A83"/>
    <w:rsid w:val="00535393"/>
    <w:rsid w:val="00536198"/>
    <w:rsid w:val="0053625E"/>
    <w:rsid w:val="005363AA"/>
    <w:rsid w:val="0053647D"/>
    <w:rsid w:val="00536D80"/>
    <w:rsid w:val="0054058C"/>
    <w:rsid w:val="00540DEC"/>
    <w:rsid w:val="00545820"/>
    <w:rsid w:val="00547BC6"/>
    <w:rsid w:val="00550B92"/>
    <w:rsid w:val="00550D95"/>
    <w:rsid w:val="005517EC"/>
    <w:rsid w:val="00554C3A"/>
    <w:rsid w:val="00556E2C"/>
    <w:rsid w:val="005577A7"/>
    <w:rsid w:val="00561550"/>
    <w:rsid w:val="00563C5F"/>
    <w:rsid w:val="00564F44"/>
    <w:rsid w:val="005661FF"/>
    <w:rsid w:val="00566AD9"/>
    <w:rsid w:val="005704C5"/>
    <w:rsid w:val="00570945"/>
    <w:rsid w:val="00571358"/>
    <w:rsid w:val="00572398"/>
    <w:rsid w:val="00572481"/>
    <w:rsid w:val="0057312D"/>
    <w:rsid w:val="00573E43"/>
    <w:rsid w:val="00573E55"/>
    <w:rsid w:val="005753AD"/>
    <w:rsid w:val="0057568A"/>
    <w:rsid w:val="00575956"/>
    <w:rsid w:val="00576205"/>
    <w:rsid w:val="005763FC"/>
    <w:rsid w:val="0057676F"/>
    <w:rsid w:val="0058032C"/>
    <w:rsid w:val="00580933"/>
    <w:rsid w:val="005809BC"/>
    <w:rsid w:val="0058104A"/>
    <w:rsid w:val="005814D0"/>
    <w:rsid w:val="00585665"/>
    <w:rsid w:val="00585A11"/>
    <w:rsid w:val="00586477"/>
    <w:rsid w:val="0058689E"/>
    <w:rsid w:val="00586DB8"/>
    <w:rsid w:val="00587303"/>
    <w:rsid w:val="0059327E"/>
    <w:rsid w:val="005932B9"/>
    <w:rsid w:val="00594758"/>
    <w:rsid w:val="00595E12"/>
    <w:rsid w:val="00595EFA"/>
    <w:rsid w:val="005964BA"/>
    <w:rsid w:val="00596F0C"/>
    <w:rsid w:val="0059750D"/>
    <w:rsid w:val="005979F7"/>
    <w:rsid w:val="005A0721"/>
    <w:rsid w:val="005A2057"/>
    <w:rsid w:val="005A3129"/>
    <w:rsid w:val="005A3460"/>
    <w:rsid w:val="005A3664"/>
    <w:rsid w:val="005A52AC"/>
    <w:rsid w:val="005A686F"/>
    <w:rsid w:val="005A7212"/>
    <w:rsid w:val="005A7C75"/>
    <w:rsid w:val="005B0B77"/>
    <w:rsid w:val="005B0D5B"/>
    <w:rsid w:val="005B25C2"/>
    <w:rsid w:val="005B3815"/>
    <w:rsid w:val="005B3BEC"/>
    <w:rsid w:val="005B40E2"/>
    <w:rsid w:val="005B53D6"/>
    <w:rsid w:val="005B57FE"/>
    <w:rsid w:val="005B598D"/>
    <w:rsid w:val="005B5A08"/>
    <w:rsid w:val="005B6C36"/>
    <w:rsid w:val="005B7648"/>
    <w:rsid w:val="005C0779"/>
    <w:rsid w:val="005C2D01"/>
    <w:rsid w:val="005C3130"/>
    <w:rsid w:val="005C4630"/>
    <w:rsid w:val="005C5C5E"/>
    <w:rsid w:val="005C7DDD"/>
    <w:rsid w:val="005D04FE"/>
    <w:rsid w:val="005D0C1B"/>
    <w:rsid w:val="005D1F20"/>
    <w:rsid w:val="005D2DCF"/>
    <w:rsid w:val="005D32B3"/>
    <w:rsid w:val="005D39A4"/>
    <w:rsid w:val="005D584E"/>
    <w:rsid w:val="005E0587"/>
    <w:rsid w:val="005E12F3"/>
    <w:rsid w:val="005E130A"/>
    <w:rsid w:val="005E144E"/>
    <w:rsid w:val="005E245C"/>
    <w:rsid w:val="005E24D4"/>
    <w:rsid w:val="005E3A32"/>
    <w:rsid w:val="005E61E3"/>
    <w:rsid w:val="005E6520"/>
    <w:rsid w:val="005E67AE"/>
    <w:rsid w:val="005E7B91"/>
    <w:rsid w:val="005F07A9"/>
    <w:rsid w:val="005F123A"/>
    <w:rsid w:val="005F15EE"/>
    <w:rsid w:val="005F1635"/>
    <w:rsid w:val="005F1D7E"/>
    <w:rsid w:val="005F37CB"/>
    <w:rsid w:val="005F3C19"/>
    <w:rsid w:val="005F50AD"/>
    <w:rsid w:val="005F56AB"/>
    <w:rsid w:val="005F6F6A"/>
    <w:rsid w:val="006007B1"/>
    <w:rsid w:val="006017A1"/>
    <w:rsid w:val="006026DB"/>
    <w:rsid w:val="00603D68"/>
    <w:rsid w:val="006040A0"/>
    <w:rsid w:val="006049E6"/>
    <w:rsid w:val="00604AF5"/>
    <w:rsid w:val="00604CFB"/>
    <w:rsid w:val="00605232"/>
    <w:rsid w:val="006054A1"/>
    <w:rsid w:val="0060561E"/>
    <w:rsid w:val="00605D09"/>
    <w:rsid w:val="00605F15"/>
    <w:rsid w:val="00606CB9"/>
    <w:rsid w:val="006070B4"/>
    <w:rsid w:val="00607ADB"/>
    <w:rsid w:val="0061050B"/>
    <w:rsid w:val="00614C4F"/>
    <w:rsid w:val="0061580B"/>
    <w:rsid w:val="00616284"/>
    <w:rsid w:val="00616C4D"/>
    <w:rsid w:val="00620B8A"/>
    <w:rsid w:val="0062138B"/>
    <w:rsid w:val="00622A31"/>
    <w:rsid w:val="006244B5"/>
    <w:rsid w:val="006246A2"/>
    <w:rsid w:val="00627F29"/>
    <w:rsid w:val="00630378"/>
    <w:rsid w:val="00630E5C"/>
    <w:rsid w:val="006314CC"/>
    <w:rsid w:val="00632509"/>
    <w:rsid w:val="0063408A"/>
    <w:rsid w:val="006344B9"/>
    <w:rsid w:val="00636A5F"/>
    <w:rsid w:val="006371D9"/>
    <w:rsid w:val="0064017C"/>
    <w:rsid w:val="00641BF2"/>
    <w:rsid w:val="00641F9E"/>
    <w:rsid w:val="00642AF9"/>
    <w:rsid w:val="00642DF7"/>
    <w:rsid w:val="006443B4"/>
    <w:rsid w:val="00644DC9"/>
    <w:rsid w:val="006457FC"/>
    <w:rsid w:val="00646C48"/>
    <w:rsid w:val="006506E6"/>
    <w:rsid w:val="00652CCF"/>
    <w:rsid w:val="006541B6"/>
    <w:rsid w:val="00654EBA"/>
    <w:rsid w:val="0065587D"/>
    <w:rsid w:val="00656457"/>
    <w:rsid w:val="00657E0F"/>
    <w:rsid w:val="006601A1"/>
    <w:rsid w:val="00660E8A"/>
    <w:rsid w:val="006622C9"/>
    <w:rsid w:val="00662AF6"/>
    <w:rsid w:val="0066466E"/>
    <w:rsid w:val="00666196"/>
    <w:rsid w:val="00672092"/>
    <w:rsid w:val="00672D13"/>
    <w:rsid w:val="00673F2D"/>
    <w:rsid w:val="00674770"/>
    <w:rsid w:val="00680039"/>
    <w:rsid w:val="00680B7B"/>
    <w:rsid w:val="00681FC6"/>
    <w:rsid w:val="00684171"/>
    <w:rsid w:val="00684E10"/>
    <w:rsid w:val="006850F8"/>
    <w:rsid w:val="00687E96"/>
    <w:rsid w:val="00690022"/>
    <w:rsid w:val="00690355"/>
    <w:rsid w:val="00690F78"/>
    <w:rsid w:val="006953B6"/>
    <w:rsid w:val="006957C3"/>
    <w:rsid w:val="00696318"/>
    <w:rsid w:val="006963B5"/>
    <w:rsid w:val="00696A1A"/>
    <w:rsid w:val="00696CE2"/>
    <w:rsid w:val="0069708E"/>
    <w:rsid w:val="0069773D"/>
    <w:rsid w:val="006A0726"/>
    <w:rsid w:val="006A0CF4"/>
    <w:rsid w:val="006A1C1F"/>
    <w:rsid w:val="006A4168"/>
    <w:rsid w:val="006A58D6"/>
    <w:rsid w:val="006A79BE"/>
    <w:rsid w:val="006A7D60"/>
    <w:rsid w:val="006B1088"/>
    <w:rsid w:val="006B199D"/>
    <w:rsid w:val="006B2E36"/>
    <w:rsid w:val="006B2E8D"/>
    <w:rsid w:val="006B30F9"/>
    <w:rsid w:val="006B3BAB"/>
    <w:rsid w:val="006B3C3D"/>
    <w:rsid w:val="006B5216"/>
    <w:rsid w:val="006B60B2"/>
    <w:rsid w:val="006C06A8"/>
    <w:rsid w:val="006C17FD"/>
    <w:rsid w:val="006C1A71"/>
    <w:rsid w:val="006C1E87"/>
    <w:rsid w:val="006C25FC"/>
    <w:rsid w:val="006C324C"/>
    <w:rsid w:val="006C3255"/>
    <w:rsid w:val="006C5DD2"/>
    <w:rsid w:val="006C5E94"/>
    <w:rsid w:val="006C664C"/>
    <w:rsid w:val="006C66D0"/>
    <w:rsid w:val="006C6BD1"/>
    <w:rsid w:val="006D4444"/>
    <w:rsid w:val="006D5D6A"/>
    <w:rsid w:val="006D62F3"/>
    <w:rsid w:val="006D6B93"/>
    <w:rsid w:val="006E010F"/>
    <w:rsid w:val="006E0DA1"/>
    <w:rsid w:val="006E0E23"/>
    <w:rsid w:val="006E17FA"/>
    <w:rsid w:val="006E2004"/>
    <w:rsid w:val="006E2198"/>
    <w:rsid w:val="006E38EF"/>
    <w:rsid w:val="006E4A15"/>
    <w:rsid w:val="006E4C25"/>
    <w:rsid w:val="006E59AB"/>
    <w:rsid w:val="006E62DE"/>
    <w:rsid w:val="006E6721"/>
    <w:rsid w:val="006E69A2"/>
    <w:rsid w:val="006E7DC3"/>
    <w:rsid w:val="006E7E52"/>
    <w:rsid w:val="006F0666"/>
    <w:rsid w:val="006F0924"/>
    <w:rsid w:val="006F37EB"/>
    <w:rsid w:val="006F71CB"/>
    <w:rsid w:val="00700A0F"/>
    <w:rsid w:val="007022B7"/>
    <w:rsid w:val="007033E4"/>
    <w:rsid w:val="00703E6A"/>
    <w:rsid w:val="00704178"/>
    <w:rsid w:val="00705815"/>
    <w:rsid w:val="00705E97"/>
    <w:rsid w:val="0070625D"/>
    <w:rsid w:val="0070654E"/>
    <w:rsid w:val="00706C56"/>
    <w:rsid w:val="00706D8E"/>
    <w:rsid w:val="00711E1A"/>
    <w:rsid w:val="00711E29"/>
    <w:rsid w:val="0071253F"/>
    <w:rsid w:val="00712871"/>
    <w:rsid w:val="007129BB"/>
    <w:rsid w:val="007162FF"/>
    <w:rsid w:val="00717E87"/>
    <w:rsid w:val="00717F0A"/>
    <w:rsid w:val="00722A63"/>
    <w:rsid w:val="00722B72"/>
    <w:rsid w:val="00722C93"/>
    <w:rsid w:val="007232AB"/>
    <w:rsid w:val="00724423"/>
    <w:rsid w:val="007245EB"/>
    <w:rsid w:val="007246BB"/>
    <w:rsid w:val="00725197"/>
    <w:rsid w:val="007264D4"/>
    <w:rsid w:val="00730E9D"/>
    <w:rsid w:val="00731086"/>
    <w:rsid w:val="00733DF8"/>
    <w:rsid w:val="0073482B"/>
    <w:rsid w:val="00734AAA"/>
    <w:rsid w:val="00734E50"/>
    <w:rsid w:val="00735DD9"/>
    <w:rsid w:val="0073635F"/>
    <w:rsid w:val="00736572"/>
    <w:rsid w:val="00736929"/>
    <w:rsid w:val="0074121B"/>
    <w:rsid w:val="0074229F"/>
    <w:rsid w:val="00742434"/>
    <w:rsid w:val="00743578"/>
    <w:rsid w:val="00744886"/>
    <w:rsid w:val="007449F4"/>
    <w:rsid w:val="0074527D"/>
    <w:rsid w:val="00745AF0"/>
    <w:rsid w:val="00746144"/>
    <w:rsid w:val="00746CCB"/>
    <w:rsid w:val="00747266"/>
    <w:rsid w:val="007473C8"/>
    <w:rsid w:val="00750441"/>
    <w:rsid w:val="0075190F"/>
    <w:rsid w:val="007522C9"/>
    <w:rsid w:val="00753FE1"/>
    <w:rsid w:val="00754ED3"/>
    <w:rsid w:val="007558EE"/>
    <w:rsid w:val="00755F23"/>
    <w:rsid w:val="007566F5"/>
    <w:rsid w:val="00756758"/>
    <w:rsid w:val="00761198"/>
    <w:rsid w:val="00761199"/>
    <w:rsid w:val="00761732"/>
    <w:rsid w:val="00762ACE"/>
    <w:rsid w:val="00763785"/>
    <w:rsid w:val="00763AB4"/>
    <w:rsid w:val="00765BEA"/>
    <w:rsid w:val="007660D9"/>
    <w:rsid w:val="00766BAA"/>
    <w:rsid w:val="0076743F"/>
    <w:rsid w:val="007674E8"/>
    <w:rsid w:val="00770A8D"/>
    <w:rsid w:val="00771745"/>
    <w:rsid w:val="00771958"/>
    <w:rsid w:val="007748EA"/>
    <w:rsid w:val="00774FAD"/>
    <w:rsid w:val="0077694C"/>
    <w:rsid w:val="007777A3"/>
    <w:rsid w:val="0077782F"/>
    <w:rsid w:val="00783090"/>
    <w:rsid w:val="0078360F"/>
    <w:rsid w:val="007854CF"/>
    <w:rsid w:val="00785C71"/>
    <w:rsid w:val="007862C9"/>
    <w:rsid w:val="00787681"/>
    <w:rsid w:val="00787945"/>
    <w:rsid w:val="0079089D"/>
    <w:rsid w:val="00791DF0"/>
    <w:rsid w:val="0079382B"/>
    <w:rsid w:val="0079384B"/>
    <w:rsid w:val="00795F9F"/>
    <w:rsid w:val="00796408"/>
    <w:rsid w:val="00796858"/>
    <w:rsid w:val="00797261"/>
    <w:rsid w:val="007A1D69"/>
    <w:rsid w:val="007A250D"/>
    <w:rsid w:val="007A2AE3"/>
    <w:rsid w:val="007A4867"/>
    <w:rsid w:val="007A4A91"/>
    <w:rsid w:val="007A4D28"/>
    <w:rsid w:val="007A5A41"/>
    <w:rsid w:val="007A5B06"/>
    <w:rsid w:val="007A6CB4"/>
    <w:rsid w:val="007A725A"/>
    <w:rsid w:val="007B065B"/>
    <w:rsid w:val="007B0EB5"/>
    <w:rsid w:val="007B1217"/>
    <w:rsid w:val="007B1CDE"/>
    <w:rsid w:val="007B1D44"/>
    <w:rsid w:val="007B2194"/>
    <w:rsid w:val="007B3894"/>
    <w:rsid w:val="007B3B87"/>
    <w:rsid w:val="007B3B88"/>
    <w:rsid w:val="007B5877"/>
    <w:rsid w:val="007B634E"/>
    <w:rsid w:val="007C329D"/>
    <w:rsid w:val="007C37E6"/>
    <w:rsid w:val="007C38F1"/>
    <w:rsid w:val="007C5A71"/>
    <w:rsid w:val="007D1297"/>
    <w:rsid w:val="007D1305"/>
    <w:rsid w:val="007D245E"/>
    <w:rsid w:val="007D27F3"/>
    <w:rsid w:val="007D2BC9"/>
    <w:rsid w:val="007D3B78"/>
    <w:rsid w:val="007D48F6"/>
    <w:rsid w:val="007D53F8"/>
    <w:rsid w:val="007D5FD0"/>
    <w:rsid w:val="007E38DE"/>
    <w:rsid w:val="007E65D6"/>
    <w:rsid w:val="007E79EB"/>
    <w:rsid w:val="007F01B0"/>
    <w:rsid w:val="007F1C9A"/>
    <w:rsid w:val="007F1F00"/>
    <w:rsid w:val="007F1F9A"/>
    <w:rsid w:val="007F228B"/>
    <w:rsid w:val="007F2AE8"/>
    <w:rsid w:val="007F3267"/>
    <w:rsid w:val="007F3A62"/>
    <w:rsid w:val="007F4ACA"/>
    <w:rsid w:val="007F56CF"/>
    <w:rsid w:val="007F5EB9"/>
    <w:rsid w:val="007F62F3"/>
    <w:rsid w:val="008025CC"/>
    <w:rsid w:val="008059C5"/>
    <w:rsid w:val="00805E7E"/>
    <w:rsid w:val="00807418"/>
    <w:rsid w:val="008074CF"/>
    <w:rsid w:val="00810E3C"/>
    <w:rsid w:val="00811AF6"/>
    <w:rsid w:val="008134A2"/>
    <w:rsid w:val="00813775"/>
    <w:rsid w:val="0081488E"/>
    <w:rsid w:val="00814F59"/>
    <w:rsid w:val="00816B7C"/>
    <w:rsid w:val="00820A8A"/>
    <w:rsid w:val="00820BE3"/>
    <w:rsid w:val="00820D62"/>
    <w:rsid w:val="00821278"/>
    <w:rsid w:val="00821EEB"/>
    <w:rsid w:val="00823060"/>
    <w:rsid w:val="008257A9"/>
    <w:rsid w:val="0082629C"/>
    <w:rsid w:val="0082715D"/>
    <w:rsid w:val="00830FAE"/>
    <w:rsid w:val="00831813"/>
    <w:rsid w:val="00834CB0"/>
    <w:rsid w:val="00836995"/>
    <w:rsid w:val="008374D5"/>
    <w:rsid w:val="00837613"/>
    <w:rsid w:val="0083763A"/>
    <w:rsid w:val="00837AA2"/>
    <w:rsid w:val="00840BD6"/>
    <w:rsid w:val="0084105C"/>
    <w:rsid w:val="0084353C"/>
    <w:rsid w:val="00843AAE"/>
    <w:rsid w:val="008451A6"/>
    <w:rsid w:val="00845925"/>
    <w:rsid w:val="00846233"/>
    <w:rsid w:val="008473A7"/>
    <w:rsid w:val="00847420"/>
    <w:rsid w:val="00847D6E"/>
    <w:rsid w:val="00850FC4"/>
    <w:rsid w:val="00851F86"/>
    <w:rsid w:val="008530F6"/>
    <w:rsid w:val="0085407C"/>
    <w:rsid w:val="00854A24"/>
    <w:rsid w:val="008555DF"/>
    <w:rsid w:val="008569FC"/>
    <w:rsid w:val="00856FA6"/>
    <w:rsid w:val="00857D03"/>
    <w:rsid w:val="00860155"/>
    <w:rsid w:val="0086053E"/>
    <w:rsid w:val="00860A88"/>
    <w:rsid w:val="00861EC0"/>
    <w:rsid w:val="00864A9A"/>
    <w:rsid w:val="00864AA7"/>
    <w:rsid w:val="00866038"/>
    <w:rsid w:val="00866D13"/>
    <w:rsid w:val="00870F3C"/>
    <w:rsid w:val="0087118D"/>
    <w:rsid w:val="00871ECF"/>
    <w:rsid w:val="0087229C"/>
    <w:rsid w:val="00873451"/>
    <w:rsid w:val="008744CA"/>
    <w:rsid w:val="00875C80"/>
    <w:rsid w:val="00875D70"/>
    <w:rsid w:val="00876698"/>
    <w:rsid w:val="0087679B"/>
    <w:rsid w:val="0087748E"/>
    <w:rsid w:val="008810A9"/>
    <w:rsid w:val="00884A46"/>
    <w:rsid w:val="00884B61"/>
    <w:rsid w:val="008857A5"/>
    <w:rsid w:val="00885D05"/>
    <w:rsid w:val="00885F3C"/>
    <w:rsid w:val="00886D36"/>
    <w:rsid w:val="00887B39"/>
    <w:rsid w:val="00887DD3"/>
    <w:rsid w:val="00891FF1"/>
    <w:rsid w:val="0089337A"/>
    <w:rsid w:val="00894145"/>
    <w:rsid w:val="008944AD"/>
    <w:rsid w:val="00894622"/>
    <w:rsid w:val="00895EB2"/>
    <w:rsid w:val="008A05CF"/>
    <w:rsid w:val="008A1C7A"/>
    <w:rsid w:val="008A24DA"/>
    <w:rsid w:val="008A2644"/>
    <w:rsid w:val="008A2B51"/>
    <w:rsid w:val="008A3E29"/>
    <w:rsid w:val="008A5EBC"/>
    <w:rsid w:val="008A704A"/>
    <w:rsid w:val="008B00BD"/>
    <w:rsid w:val="008B1161"/>
    <w:rsid w:val="008B336C"/>
    <w:rsid w:val="008B44EB"/>
    <w:rsid w:val="008B4FA9"/>
    <w:rsid w:val="008B5FE3"/>
    <w:rsid w:val="008B63B9"/>
    <w:rsid w:val="008B684C"/>
    <w:rsid w:val="008B7F76"/>
    <w:rsid w:val="008C0EFC"/>
    <w:rsid w:val="008C1673"/>
    <w:rsid w:val="008C1FF3"/>
    <w:rsid w:val="008C21D7"/>
    <w:rsid w:val="008C517C"/>
    <w:rsid w:val="008C5EB6"/>
    <w:rsid w:val="008D000C"/>
    <w:rsid w:val="008D177F"/>
    <w:rsid w:val="008D24AD"/>
    <w:rsid w:val="008D2A7D"/>
    <w:rsid w:val="008D3010"/>
    <w:rsid w:val="008D3D88"/>
    <w:rsid w:val="008D53E4"/>
    <w:rsid w:val="008D674D"/>
    <w:rsid w:val="008D6758"/>
    <w:rsid w:val="008D6AC5"/>
    <w:rsid w:val="008D7423"/>
    <w:rsid w:val="008E0AAC"/>
    <w:rsid w:val="008E25CA"/>
    <w:rsid w:val="008E2CE1"/>
    <w:rsid w:val="008E3052"/>
    <w:rsid w:val="008E4CBB"/>
    <w:rsid w:val="008E6402"/>
    <w:rsid w:val="008E6434"/>
    <w:rsid w:val="008E668B"/>
    <w:rsid w:val="008E6AC3"/>
    <w:rsid w:val="008F151A"/>
    <w:rsid w:val="008F1CD4"/>
    <w:rsid w:val="008F1F56"/>
    <w:rsid w:val="008F2119"/>
    <w:rsid w:val="008F2C3F"/>
    <w:rsid w:val="008F335C"/>
    <w:rsid w:val="008F57B1"/>
    <w:rsid w:val="008F5D25"/>
    <w:rsid w:val="008F6B9E"/>
    <w:rsid w:val="008F7245"/>
    <w:rsid w:val="008F7A82"/>
    <w:rsid w:val="00900905"/>
    <w:rsid w:val="009027A4"/>
    <w:rsid w:val="00904317"/>
    <w:rsid w:val="00904B28"/>
    <w:rsid w:val="00904D58"/>
    <w:rsid w:val="00905F71"/>
    <w:rsid w:val="009073B4"/>
    <w:rsid w:val="00911390"/>
    <w:rsid w:val="009122EA"/>
    <w:rsid w:val="009126BB"/>
    <w:rsid w:val="00912BDA"/>
    <w:rsid w:val="009133D9"/>
    <w:rsid w:val="00916886"/>
    <w:rsid w:val="00920158"/>
    <w:rsid w:val="009208C3"/>
    <w:rsid w:val="009210F6"/>
    <w:rsid w:val="00921AF3"/>
    <w:rsid w:val="00923495"/>
    <w:rsid w:val="00923B2D"/>
    <w:rsid w:val="00924370"/>
    <w:rsid w:val="0092437B"/>
    <w:rsid w:val="0092449C"/>
    <w:rsid w:val="0092690D"/>
    <w:rsid w:val="009276C4"/>
    <w:rsid w:val="00930BB4"/>
    <w:rsid w:val="00931315"/>
    <w:rsid w:val="00931DCA"/>
    <w:rsid w:val="00932256"/>
    <w:rsid w:val="00932AF7"/>
    <w:rsid w:val="00933889"/>
    <w:rsid w:val="00933C79"/>
    <w:rsid w:val="00935E21"/>
    <w:rsid w:val="00936C83"/>
    <w:rsid w:val="0093714E"/>
    <w:rsid w:val="00937AD1"/>
    <w:rsid w:val="00937F1C"/>
    <w:rsid w:val="009433BF"/>
    <w:rsid w:val="0094387B"/>
    <w:rsid w:val="00944C6E"/>
    <w:rsid w:val="00945F94"/>
    <w:rsid w:val="009464D0"/>
    <w:rsid w:val="00946F78"/>
    <w:rsid w:val="00950E60"/>
    <w:rsid w:val="00951358"/>
    <w:rsid w:val="00951EA9"/>
    <w:rsid w:val="0095326C"/>
    <w:rsid w:val="009549E4"/>
    <w:rsid w:val="0095544F"/>
    <w:rsid w:val="00955472"/>
    <w:rsid w:val="00960AF4"/>
    <w:rsid w:val="0096137D"/>
    <w:rsid w:val="00961B15"/>
    <w:rsid w:val="0096274E"/>
    <w:rsid w:val="00963D5F"/>
    <w:rsid w:val="0096512A"/>
    <w:rsid w:val="00965715"/>
    <w:rsid w:val="0096596D"/>
    <w:rsid w:val="00965D3F"/>
    <w:rsid w:val="00965F9E"/>
    <w:rsid w:val="00967BCB"/>
    <w:rsid w:val="009704E2"/>
    <w:rsid w:val="009707E9"/>
    <w:rsid w:val="00970F92"/>
    <w:rsid w:val="0097103D"/>
    <w:rsid w:val="00971597"/>
    <w:rsid w:val="00973A03"/>
    <w:rsid w:val="00973CF3"/>
    <w:rsid w:val="00974937"/>
    <w:rsid w:val="00975727"/>
    <w:rsid w:val="00976493"/>
    <w:rsid w:val="00976957"/>
    <w:rsid w:val="00976F1E"/>
    <w:rsid w:val="00980CC8"/>
    <w:rsid w:val="00980DAE"/>
    <w:rsid w:val="00981902"/>
    <w:rsid w:val="00981AA0"/>
    <w:rsid w:val="00983880"/>
    <w:rsid w:val="009847B4"/>
    <w:rsid w:val="009848F8"/>
    <w:rsid w:val="00985969"/>
    <w:rsid w:val="00986277"/>
    <w:rsid w:val="00986349"/>
    <w:rsid w:val="009868EC"/>
    <w:rsid w:val="009875CE"/>
    <w:rsid w:val="00991221"/>
    <w:rsid w:val="00992257"/>
    <w:rsid w:val="00992E3A"/>
    <w:rsid w:val="00994141"/>
    <w:rsid w:val="00995B25"/>
    <w:rsid w:val="00996406"/>
    <w:rsid w:val="00997411"/>
    <w:rsid w:val="009A088F"/>
    <w:rsid w:val="009A0C8A"/>
    <w:rsid w:val="009A0DD2"/>
    <w:rsid w:val="009A1560"/>
    <w:rsid w:val="009A188E"/>
    <w:rsid w:val="009A19F6"/>
    <w:rsid w:val="009A1C15"/>
    <w:rsid w:val="009A2800"/>
    <w:rsid w:val="009A2930"/>
    <w:rsid w:val="009A45BD"/>
    <w:rsid w:val="009A5E7A"/>
    <w:rsid w:val="009A6A88"/>
    <w:rsid w:val="009A6B80"/>
    <w:rsid w:val="009B15C2"/>
    <w:rsid w:val="009B1E78"/>
    <w:rsid w:val="009B2EE0"/>
    <w:rsid w:val="009B300A"/>
    <w:rsid w:val="009B3141"/>
    <w:rsid w:val="009B53EB"/>
    <w:rsid w:val="009B55B3"/>
    <w:rsid w:val="009B5E27"/>
    <w:rsid w:val="009B6A19"/>
    <w:rsid w:val="009B6FFD"/>
    <w:rsid w:val="009B7018"/>
    <w:rsid w:val="009B79AA"/>
    <w:rsid w:val="009B7A06"/>
    <w:rsid w:val="009C00EE"/>
    <w:rsid w:val="009C1422"/>
    <w:rsid w:val="009C14E7"/>
    <w:rsid w:val="009C2BA9"/>
    <w:rsid w:val="009C2F49"/>
    <w:rsid w:val="009C38F5"/>
    <w:rsid w:val="009C3A0D"/>
    <w:rsid w:val="009C529B"/>
    <w:rsid w:val="009C5793"/>
    <w:rsid w:val="009C5E8A"/>
    <w:rsid w:val="009C6E87"/>
    <w:rsid w:val="009C758F"/>
    <w:rsid w:val="009D17D0"/>
    <w:rsid w:val="009D3C37"/>
    <w:rsid w:val="009D4BAA"/>
    <w:rsid w:val="009D5B63"/>
    <w:rsid w:val="009D697F"/>
    <w:rsid w:val="009E0391"/>
    <w:rsid w:val="009E0914"/>
    <w:rsid w:val="009E0E12"/>
    <w:rsid w:val="009E0F91"/>
    <w:rsid w:val="009E1068"/>
    <w:rsid w:val="009E114C"/>
    <w:rsid w:val="009E13D8"/>
    <w:rsid w:val="009E1799"/>
    <w:rsid w:val="009E1CF3"/>
    <w:rsid w:val="009E3B7C"/>
    <w:rsid w:val="009E4B9E"/>
    <w:rsid w:val="009E539D"/>
    <w:rsid w:val="009E6457"/>
    <w:rsid w:val="009F1203"/>
    <w:rsid w:val="009F231E"/>
    <w:rsid w:val="009F3387"/>
    <w:rsid w:val="009F34F3"/>
    <w:rsid w:val="009F5F3F"/>
    <w:rsid w:val="00A000E3"/>
    <w:rsid w:val="00A00A96"/>
    <w:rsid w:val="00A0147F"/>
    <w:rsid w:val="00A0467D"/>
    <w:rsid w:val="00A06B8C"/>
    <w:rsid w:val="00A106AF"/>
    <w:rsid w:val="00A10A9A"/>
    <w:rsid w:val="00A10BC0"/>
    <w:rsid w:val="00A113AE"/>
    <w:rsid w:val="00A115D8"/>
    <w:rsid w:val="00A11DAD"/>
    <w:rsid w:val="00A12658"/>
    <w:rsid w:val="00A13339"/>
    <w:rsid w:val="00A1536B"/>
    <w:rsid w:val="00A15C36"/>
    <w:rsid w:val="00A15F18"/>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2566"/>
    <w:rsid w:val="00A33C32"/>
    <w:rsid w:val="00A34123"/>
    <w:rsid w:val="00A3635F"/>
    <w:rsid w:val="00A36DAF"/>
    <w:rsid w:val="00A373AA"/>
    <w:rsid w:val="00A378ED"/>
    <w:rsid w:val="00A406E3"/>
    <w:rsid w:val="00A4135F"/>
    <w:rsid w:val="00A41585"/>
    <w:rsid w:val="00A43049"/>
    <w:rsid w:val="00A453EE"/>
    <w:rsid w:val="00A45762"/>
    <w:rsid w:val="00A457B5"/>
    <w:rsid w:val="00A45853"/>
    <w:rsid w:val="00A465BA"/>
    <w:rsid w:val="00A471F4"/>
    <w:rsid w:val="00A54775"/>
    <w:rsid w:val="00A56240"/>
    <w:rsid w:val="00A571FB"/>
    <w:rsid w:val="00A617EE"/>
    <w:rsid w:val="00A61D5D"/>
    <w:rsid w:val="00A628E5"/>
    <w:rsid w:val="00A62A96"/>
    <w:rsid w:val="00A62F0D"/>
    <w:rsid w:val="00A63042"/>
    <w:rsid w:val="00A64132"/>
    <w:rsid w:val="00A641EB"/>
    <w:rsid w:val="00A6486F"/>
    <w:rsid w:val="00A66399"/>
    <w:rsid w:val="00A6649E"/>
    <w:rsid w:val="00A66DCF"/>
    <w:rsid w:val="00A67900"/>
    <w:rsid w:val="00A67FDF"/>
    <w:rsid w:val="00A702C7"/>
    <w:rsid w:val="00A70AD0"/>
    <w:rsid w:val="00A71BFE"/>
    <w:rsid w:val="00A71EEE"/>
    <w:rsid w:val="00A72030"/>
    <w:rsid w:val="00A754CC"/>
    <w:rsid w:val="00A75D21"/>
    <w:rsid w:val="00A76573"/>
    <w:rsid w:val="00A76AE7"/>
    <w:rsid w:val="00A80C8A"/>
    <w:rsid w:val="00A80FEE"/>
    <w:rsid w:val="00A8183A"/>
    <w:rsid w:val="00A8390A"/>
    <w:rsid w:val="00A85909"/>
    <w:rsid w:val="00A86F91"/>
    <w:rsid w:val="00A91539"/>
    <w:rsid w:val="00A91AC6"/>
    <w:rsid w:val="00A923C4"/>
    <w:rsid w:val="00A92A2F"/>
    <w:rsid w:val="00A93AEE"/>
    <w:rsid w:val="00A93BA6"/>
    <w:rsid w:val="00AA0ED7"/>
    <w:rsid w:val="00AA3904"/>
    <w:rsid w:val="00AA3A69"/>
    <w:rsid w:val="00AA4564"/>
    <w:rsid w:val="00AA5045"/>
    <w:rsid w:val="00AA58F9"/>
    <w:rsid w:val="00AA5A6C"/>
    <w:rsid w:val="00AA7214"/>
    <w:rsid w:val="00AA7863"/>
    <w:rsid w:val="00AB0226"/>
    <w:rsid w:val="00AB1640"/>
    <w:rsid w:val="00AB1AF6"/>
    <w:rsid w:val="00AB2DB4"/>
    <w:rsid w:val="00AB2E23"/>
    <w:rsid w:val="00AB2EB6"/>
    <w:rsid w:val="00AB33AF"/>
    <w:rsid w:val="00AB36DF"/>
    <w:rsid w:val="00AB3D0E"/>
    <w:rsid w:val="00AB3E10"/>
    <w:rsid w:val="00AB41C5"/>
    <w:rsid w:val="00AB5BF3"/>
    <w:rsid w:val="00AB6C4E"/>
    <w:rsid w:val="00AC0B38"/>
    <w:rsid w:val="00AC1A8B"/>
    <w:rsid w:val="00AC251C"/>
    <w:rsid w:val="00AC2E91"/>
    <w:rsid w:val="00AC52D3"/>
    <w:rsid w:val="00AC5941"/>
    <w:rsid w:val="00AC5B62"/>
    <w:rsid w:val="00AC6BE6"/>
    <w:rsid w:val="00AD1F46"/>
    <w:rsid w:val="00AD2524"/>
    <w:rsid w:val="00AD4799"/>
    <w:rsid w:val="00AD4A02"/>
    <w:rsid w:val="00AD4AB9"/>
    <w:rsid w:val="00AD5700"/>
    <w:rsid w:val="00AD63AF"/>
    <w:rsid w:val="00AE0113"/>
    <w:rsid w:val="00AE07D3"/>
    <w:rsid w:val="00AE220C"/>
    <w:rsid w:val="00AE4BAC"/>
    <w:rsid w:val="00AE5172"/>
    <w:rsid w:val="00AE5A1A"/>
    <w:rsid w:val="00AE5B21"/>
    <w:rsid w:val="00AE6C99"/>
    <w:rsid w:val="00AE7786"/>
    <w:rsid w:val="00AF0A8A"/>
    <w:rsid w:val="00AF22E4"/>
    <w:rsid w:val="00AF2909"/>
    <w:rsid w:val="00AF2E9C"/>
    <w:rsid w:val="00AF30BB"/>
    <w:rsid w:val="00AF319C"/>
    <w:rsid w:val="00AF3B0B"/>
    <w:rsid w:val="00AF3DDE"/>
    <w:rsid w:val="00AF40AC"/>
    <w:rsid w:val="00AF41DF"/>
    <w:rsid w:val="00AF4728"/>
    <w:rsid w:val="00AF51B0"/>
    <w:rsid w:val="00AF5373"/>
    <w:rsid w:val="00AF54EC"/>
    <w:rsid w:val="00AF5ED6"/>
    <w:rsid w:val="00AF6256"/>
    <w:rsid w:val="00AF6381"/>
    <w:rsid w:val="00AF63D5"/>
    <w:rsid w:val="00AF67CF"/>
    <w:rsid w:val="00AF738D"/>
    <w:rsid w:val="00AF7C11"/>
    <w:rsid w:val="00B0008F"/>
    <w:rsid w:val="00B01132"/>
    <w:rsid w:val="00B011A3"/>
    <w:rsid w:val="00B023E0"/>
    <w:rsid w:val="00B0250C"/>
    <w:rsid w:val="00B04B11"/>
    <w:rsid w:val="00B04B53"/>
    <w:rsid w:val="00B06B57"/>
    <w:rsid w:val="00B0715D"/>
    <w:rsid w:val="00B07446"/>
    <w:rsid w:val="00B07B6A"/>
    <w:rsid w:val="00B10F01"/>
    <w:rsid w:val="00B11086"/>
    <w:rsid w:val="00B114C3"/>
    <w:rsid w:val="00B1251B"/>
    <w:rsid w:val="00B12BA4"/>
    <w:rsid w:val="00B14412"/>
    <w:rsid w:val="00B14D5F"/>
    <w:rsid w:val="00B16BC1"/>
    <w:rsid w:val="00B16E1F"/>
    <w:rsid w:val="00B20A4D"/>
    <w:rsid w:val="00B2155E"/>
    <w:rsid w:val="00B22537"/>
    <w:rsid w:val="00B23A70"/>
    <w:rsid w:val="00B24736"/>
    <w:rsid w:val="00B24C96"/>
    <w:rsid w:val="00B2539F"/>
    <w:rsid w:val="00B25E5D"/>
    <w:rsid w:val="00B26245"/>
    <w:rsid w:val="00B26ADB"/>
    <w:rsid w:val="00B26E36"/>
    <w:rsid w:val="00B276A7"/>
    <w:rsid w:val="00B2771E"/>
    <w:rsid w:val="00B305BD"/>
    <w:rsid w:val="00B31F2C"/>
    <w:rsid w:val="00B32460"/>
    <w:rsid w:val="00B33FF0"/>
    <w:rsid w:val="00B34708"/>
    <w:rsid w:val="00B35230"/>
    <w:rsid w:val="00B352E4"/>
    <w:rsid w:val="00B35F68"/>
    <w:rsid w:val="00B364DF"/>
    <w:rsid w:val="00B37BC2"/>
    <w:rsid w:val="00B418A6"/>
    <w:rsid w:val="00B41AC4"/>
    <w:rsid w:val="00B41D6E"/>
    <w:rsid w:val="00B42860"/>
    <w:rsid w:val="00B4346D"/>
    <w:rsid w:val="00B4507E"/>
    <w:rsid w:val="00B454F8"/>
    <w:rsid w:val="00B45A3B"/>
    <w:rsid w:val="00B47A6F"/>
    <w:rsid w:val="00B50FA1"/>
    <w:rsid w:val="00B52D5F"/>
    <w:rsid w:val="00B53100"/>
    <w:rsid w:val="00B54477"/>
    <w:rsid w:val="00B56222"/>
    <w:rsid w:val="00B57615"/>
    <w:rsid w:val="00B576CD"/>
    <w:rsid w:val="00B60C90"/>
    <w:rsid w:val="00B62C89"/>
    <w:rsid w:val="00B665AE"/>
    <w:rsid w:val="00B666CB"/>
    <w:rsid w:val="00B678EB"/>
    <w:rsid w:val="00B67CDA"/>
    <w:rsid w:val="00B71641"/>
    <w:rsid w:val="00B71BB1"/>
    <w:rsid w:val="00B7250F"/>
    <w:rsid w:val="00B74262"/>
    <w:rsid w:val="00B7433E"/>
    <w:rsid w:val="00B74693"/>
    <w:rsid w:val="00B76332"/>
    <w:rsid w:val="00B7776C"/>
    <w:rsid w:val="00B82EE5"/>
    <w:rsid w:val="00B8333F"/>
    <w:rsid w:val="00B835B6"/>
    <w:rsid w:val="00B84982"/>
    <w:rsid w:val="00B84EAD"/>
    <w:rsid w:val="00B851D0"/>
    <w:rsid w:val="00B85721"/>
    <w:rsid w:val="00B85E2E"/>
    <w:rsid w:val="00B86C29"/>
    <w:rsid w:val="00B9096E"/>
    <w:rsid w:val="00B9190F"/>
    <w:rsid w:val="00B9196F"/>
    <w:rsid w:val="00B929AD"/>
    <w:rsid w:val="00B92D96"/>
    <w:rsid w:val="00B933DE"/>
    <w:rsid w:val="00B93441"/>
    <w:rsid w:val="00B93A2D"/>
    <w:rsid w:val="00B95273"/>
    <w:rsid w:val="00B95A7A"/>
    <w:rsid w:val="00BA2052"/>
    <w:rsid w:val="00BA37ED"/>
    <w:rsid w:val="00BA449F"/>
    <w:rsid w:val="00BA4601"/>
    <w:rsid w:val="00BA4723"/>
    <w:rsid w:val="00BA55B4"/>
    <w:rsid w:val="00BA5C59"/>
    <w:rsid w:val="00BB31BE"/>
    <w:rsid w:val="00BB770E"/>
    <w:rsid w:val="00BB7FB5"/>
    <w:rsid w:val="00BC25F7"/>
    <w:rsid w:val="00BC2A74"/>
    <w:rsid w:val="00BC32B2"/>
    <w:rsid w:val="00BC36BB"/>
    <w:rsid w:val="00BC65D7"/>
    <w:rsid w:val="00BC73A7"/>
    <w:rsid w:val="00BD09D3"/>
    <w:rsid w:val="00BD12AD"/>
    <w:rsid w:val="00BD44B9"/>
    <w:rsid w:val="00BD5D5E"/>
    <w:rsid w:val="00BD67D4"/>
    <w:rsid w:val="00BD6EFA"/>
    <w:rsid w:val="00BD72D8"/>
    <w:rsid w:val="00BE0590"/>
    <w:rsid w:val="00BE0E58"/>
    <w:rsid w:val="00BE1397"/>
    <w:rsid w:val="00BE1E9D"/>
    <w:rsid w:val="00BE3F32"/>
    <w:rsid w:val="00BE4182"/>
    <w:rsid w:val="00BE49B9"/>
    <w:rsid w:val="00BE4CAB"/>
    <w:rsid w:val="00BE4EF9"/>
    <w:rsid w:val="00BE5F41"/>
    <w:rsid w:val="00BE62F3"/>
    <w:rsid w:val="00BE6967"/>
    <w:rsid w:val="00BE6E59"/>
    <w:rsid w:val="00BE71B1"/>
    <w:rsid w:val="00BE75A8"/>
    <w:rsid w:val="00BF0F0C"/>
    <w:rsid w:val="00BF11ED"/>
    <w:rsid w:val="00BF1561"/>
    <w:rsid w:val="00BF1BC0"/>
    <w:rsid w:val="00BF25E1"/>
    <w:rsid w:val="00BF33DF"/>
    <w:rsid w:val="00BF4131"/>
    <w:rsid w:val="00BF4173"/>
    <w:rsid w:val="00BF43E5"/>
    <w:rsid w:val="00BF5289"/>
    <w:rsid w:val="00BF55F1"/>
    <w:rsid w:val="00BF6493"/>
    <w:rsid w:val="00BF6A0E"/>
    <w:rsid w:val="00C00470"/>
    <w:rsid w:val="00C021C7"/>
    <w:rsid w:val="00C04C4B"/>
    <w:rsid w:val="00C05887"/>
    <w:rsid w:val="00C067C4"/>
    <w:rsid w:val="00C06A02"/>
    <w:rsid w:val="00C06A44"/>
    <w:rsid w:val="00C06F41"/>
    <w:rsid w:val="00C111FA"/>
    <w:rsid w:val="00C12989"/>
    <w:rsid w:val="00C150A4"/>
    <w:rsid w:val="00C150F2"/>
    <w:rsid w:val="00C15F88"/>
    <w:rsid w:val="00C1747B"/>
    <w:rsid w:val="00C1794C"/>
    <w:rsid w:val="00C2232A"/>
    <w:rsid w:val="00C224B4"/>
    <w:rsid w:val="00C228CF"/>
    <w:rsid w:val="00C22D94"/>
    <w:rsid w:val="00C232B9"/>
    <w:rsid w:val="00C25157"/>
    <w:rsid w:val="00C265C5"/>
    <w:rsid w:val="00C267C7"/>
    <w:rsid w:val="00C270A1"/>
    <w:rsid w:val="00C271E9"/>
    <w:rsid w:val="00C27DC7"/>
    <w:rsid w:val="00C302A7"/>
    <w:rsid w:val="00C310B9"/>
    <w:rsid w:val="00C319B5"/>
    <w:rsid w:val="00C32DC0"/>
    <w:rsid w:val="00C3356A"/>
    <w:rsid w:val="00C35052"/>
    <w:rsid w:val="00C35E6D"/>
    <w:rsid w:val="00C372BF"/>
    <w:rsid w:val="00C37DA4"/>
    <w:rsid w:val="00C4317F"/>
    <w:rsid w:val="00C44D33"/>
    <w:rsid w:val="00C450E6"/>
    <w:rsid w:val="00C45218"/>
    <w:rsid w:val="00C465E6"/>
    <w:rsid w:val="00C469A7"/>
    <w:rsid w:val="00C46DA1"/>
    <w:rsid w:val="00C46E51"/>
    <w:rsid w:val="00C47C92"/>
    <w:rsid w:val="00C50CB6"/>
    <w:rsid w:val="00C51123"/>
    <w:rsid w:val="00C5200C"/>
    <w:rsid w:val="00C521D7"/>
    <w:rsid w:val="00C532A5"/>
    <w:rsid w:val="00C54472"/>
    <w:rsid w:val="00C54931"/>
    <w:rsid w:val="00C54BF8"/>
    <w:rsid w:val="00C54CAE"/>
    <w:rsid w:val="00C54F49"/>
    <w:rsid w:val="00C5618C"/>
    <w:rsid w:val="00C60690"/>
    <w:rsid w:val="00C606C2"/>
    <w:rsid w:val="00C617E8"/>
    <w:rsid w:val="00C62421"/>
    <w:rsid w:val="00C6496A"/>
    <w:rsid w:val="00C64C98"/>
    <w:rsid w:val="00C65151"/>
    <w:rsid w:val="00C6664E"/>
    <w:rsid w:val="00C67152"/>
    <w:rsid w:val="00C6750A"/>
    <w:rsid w:val="00C67C2D"/>
    <w:rsid w:val="00C7052B"/>
    <w:rsid w:val="00C7156C"/>
    <w:rsid w:val="00C7195F"/>
    <w:rsid w:val="00C71DB3"/>
    <w:rsid w:val="00C73283"/>
    <w:rsid w:val="00C737C9"/>
    <w:rsid w:val="00C73A44"/>
    <w:rsid w:val="00C73CC4"/>
    <w:rsid w:val="00C7413D"/>
    <w:rsid w:val="00C743B5"/>
    <w:rsid w:val="00C761E1"/>
    <w:rsid w:val="00C8030A"/>
    <w:rsid w:val="00C809E8"/>
    <w:rsid w:val="00C82020"/>
    <w:rsid w:val="00C82092"/>
    <w:rsid w:val="00C82515"/>
    <w:rsid w:val="00C8271F"/>
    <w:rsid w:val="00C83898"/>
    <w:rsid w:val="00C842FA"/>
    <w:rsid w:val="00C853C5"/>
    <w:rsid w:val="00C8602D"/>
    <w:rsid w:val="00C90D68"/>
    <w:rsid w:val="00C9252F"/>
    <w:rsid w:val="00C92EE1"/>
    <w:rsid w:val="00C941C9"/>
    <w:rsid w:val="00C94C68"/>
    <w:rsid w:val="00C95791"/>
    <w:rsid w:val="00C95793"/>
    <w:rsid w:val="00C96659"/>
    <w:rsid w:val="00C9767B"/>
    <w:rsid w:val="00C97CF5"/>
    <w:rsid w:val="00CA2AA8"/>
    <w:rsid w:val="00CA3B7F"/>
    <w:rsid w:val="00CA609A"/>
    <w:rsid w:val="00CA6830"/>
    <w:rsid w:val="00CA6C58"/>
    <w:rsid w:val="00CA7769"/>
    <w:rsid w:val="00CB0850"/>
    <w:rsid w:val="00CB0E66"/>
    <w:rsid w:val="00CB1457"/>
    <w:rsid w:val="00CB3518"/>
    <w:rsid w:val="00CB3AC8"/>
    <w:rsid w:val="00CB444F"/>
    <w:rsid w:val="00CB5519"/>
    <w:rsid w:val="00CB5549"/>
    <w:rsid w:val="00CB5BDD"/>
    <w:rsid w:val="00CB5EFF"/>
    <w:rsid w:val="00CB67DC"/>
    <w:rsid w:val="00CB71F3"/>
    <w:rsid w:val="00CB7271"/>
    <w:rsid w:val="00CC0300"/>
    <w:rsid w:val="00CC1240"/>
    <w:rsid w:val="00CC56B2"/>
    <w:rsid w:val="00CC6180"/>
    <w:rsid w:val="00CC6B5B"/>
    <w:rsid w:val="00CC6B6F"/>
    <w:rsid w:val="00CC6F8D"/>
    <w:rsid w:val="00CC6FF6"/>
    <w:rsid w:val="00CC733D"/>
    <w:rsid w:val="00CD2E94"/>
    <w:rsid w:val="00CD35FF"/>
    <w:rsid w:val="00CD3FFC"/>
    <w:rsid w:val="00CD455F"/>
    <w:rsid w:val="00CD471C"/>
    <w:rsid w:val="00CD4B07"/>
    <w:rsid w:val="00CD626B"/>
    <w:rsid w:val="00CD7070"/>
    <w:rsid w:val="00CE06A9"/>
    <w:rsid w:val="00CE0A94"/>
    <w:rsid w:val="00CE14E7"/>
    <w:rsid w:val="00CE2001"/>
    <w:rsid w:val="00CE27C6"/>
    <w:rsid w:val="00CE3AD7"/>
    <w:rsid w:val="00CE43B1"/>
    <w:rsid w:val="00CE4E14"/>
    <w:rsid w:val="00CE63B8"/>
    <w:rsid w:val="00CF0176"/>
    <w:rsid w:val="00CF0604"/>
    <w:rsid w:val="00CF0B74"/>
    <w:rsid w:val="00CF1AE4"/>
    <w:rsid w:val="00CF1FAD"/>
    <w:rsid w:val="00CF21B4"/>
    <w:rsid w:val="00CF2562"/>
    <w:rsid w:val="00CF3A66"/>
    <w:rsid w:val="00CF5693"/>
    <w:rsid w:val="00CF5ECA"/>
    <w:rsid w:val="00CF7875"/>
    <w:rsid w:val="00D00669"/>
    <w:rsid w:val="00D01AC4"/>
    <w:rsid w:val="00D0281F"/>
    <w:rsid w:val="00D02E7D"/>
    <w:rsid w:val="00D03E4C"/>
    <w:rsid w:val="00D0454A"/>
    <w:rsid w:val="00D0646E"/>
    <w:rsid w:val="00D06B4E"/>
    <w:rsid w:val="00D06F11"/>
    <w:rsid w:val="00D07521"/>
    <w:rsid w:val="00D117D0"/>
    <w:rsid w:val="00D12F3A"/>
    <w:rsid w:val="00D1343E"/>
    <w:rsid w:val="00D136EC"/>
    <w:rsid w:val="00D14584"/>
    <w:rsid w:val="00D15356"/>
    <w:rsid w:val="00D156BF"/>
    <w:rsid w:val="00D15F13"/>
    <w:rsid w:val="00D16016"/>
    <w:rsid w:val="00D16D46"/>
    <w:rsid w:val="00D204D2"/>
    <w:rsid w:val="00D20BA8"/>
    <w:rsid w:val="00D20DF4"/>
    <w:rsid w:val="00D21860"/>
    <w:rsid w:val="00D232B5"/>
    <w:rsid w:val="00D24890"/>
    <w:rsid w:val="00D25F0B"/>
    <w:rsid w:val="00D3100A"/>
    <w:rsid w:val="00D31ED4"/>
    <w:rsid w:val="00D328AA"/>
    <w:rsid w:val="00D32A6B"/>
    <w:rsid w:val="00D33850"/>
    <w:rsid w:val="00D33CE1"/>
    <w:rsid w:val="00D3559A"/>
    <w:rsid w:val="00D3566B"/>
    <w:rsid w:val="00D36675"/>
    <w:rsid w:val="00D36C0D"/>
    <w:rsid w:val="00D37740"/>
    <w:rsid w:val="00D412B1"/>
    <w:rsid w:val="00D413D9"/>
    <w:rsid w:val="00D43317"/>
    <w:rsid w:val="00D443FD"/>
    <w:rsid w:val="00D45A9B"/>
    <w:rsid w:val="00D47CEE"/>
    <w:rsid w:val="00D50250"/>
    <w:rsid w:val="00D5141B"/>
    <w:rsid w:val="00D54FEA"/>
    <w:rsid w:val="00D55021"/>
    <w:rsid w:val="00D550DA"/>
    <w:rsid w:val="00D55C3D"/>
    <w:rsid w:val="00D57607"/>
    <w:rsid w:val="00D60FB2"/>
    <w:rsid w:val="00D627BF"/>
    <w:rsid w:val="00D637DF"/>
    <w:rsid w:val="00D63A27"/>
    <w:rsid w:val="00D64057"/>
    <w:rsid w:val="00D667DD"/>
    <w:rsid w:val="00D66F5B"/>
    <w:rsid w:val="00D7068B"/>
    <w:rsid w:val="00D73A63"/>
    <w:rsid w:val="00D74808"/>
    <w:rsid w:val="00D75214"/>
    <w:rsid w:val="00D75F3A"/>
    <w:rsid w:val="00D80589"/>
    <w:rsid w:val="00D80D22"/>
    <w:rsid w:val="00D81C12"/>
    <w:rsid w:val="00D82229"/>
    <w:rsid w:val="00D82C4D"/>
    <w:rsid w:val="00D82FD0"/>
    <w:rsid w:val="00D85A33"/>
    <w:rsid w:val="00D87F8B"/>
    <w:rsid w:val="00D914DA"/>
    <w:rsid w:val="00D920E6"/>
    <w:rsid w:val="00D927F1"/>
    <w:rsid w:val="00D9398D"/>
    <w:rsid w:val="00D9470B"/>
    <w:rsid w:val="00D94A75"/>
    <w:rsid w:val="00D96101"/>
    <w:rsid w:val="00D966AD"/>
    <w:rsid w:val="00D96B33"/>
    <w:rsid w:val="00DA0EE0"/>
    <w:rsid w:val="00DA1113"/>
    <w:rsid w:val="00DA1ABD"/>
    <w:rsid w:val="00DB07DA"/>
    <w:rsid w:val="00DB1392"/>
    <w:rsid w:val="00DB1CFA"/>
    <w:rsid w:val="00DB1D5C"/>
    <w:rsid w:val="00DB2BB2"/>
    <w:rsid w:val="00DB5CF4"/>
    <w:rsid w:val="00DB782B"/>
    <w:rsid w:val="00DB79BF"/>
    <w:rsid w:val="00DB7DCB"/>
    <w:rsid w:val="00DC0C90"/>
    <w:rsid w:val="00DC0D69"/>
    <w:rsid w:val="00DC228B"/>
    <w:rsid w:val="00DC26F7"/>
    <w:rsid w:val="00DC2AC6"/>
    <w:rsid w:val="00DC475D"/>
    <w:rsid w:val="00DC47C1"/>
    <w:rsid w:val="00DC4B77"/>
    <w:rsid w:val="00DC4FC5"/>
    <w:rsid w:val="00DC648A"/>
    <w:rsid w:val="00DC6E15"/>
    <w:rsid w:val="00DC73DE"/>
    <w:rsid w:val="00DD0436"/>
    <w:rsid w:val="00DD0FCA"/>
    <w:rsid w:val="00DD106B"/>
    <w:rsid w:val="00DD14C7"/>
    <w:rsid w:val="00DD1712"/>
    <w:rsid w:val="00DD2817"/>
    <w:rsid w:val="00DD2C7B"/>
    <w:rsid w:val="00DD388B"/>
    <w:rsid w:val="00DD419E"/>
    <w:rsid w:val="00DD63B5"/>
    <w:rsid w:val="00DE0492"/>
    <w:rsid w:val="00DE1494"/>
    <w:rsid w:val="00DE2926"/>
    <w:rsid w:val="00DE3199"/>
    <w:rsid w:val="00DE402D"/>
    <w:rsid w:val="00DE67DA"/>
    <w:rsid w:val="00DF036C"/>
    <w:rsid w:val="00DF0BE3"/>
    <w:rsid w:val="00DF509F"/>
    <w:rsid w:val="00DF5295"/>
    <w:rsid w:val="00DF6131"/>
    <w:rsid w:val="00DF6222"/>
    <w:rsid w:val="00DF6990"/>
    <w:rsid w:val="00E00236"/>
    <w:rsid w:val="00E00782"/>
    <w:rsid w:val="00E0120C"/>
    <w:rsid w:val="00E016A5"/>
    <w:rsid w:val="00E01907"/>
    <w:rsid w:val="00E022C1"/>
    <w:rsid w:val="00E02627"/>
    <w:rsid w:val="00E03567"/>
    <w:rsid w:val="00E047A7"/>
    <w:rsid w:val="00E0504D"/>
    <w:rsid w:val="00E05084"/>
    <w:rsid w:val="00E051B3"/>
    <w:rsid w:val="00E06124"/>
    <w:rsid w:val="00E11E74"/>
    <w:rsid w:val="00E127B3"/>
    <w:rsid w:val="00E12A1B"/>
    <w:rsid w:val="00E149CC"/>
    <w:rsid w:val="00E1583B"/>
    <w:rsid w:val="00E16A8D"/>
    <w:rsid w:val="00E16D71"/>
    <w:rsid w:val="00E173B7"/>
    <w:rsid w:val="00E17F95"/>
    <w:rsid w:val="00E20448"/>
    <w:rsid w:val="00E20CE0"/>
    <w:rsid w:val="00E22E14"/>
    <w:rsid w:val="00E23469"/>
    <w:rsid w:val="00E23595"/>
    <w:rsid w:val="00E253E0"/>
    <w:rsid w:val="00E2709C"/>
    <w:rsid w:val="00E272E0"/>
    <w:rsid w:val="00E3030F"/>
    <w:rsid w:val="00E30980"/>
    <w:rsid w:val="00E32477"/>
    <w:rsid w:val="00E332B4"/>
    <w:rsid w:val="00E34C80"/>
    <w:rsid w:val="00E3552E"/>
    <w:rsid w:val="00E37781"/>
    <w:rsid w:val="00E37A3F"/>
    <w:rsid w:val="00E4022D"/>
    <w:rsid w:val="00E40FCB"/>
    <w:rsid w:val="00E4367D"/>
    <w:rsid w:val="00E43B0F"/>
    <w:rsid w:val="00E43E5A"/>
    <w:rsid w:val="00E4525D"/>
    <w:rsid w:val="00E45CB2"/>
    <w:rsid w:val="00E46AF4"/>
    <w:rsid w:val="00E479F6"/>
    <w:rsid w:val="00E503FE"/>
    <w:rsid w:val="00E50578"/>
    <w:rsid w:val="00E50666"/>
    <w:rsid w:val="00E50723"/>
    <w:rsid w:val="00E516DA"/>
    <w:rsid w:val="00E51B28"/>
    <w:rsid w:val="00E520BD"/>
    <w:rsid w:val="00E53C14"/>
    <w:rsid w:val="00E53D20"/>
    <w:rsid w:val="00E5471D"/>
    <w:rsid w:val="00E54BF3"/>
    <w:rsid w:val="00E552D1"/>
    <w:rsid w:val="00E55CDB"/>
    <w:rsid w:val="00E57B50"/>
    <w:rsid w:val="00E60186"/>
    <w:rsid w:val="00E6140E"/>
    <w:rsid w:val="00E61D7C"/>
    <w:rsid w:val="00E648DE"/>
    <w:rsid w:val="00E64AF4"/>
    <w:rsid w:val="00E65ABF"/>
    <w:rsid w:val="00E66566"/>
    <w:rsid w:val="00E66E68"/>
    <w:rsid w:val="00E678ED"/>
    <w:rsid w:val="00E70E18"/>
    <w:rsid w:val="00E71B43"/>
    <w:rsid w:val="00E71E46"/>
    <w:rsid w:val="00E72772"/>
    <w:rsid w:val="00E72C55"/>
    <w:rsid w:val="00E73DF0"/>
    <w:rsid w:val="00E741FE"/>
    <w:rsid w:val="00E75D72"/>
    <w:rsid w:val="00E76052"/>
    <w:rsid w:val="00E7716E"/>
    <w:rsid w:val="00E7727F"/>
    <w:rsid w:val="00E77E7D"/>
    <w:rsid w:val="00E80D7C"/>
    <w:rsid w:val="00E81BD3"/>
    <w:rsid w:val="00E82968"/>
    <w:rsid w:val="00E83344"/>
    <w:rsid w:val="00E83477"/>
    <w:rsid w:val="00E84231"/>
    <w:rsid w:val="00E846EE"/>
    <w:rsid w:val="00E8565D"/>
    <w:rsid w:val="00E8615B"/>
    <w:rsid w:val="00E87299"/>
    <w:rsid w:val="00E87CDC"/>
    <w:rsid w:val="00E92AF2"/>
    <w:rsid w:val="00E959C7"/>
    <w:rsid w:val="00E96B67"/>
    <w:rsid w:val="00EA27C1"/>
    <w:rsid w:val="00EA33CD"/>
    <w:rsid w:val="00EA4EAB"/>
    <w:rsid w:val="00EA6798"/>
    <w:rsid w:val="00EB03D9"/>
    <w:rsid w:val="00EB0655"/>
    <w:rsid w:val="00EB27BB"/>
    <w:rsid w:val="00EB4F58"/>
    <w:rsid w:val="00EB5600"/>
    <w:rsid w:val="00EB6C44"/>
    <w:rsid w:val="00EC1928"/>
    <w:rsid w:val="00EC1D11"/>
    <w:rsid w:val="00EC227E"/>
    <w:rsid w:val="00EC2322"/>
    <w:rsid w:val="00EC2581"/>
    <w:rsid w:val="00EC3379"/>
    <w:rsid w:val="00EC3CCA"/>
    <w:rsid w:val="00EC419E"/>
    <w:rsid w:val="00EC5B7F"/>
    <w:rsid w:val="00EC6548"/>
    <w:rsid w:val="00EC675A"/>
    <w:rsid w:val="00EC6BDE"/>
    <w:rsid w:val="00EC7E07"/>
    <w:rsid w:val="00ED060E"/>
    <w:rsid w:val="00ED1916"/>
    <w:rsid w:val="00ED4CDF"/>
    <w:rsid w:val="00ED6134"/>
    <w:rsid w:val="00ED65BF"/>
    <w:rsid w:val="00ED6BCA"/>
    <w:rsid w:val="00EE0334"/>
    <w:rsid w:val="00EE1975"/>
    <w:rsid w:val="00EE1CE2"/>
    <w:rsid w:val="00EE25B6"/>
    <w:rsid w:val="00EE2607"/>
    <w:rsid w:val="00EE4053"/>
    <w:rsid w:val="00EE5569"/>
    <w:rsid w:val="00EE5BCF"/>
    <w:rsid w:val="00EE64DF"/>
    <w:rsid w:val="00EE696A"/>
    <w:rsid w:val="00EE7288"/>
    <w:rsid w:val="00EE7B6B"/>
    <w:rsid w:val="00EE7F2C"/>
    <w:rsid w:val="00EF028A"/>
    <w:rsid w:val="00EF1B2E"/>
    <w:rsid w:val="00EF2B80"/>
    <w:rsid w:val="00EF2C40"/>
    <w:rsid w:val="00EF3C98"/>
    <w:rsid w:val="00EF4999"/>
    <w:rsid w:val="00EF4E7B"/>
    <w:rsid w:val="00EF603F"/>
    <w:rsid w:val="00EF6701"/>
    <w:rsid w:val="00EF7692"/>
    <w:rsid w:val="00EF793A"/>
    <w:rsid w:val="00F017BD"/>
    <w:rsid w:val="00F019CB"/>
    <w:rsid w:val="00F031AA"/>
    <w:rsid w:val="00F03383"/>
    <w:rsid w:val="00F03AA6"/>
    <w:rsid w:val="00F0449C"/>
    <w:rsid w:val="00F0463F"/>
    <w:rsid w:val="00F05C83"/>
    <w:rsid w:val="00F0727E"/>
    <w:rsid w:val="00F10334"/>
    <w:rsid w:val="00F10E42"/>
    <w:rsid w:val="00F1118B"/>
    <w:rsid w:val="00F127BD"/>
    <w:rsid w:val="00F12ADE"/>
    <w:rsid w:val="00F14EAA"/>
    <w:rsid w:val="00F17466"/>
    <w:rsid w:val="00F1786D"/>
    <w:rsid w:val="00F20698"/>
    <w:rsid w:val="00F2209D"/>
    <w:rsid w:val="00F2272A"/>
    <w:rsid w:val="00F2360C"/>
    <w:rsid w:val="00F24811"/>
    <w:rsid w:val="00F24A20"/>
    <w:rsid w:val="00F24C3D"/>
    <w:rsid w:val="00F262AD"/>
    <w:rsid w:val="00F27081"/>
    <w:rsid w:val="00F273E6"/>
    <w:rsid w:val="00F30525"/>
    <w:rsid w:val="00F30ADB"/>
    <w:rsid w:val="00F30E5A"/>
    <w:rsid w:val="00F317A7"/>
    <w:rsid w:val="00F31AFB"/>
    <w:rsid w:val="00F32464"/>
    <w:rsid w:val="00F3256F"/>
    <w:rsid w:val="00F32637"/>
    <w:rsid w:val="00F33CD4"/>
    <w:rsid w:val="00F340EF"/>
    <w:rsid w:val="00F34594"/>
    <w:rsid w:val="00F35C6E"/>
    <w:rsid w:val="00F35F6D"/>
    <w:rsid w:val="00F40091"/>
    <w:rsid w:val="00F4062E"/>
    <w:rsid w:val="00F40BB2"/>
    <w:rsid w:val="00F42672"/>
    <w:rsid w:val="00F43870"/>
    <w:rsid w:val="00F43D4A"/>
    <w:rsid w:val="00F444CE"/>
    <w:rsid w:val="00F4726E"/>
    <w:rsid w:val="00F50E8F"/>
    <w:rsid w:val="00F50F92"/>
    <w:rsid w:val="00F51FE7"/>
    <w:rsid w:val="00F54E50"/>
    <w:rsid w:val="00F5586C"/>
    <w:rsid w:val="00F577C6"/>
    <w:rsid w:val="00F578E9"/>
    <w:rsid w:val="00F60973"/>
    <w:rsid w:val="00F609F8"/>
    <w:rsid w:val="00F62302"/>
    <w:rsid w:val="00F62B98"/>
    <w:rsid w:val="00F62EFA"/>
    <w:rsid w:val="00F63E10"/>
    <w:rsid w:val="00F6457E"/>
    <w:rsid w:val="00F67C58"/>
    <w:rsid w:val="00F70F3D"/>
    <w:rsid w:val="00F72FBE"/>
    <w:rsid w:val="00F742B9"/>
    <w:rsid w:val="00F74A1E"/>
    <w:rsid w:val="00F75414"/>
    <w:rsid w:val="00F75C6A"/>
    <w:rsid w:val="00F77718"/>
    <w:rsid w:val="00F80CC0"/>
    <w:rsid w:val="00F81CC3"/>
    <w:rsid w:val="00F81FA1"/>
    <w:rsid w:val="00F825FD"/>
    <w:rsid w:val="00F82FED"/>
    <w:rsid w:val="00F830A8"/>
    <w:rsid w:val="00F83A07"/>
    <w:rsid w:val="00F84351"/>
    <w:rsid w:val="00F845B6"/>
    <w:rsid w:val="00F863BA"/>
    <w:rsid w:val="00F874D8"/>
    <w:rsid w:val="00F900AB"/>
    <w:rsid w:val="00F913E3"/>
    <w:rsid w:val="00F9233A"/>
    <w:rsid w:val="00F92FCB"/>
    <w:rsid w:val="00F950B2"/>
    <w:rsid w:val="00F950E8"/>
    <w:rsid w:val="00F96A9D"/>
    <w:rsid w:val="00FA0CE4"/>
    <w:rsid w:val="00FA0FDE"/>
    <w:rsid w:val="00FA21CC"/>
    <w:rsid w:val="00FA2615"/>
    <w:rsid w:val="00FA28FA"/>
    <w:rsid w:val="00FA290B"/>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990"/>
    <w:rsid w:val="00FB55D2"/>
    <w:rsid w:val="00FB5861"/>
    <w:rsid w:val="00FB605C"/>
    <w:rsid w:val="00FB7769"/>
    <w:rsid w:val="00FB7992"/>
    <w:rsid w:val="00FB7B3A"/>
    <w:rsid w:val="00FC01A2"/>
    <w:rsid w:val="00FC3362"/>
    <w:rsid w:val="00FC3985"/>
    <w:rsid w:val="00FC3994"/>
    <w:rsid w:val="00FC57D2"/>
    <w:rsid w:val="00FC6426"/>
    <w:rsid w:val="00FC7081"/>
    <w:rsid w:val="00FC7D7A"/>
    <w:rsid w:val="00FC7E0E"/>
    <w:rsid w:val="00FD0D78"/>
    <w:rsid w:val="00FD2E2D"/>
    <w:rsid w:val="00FD485C"/>
    <w:rsid w:val="00FD54DE"/>
    <w:rsid w:val="00FD5A6D"/>
    <w:rsid w:val="00FD6549"/>
    <w:rsid w:val="00FE1B47"/>
    <w:rsid w:val="00FE3D42"/>
    <w:rsid w:val="00FE6CA9"/>
    <w:rsid w:val="00FE7396"/>
    <w:rsid w:val="00FF049D"/>
    <w:rsid w:val="00FF2329"/>
    <w:rsid w:val="00FF3058"/>
    <w:rsid w:val="00FF4883"/>
    <w:rsid w:val="00FF5279"/>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2"/>
    </o:shapelayout>
  </w:shapeDefaults>
  <w:decimalSymbol w:val="."/>
  <w:listSeparator w:val=","/>
  <w14:docId w14:val="1F6E1968"/>
  <w15:docId w15:val="{013BD393-3B8B-0D48-B904-F5E14468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6D6B93"/>
  </w:style>
  <w:style w:type="character" w:styleId="Emphasis">
    <w:name w:val="Emphasis"/>
    <w:basedOn w:val="DefaultParagraphFont"/>
    <w:uiPriority w:val="20"/>
    <w:qFormat/>
    <w:rsid w:val="00AF7C11"/>
    <w:rPr>
      <w:b/>
      <w:bCs/>
      <w:i w:val="0"/>
      <w:iCs w:val="0"/>
    </w:rPr>
  </w:style>
  <w:style w:type="table" w:customStyle="1" w:styleId="TableGrid0">
    <w:name w:val="TableGrid"/>
    <w:rsid w:val="007B5877"/>
    <w:rPr>
      <w:rFonts w:asciiTheme="minorHAnsi" w:eastAsiaTheme="minorEastAsia" w:hAnsiTheme="minorHAnsi" w:cstheme="minorBidi"/>
      <w:sz w:val="22"/>
      <w:szCs w:val="22"/>
    </w:rPr>
    <w:tblPr>
      <w:tblCellMar>
        <w:top w:w="0" w:type="dxa"/>
        <w:left w:w="0" w:type="dxa"/>
        <w:bottom w:w="0" w:type="dxa"/>
        <w:right w:w="0" w:type="dxa"/>
      </w:tblCellMar>
    </w:tblPr>
  </w:style>
  <w:style w:type="numbering" w:customStyle="1" w:styleId="CurrentList1">
    <w:name w:val="Current List1"/>
    <w:uiPriority w:val="99"/>
    <w:rsid w:val="004F770E"/>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53721">
      <w:bodyDiv w:val="1"/>
      <w:marLeft w:val="0"/>
      <w:marRight w:val="0"/>
      <w:marTop w:val="0"/>
      <w:marBottom w:val="0"/>
      <w:divBdr>
        <w:top w:val="none" w:sz="0" w:space="0" w:color="auto"/>
        <w:left w:val="none" w:sz="0" w:space="0" w:color="auto"/>
        <w:bottom w:val="none" w:sz="0" w:space="0" w:color="auto"/>
        <w:right w:val="none" w:sz="0" w:space="0" w:color="auto"/>
      </w:divBdr>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05181E"/>
    <w:rsid w:val="000B7AB3"/>
    <w:rsid w:val="001C38A0"/>
    <w:rsid w:val="001E70AD"/>
    <w:rsid w:val="00226EC7"/>
    <w:rsid w:val="00256BB4"/>
    <w:rsid w:val="00274CB9"/>
    <w:rsid w:val="00295DD9"/>
    <w:rsid w:val="0034786C"/>
    <w:rsid w:val="003C4983"/>
    <w:rsid w:val="005237C1"/>
    <w:rsid w:val="005A16E3"/>
    <w:rsid w:val="005C5422"/>
    <w:rsid w:val="005C655B"/>
    <w:rsid w:val="005E5171"/>
    <w:rsid w:val="0066471D"/>
    <w:rsid w:val="00674158"/>
    <w:rsid w:val="006B1D91"/>
    <w:rsid w:val="006C6AC9"/>
    <w:rsid w:val="00742328"/>
    <w:rsid w:val="007A0CE1"/>
    <w:rsid w:val="0083525C"/>
    <w:rsid w:val="008B4EBB"/>
    <w:rsid w:val="00901815"/>
    <w:rsid w:val="00903C67"/>
    <w:rsid w:val="0092117F"/>
    <w:rsid w:val="00967B0B"/>
    <w:rsid w:val="00A029E8"/>
    <w:rsid w:val="00A87158"/>
    <w:rsid w:val="00AD37DF"/>
    <w:rsid w:val="00AD7C7C"/>
    <w:rsid w:val="00B6383D"/>
    <w:rsid w:val="00BB2BB5"/>
    <w:rsid w:val="00C51C51"/>
    <w:rsid w:val="00E23952"/>
    <w:rsid w:val="00E269C5"/>
    <w:rsid w:val="00E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CEE06-07B8-4762-BFAE-E95CE89B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4</TotalTime>
  <Pages>30</Pages>
  <Words>7169</Words>
  <Characters>40865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Windows User</cp:lastModifiedBy>
  <cp:revision>6</cp:revision>
  <cp:lastPrinted>2022-03-28T08:19:00Z</cp:lastPrinted>
  <dcterms:created xsi:type="dcterms:W3CDTF">2022-03-29T06:29:00Z</dcterms:created>
  <dcterms:modified xsi:type="dcterms:W3CDTF">2022-03-30T01:10:00Z</dcterms:modified>
</cp:coreProperties>
</file>