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3304EA"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3A2400">
        <w:rPr>
          <w:rFonts w:ascii="Times New Roman" w:eastAsia="PMingLiU" w:hAnsi="Times New Roman"/>
          <w:b w:val="0"/>
          <w:kern w:val="0"/>
          <w:szCs w:val="28"/>
          <w:lang w:eastAsia="zh-TW"/>
        </w:rPr>
        <w:t>3621</w:t>
      </w:r>
      <w:r w:rsidR="00052E23">
        <w:rPr>
          <w:rFonts w:ascii="Times New Roman" w:eastAsia="PMingLiU" w:hAnsi="Times New Roman"/>
          <w:b w:val="0"/>
          <w:kern w:val="0"/>
          <w:szCs w:val="28"/>
          <w:lang w:eastAsia="zh-TW"/>
        </w:rPr>
        <w:t>/201</w:t>
      </w:r>
      <w:r w:rsidR="003A2400">
        <w:rPr>
          <w:rFonts w:ascii="Times New Roman" w:eastAsia="PMingLiU" w:hAnsi="Times New Roman"/>
          <w:b w:val="0"/>
          <w:kern w:val="0"/>
          <w:szCs w:val="28"/>
          <w:lang w:eastAsia="zh-TW"/>
        </w:rPr>
        <w:t>9</w:t>
      </w:r>
    </w:p>
    <w:p w:rsidR="00D0454A" w:rsidRPr="003A2400" w:rsidRDefault="00FF1775" w:rsidP="00D0454A">
      <w:pPr>
        <w:jc w:val="right"/>
        <w:rPr>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E52C07">
            <w:rPr>
              <w:rStyle w:val="PlaceholderText"/>
              <w:color w:val="auto"/>
            </w:rPr>
            <w:t>[2021] HKDC 948</w:t>
          </w:r>
        </w:sdtContent>
      </w:sdt>
    </w:p>
    <w:p w:rsidR="00D0454A" w:rsidRPr="003304EA" w:rsidRDefault="00D0454A" w:rsidP="00D0454A">
      <w:pPr>
        <w:spacing w:line="360" w:lineRule="auto"/>
        <w:rPr>
          <w:rFonts w:eastAsia="PMingLiU"/>
          <w:szCs w:val="28"/>
          <w:lang w:val="en-GB" w:eastAsia="zh-TW"/>
        </w:rPr>
      </w:pPr>
    </w:p>
    <w:p w:rsidR="00D0454A" w:rsidRPr="003304EA" w:rsidRDefault="00D0454A" w:rsidP="00D0454A">
      <w:pPr>
        <w:pStyle w:val="normal3"/>
        <w:tabs>
          <w:tab w:val="clear" w:pos="4320"/>
          <w:tab w:val="clear" w:pos="4500"/>
          <w:tab w:val="clear" w:pos="9000"/>
          <w:tab w:val="clear" w:pos="9072"/>
        </w:tabs>
        <w:overflowPunct/>
        <w:autoSpaceDE/>
        <w:autoSpaceDN/>
        <w:rPr>
          <w:rFonts w:eastAsia="PMingLiU"/>
          <w:szCs w:val="28"/>
          <w:lang w:val="en-US" w:eastAsia="zh-TW"/>
        </w:rPr>
        <w:sectPr w:rsidR="00D0454A"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D0454A" w:rsidRPr="003304EA"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PERSONAL INJURIES ACTION NO</w:t>
      </w:r>
      <w:r w:rsidR="00821EEB">
        <w:rPr>
          <w:rFonts w:ascii="Times New Roman" w:hAnsi="Times New Roman"/>
          <w:b w:val="0"/>
          <w:kern w:val="0"/>
          <w:szCs w:val="28"/>
          <w:lang w:val="en-US"/>
        </w:rPr>
        <w:t>.</w:t>
      </w:r>
      <w:r>
        <w:rPr>
          <w:rFonts w:ascii="Times New Roman" w:hAnsi="Times New Roman"/>
          <w:b w:val="0"/>
          <w:kern w:val="0"/>
          <w:szCs w:val="28"/>
          <w:lang w:val="en-US"/>
        </w:rPr>
        <w:t xml:space="preserve"> </w:t>
      </w:r>
      <w:r w:rsidR="003A2400">
        <w:rPr>
          <w:rFonts w:ascii="Times New Roman" w:hAnsi="Times New Roman"/>
          <w:b w:val="0"/>
          <w:kern w:val="0"/>
          <w:szCs w:val="28"/>
          <w:lang w:val="en-US"/>
        </w:rPr>
        <w:t>3621</w:t>
      </w:r>
      <w:r w:rsidR="00052E23">
        <w:rPr>
          <w:rFonts w:ascii="Times New Roman" w:hAnsi="Times New Roman"/>
          <w:b w:val="0"/>
          <w:kern w:val="0"/>
          <w:szCs w:val="28"/>
          <w:lang w:val="en-US"/>
        </w:rPr>
        <w:t xml:space="preserve"> OF 201</w:t>
      </w:r>
      <w:r w:rsidR="003A2400">
        <w:rPr>
          <w:rFonts w:ascii="Times New Roman" w:hAnsi="Times New Roman"/>
          <w:b w:val="0"/>
          <w:kern w:val="0"/>
          <w:szCs w:val="28"/>
          <w:lang w:val="en-US"/>
        </w:rPr>
        <w:t>9</w:t>
      </w:r>
    </w:p>
    <w:p w:rsidR="00D0454A" w:rsidRPr="006E39C1" w:rsidRDefault="00D0454A" w:rsidP="00D0454A">
      <w:pPr>
        <w:spacing w:line="360" w:lineRule="auto"/>
        <w:rPr>
          <w:szCs w:val="28"/>
          <w:lang w:val="en-GB" w:eastAsia="zh-TW"/>
        </w:rPr>
      </w:pP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0454A" w:rsidRPr="006E39C1" w:rsidRDefault="00D0454A" w:rsidP="00D0454A">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D0454A" w:rsidRPr="006E39C1" w:rsidRDefault="00D0454A" w:rsidP="003A2400">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3A2400">
        <w:rPr>
          <w:rFonts w:eastAsia="PMingLiU" w:hint="eastAsia"/>
          <w:bCs/>
          <w:szCs w:val="28"/>
          <w:lang w:eastAsia="zh-TW"/>
        </w:rPr>
        <w:t>HU WAN</w:t>
      </w:r>
      <w:r w:rsidRPr="006E39C1">
        <w:rPr>
          <w:bCs/>
          <w:szCs w:val="28"/>
          <w:lang w:val="en-GB"/>
        </w:rPr>
        <w:tab/>
      </w:r>
      <w:r>
        <w:rPr>
          <w:bCs/>
          <w:szCs w:val="28"/>
          <w:lang w:val="en-GB"/>
        </w:rPr>
        <w:t>Plaintiff</w:t>
      </w:r>
    </w:p>
    <w:p w:rsidR="00D0454A" w:rsidRPr="00265723" w:rsidRDefault="00D0454A" w:rsidP="00D0454A">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3A2400" w:rsidRDefault="00052E23" w:rsidP="003A2400">
      <w:pPr>
        <w:tabs>
          <w:tab w:val="clear" w:pos="1440"/>
          <w:tab w:val="clear" w:pos="4320"/>
          <w:tab w:val="clear" w:pos="9072"/>
          <w:tab w:val="center" w:pos="4140"/>
          <w:tab w:val="right" w:pos="8280"/>
        </w:tabs>
        <w:snapToGrid/>
        <w:rPr>
          <w:rFonts w:eastAsia="PMingLiU"/>
          <w:bCs/>
          <w:szCs w:val="28"/>
          <w:lang w:eastAsia="zh-TW"/>
        </w:rPr>
      </w:pPr>
      <w:r>
        <w:rPr>
          <w:bCs/>
          <w:szCs w:val="28"/>
        </w:rPr>
        <w:tab/>
      </w:r>
      <w:r w:rsidR="003A2400">
        <w:rPr>
          <w:rFonts w:eastAsia="PMingLiU" w:hint="eastAsia"/>
          <w:bCs/>
          <w:szCs w:val="28"/>
          <w:lang w:eastAsia="zh-TW"/>
        </w:rPr>
        <w:t>SANWO INTERNATIONAL</w:t>
      </w:r>
    </w:p>
    <w:p w:rsidR="00D0454A" w:rsidRDefault="003A2400" w:rsidP="003A2400">
      <w:pPr>
        <w:tabs>
          <w:tab w:val="clear" w:pos="1440"/>
          <w:tab w:val="clear" w:pos="4320"/>
          <w:tab w:val="clear" w:pos="9072"/>
          <w:tab w:val="center" w:pos="4140"/>
          <w:tab w:val="right" w:pos="8280"/>
        </w:tabs>
        <w:snapToGrid/>
        <w:spacing w:line="360" w:lineRule="auto"/>
        <w:rPr>
          <w:bCs/>
          <w:szCs w:val="28"/>
          <w:lang w:val="en-GB"/>
        </w:rPr>
      </w:pPr>
      <w:r>
        <w:rPr>
          <w:rFonts w:eastAsia="PMingLiU" w:hint="eastAsia"/>
          <w:bCs/>
          <w:szCs w:val="28"/>
          <w:lang w:eastAsia="zh-TW"/>
        </w:rPr>
        <w:tab/>
        <w:t>COMPANY LIMITED</w:t>
      </w:r>
      <w:r w:rsidR="00D0454A" w:rsidRPr="006E39C1">
        <w:rPr>
          <w:bCs/>
          <w:szCs w:val="28"/>
          <w:lang w:val="en-GB"/>
        </w:rPr>
        <w:tab/>
      </w:r>
      <w:r w:rsidR="00D0454A">
        <w:rPr>
          <w:bCs/>
          <w:szCs w:val="28"/>
          <w:lang w:val="en-GB"/>
        </w:rPr>
        <w:t>Defendant</w:t>
      </w:r>
    </w:p>
    <w:p w:rsidR="00D0454A" w:rsidRPr="00A64F2D" w:rsidRDefault="00D0454A" w:rsidP="003D3185">
      <w:pPr>
        <w:tabs>
          <w:tab w:val="clear" w:pos="1440"/>
          <w:tab w:val="clear" w:pos="4320"/>
          <w:tab w:val="clear" w:pos="9072"/>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3A2400" w:rsidRDefault="003A2400" w:rsidP="003A2400">
      <w:pPr>
        <w:pStyle w:val="normal3"/>
        <w:tabs>
          <w:tab w:val="clear" w:pos="4320"/>
          <w:tab w:val="clear" w:pos="4500"/>
          <w:tab w:val="clear" w:pos="9000"/>
          <w:tab w:val="clear" w:pos="9072"/>
        </w:tabs>
        <w:overflowPunct/>
        <w:autoSpaceDE/>
        <w:autoSpaceDN/>
        <w:adjustRightInd w:val="0"/>
        <w:ind w:right="-720"/>
        <w:jc w:val="both"/>
        <w:rPr>
          <w:rFonts w:eastAsia="宋体"/>
          <w:lang w:val="en-US" w:eastAsia="zh-TW"/>
        </w:rPr>
      </w:pPr>
    </w:p>
    <w:p w:rsidR="003A2400" w:rsidRPr="008A1C7A" w:rsidRDefault="003A2400" w:rsidP="003A2400">
      <w:pPr>
        <w:pStyle w:val="Heading5"/>
        <w:tabs>
          <w:tab w:val="left" w:pos="1440"/>
        </w:tabs>
        <w:spacing w:line="360" w:lineRule="auto"/>
        <w:ind w:right="-720"/>
        <w:jc w:val="both"/>
        <w:rPr>
          <w:rFonts w:ascii="Times New Roman" w:hAnsi="Times New Roman"/>
          <w:b w:val="0"/>
          <w:sz w:val="28"/>
          <w:szCs w:val="28"/>
        </w:rPr>
      </w:pPr>
      <w:r w:rsidRPr="008A1C7A">
        <w:rPr>
          <w:rFonts w:ascii="Times New Roman" w:hAnsi="Times New Roman"/>
          <w:b w:val="0"/>
          <w:sz w:val="28"/>
          <w:szCs w:val="28"/>
        </w:rPr>
        <w:t xml:space="preserve">Before:  His Honour Judge Andrew </w:t>
      </w:r>
      <w:r w:rsidRPr="00F03785">
        <w:rPr>
          <w:rFonts w:ascii="Times New Roman" w:hAnsi="Times New Roman"/>
          <w:b w:val="0"/>
          <w:sz w:val="28"/>
          <w:szCs w:val="28"/>
        </w:rPr>
        <w:t xml:space="preserve">Li in </w:t>
      </w:r>
      <w:r>
        <w:rPr>
          <w:rFonts w:ascii="Times New Roman" w:eastAsia="PMingLiU" w:hAnsi="Times New Roman"/>
          <w:b w:val="0"/>
          <w:sz w:val="28"/>
          <w:szCs w:val="28"/>
          <w:lang w:eastAsia="zh-TW"/>
        </w:rPr>
        <w:t>Chambers</w:t>
      </w:r>
      <w:r w:rsidRPr="00F03785">
        <w:rPr>
          <w:rFonts w:ascii="Times New Roman" w:hAnsi="Times New Roman"/>
          <w:b w:val="0"/>
          <w:sz w:val="28"/>
          <w:szCs w:val="28"/>
        </w:rPr>
        <w:t xml:space="preserve"> (Open to public)</w:t>
      </w:r>
    </w:p>
    <w:p w:rsidR="003A2400" w:rsidRPr="008A1C7A" w:rsidRDefault="003A2400" w:rsidP="003A2400">
      <w:pPr>
        <w:spacing w:line="360" w:lineRule="auto"/>
        <w:ind w:right="-720"/>
        <w:rPr>
          <w:bCs/>
          <w:szCs w:val="28"/>
          <w:lang w:val="en-GB"/>
        </w:rPr>
      </w:pPr>
      <w:r>
        <w:rPr>
          <w:bCs/>
          <w:szCs w:val="28"/>
          <w:lang w:val="en-GB"/>
        </w:rPr>
        <w:t xml:space="preserve">Date of Hearing:  </w:t>
      </w:r>
      <w:r>
        <w:rPr>
          <w:rFonts w:eastAsia="PMingLiU"/>
          <w:bCs/>
          <w:szCs w:val="28"/>
          <w:lang w:val="en-GB" w:eastAsia="zh-TW"/>
        </w:rPr>
        <w:t>27 July 2021</w:t>
      </w:r>
    </w:p>
    <w:p w:rsidR="008A1C7A" w:rsidRPr="008A1C7A" w:rsidRDefault="00435CF0" w:rsidP="007B1D44">
      <w:pPr>
        <w:spacing w:line="360" w:lineRule="auto"/>
        <w:ind w:right="-720"/>
        <w:rPr>
          <w:bCs/>
          <w:szCs w:val="28"/>
          <w:lang w:val="en-GB"/>
        </w:rPr>
      </w:pPr>
      <w:r>
        <w:rPr>
          <w:bCs/>
          <w:szCs w:val="28"/>
          <w:lang w:val="en-GB"/>
        </w:rPr>
        <w:t>Date of Decision</w:t>
      </w:r>
      <w:r w:rsidRPr="003A2400">
        <w:rPr>
          <w:bCs/>
          <w:szCs w:val="28"/>
          <w:lang w:val="en-GB"/>
        </w:rPr>
        <w:t xml:space="preserve">: </w:t>
      </w:r>
      <w:r w:rsidR="000E2A0E">
        <w:rPr>
          <w:bCs/>
          <w:szCs w:val="28"/>
          <w:lang w:val="en-GB"/>
        </w:rPr>
        <w:t xml:space="preserve">11 </w:t>
      </w:r>
      <w:r w:rsidR="00EC5C4E">
        <w:rPr>
          <w:bCs/>
          <w:szCs w:val="28"/>
          <w:lang w:val="en-GB"/>
        </w:rPr>
        <w:t>August 2021</w:t>
      </w:r>
    </w:p>
    <w:p w:rsidR="00657E0F" w:rsidRPr="00604CFB" w:rsidRDefault="00657E0F" w:rsidP="007B1D44">
      <w:pPr>
        <w:tabs>
          <w:tab w:val="clear" w:pos="4320"/>
          <w:tab w:val="clear" w:pos="9072"/>
        </w:tabs>
        <w:adjustRightInd w:val="0"/>
        <w:spacing w:line="360" w:lineRule="auto"/>
        <w:ind w:right="-720"/>
        <w:rPr>
          <w:szCs w:val="28"/>
          <w:lang w:val="en-GB"/>
        </w:rPr>
      </w:pPr>
    </w:p>
    <w:p w:rsidR="00657E0F" w:rsidRPr="00A10BC0" w:rsidRDefault="00657E0F" w:rsidP="003D3185">
      <w:pPr>
        <w:tabs>
          <w:tab w:val="clear" w:pos="1440"/>
          <w:tab w:val="clear" w:pos="4320"/>
          <w:tab w:val="clear" w:pos="9072"/>
        </w:tabs>
        <w:adjustRightInd w:val="0"/>
        <w:spacing w:line="360" w:lineRule="auto"/>
        <w:ind w:right="26"/>
        <w:jc w:val="center"/>
        <w:rPr>
          <w:szCs w:val="28"/>
        </w:rPr>
      </w:pPr>
      <w:r w:rsidRPr="00A10BC0">
        <w:rPr>
          <w:rFonts w:hint="eastAsia"/>
          <w:szCs w:val="28"/>
        </w:rPr>
        <w:t>----</w:t>
      </w:r>
      <w:r w:rsidR="0073482B" w:rsidRPr="00A10BC0">
        <w:rPr>
          <w:rFonts w:hint="eastAsia"/>
          <w:szCs w:val="28"/>
        </w:rPr>
        <w:t>---</w:t>
      </w:r>
      <w:r w:rsidRPr="00A10BC0">
        <w:rPr>
          <w:rFonts w:hint="eastAsia"/>
          <w:szCs w:val="28"/>
        </w:rPr>
        <w:t>------</w:t>
      </w:r>
      <w:r w:rsidR="008A1C7A">
        <w:rPr>
          <w:szCs w:val="28"/>
        </w:rPr>
        <w:t>----------------</w:t>
      </w:r>
    </w:p>
    <w:p w:rsidR="00657E0F" w:rsidRPr="003D3185" w:rsidRDefault="00B9096E" w:rsidP="003D3185">
      <w:pPr>
        <w:tabs>
          <w:tab w:val="clear" w:pos="1440"/>
          <w:tab w:val="clear" w:pos="4320"/>
          <w:tab w:val="clear" w:pos="9072"/>
        </w:tabs>
        <w:adjustRightInd w:val="0"/>
        <w:spacing w:line="360" w:lineRule="auto"/>
        <w:ind w:right="26"/>
        <w:jc w:val="center"/>
        <w:rPr>
          <w:szCs w:val="28"/>
        </w:rPr>
      </w:pPr>
      <w:r>
        <w:rPr>
          <w:rFonts w:hint="eastAsia"/>
          <w:szCs w:val="28"/>
        </w:rPr>
        <w:t>DECISION</w:t>
      </w:r>
    </w:p>
    <w:p w:rsidR="00657E0F" w:rsidRPr="00A10BC0" w:rsidRDefault="003D3185" w:rsidP="003D3185">
      <w:pPr>
        <w:tabs>
          <w:tab w:val="clear" w:pos="1440"/>
          <w:tab w:val="clear" w:pos="4320"/>
          <w:tab w:val="clear" w:pos="9072"/>
        </w:tabs>
        <w:adjustRightInd w:val="0"/>
        <w:spacing w:line="360" w:lineRule="auto"/>
        <w:ind w:right="26"/>
        <w:jc w:val="center"/>
        <w:rPr>
          <w:szCs w:val="28"/>
        </w:rPr>
      </w:pPr>
      <w:r w:rsidRPr="00A10BC0">
        <w:rPr>
          <w:rFonts w:hint="eastAsia"/>
          <w:szCs w:val="28"/>
        </w:rPr>
        <w:t>-------------</w:t>
      </w:r>
      <w:r>
        <w:rPr>
          <w:szCs w:val="28"/>
        </w:rPr>
        <w:t>----------------</w:t>
      </w:r>
    </w:p>
    <w:p w:rsidR="00657E0F" w:rsidRDefault="00657E0F" w:rsidP="00BE71B1">
      <w:pPr>
        <w:tabs>
          <w:tab w:val="clear" w:pos="4320"/>
          <w:tab w:val="clear" w:pos="9072"/>
        </w:tabs>
        <w:spacing w:line="360" w:lineRule="auto"/>
        <w:ind w:right="-720"/>
        <w:jc w:val="both"/>
        <w:rPr>
          <w:szCs w:val="28"/>
        </w:rPr>
      </w:pPr>
    </w:p>
    <w:p w:rsidR="00B666CB" w:rsidRPr="00B666CB" w:rsidRDefault="00AF738D" w:rsidP="00BE71B1">
      <w:pPr>
        <w:tabs>
          <w:tab w:val="clear" w:pos="4320"/>
          <w:tab w:val="clear" w:pos="9072"/>
        </w:tabs>
        <w:spacing w:line="360" w:lineRule="auto"/>
        <w:ind w:right="-720"/>
        <w:jc w:val="both"/>
        <w:rPr>
          <w:bCs/>
          <w:i/>
          <w:szCs w:val="28"/>
        </w:rPr>
      </w:pPr>
      <w:r>
        <w:rPr>
          <w:bCs/>
          <w:i/>
          <w:szCs w:val="28"/>
        </w:rPr>
        <w:t>INTRODUCTION</w:t>
      </w:r>
    </w:p>
    <w:p w:rsidR="00150644" w:rsidRDefault="00150644" w:rsidP="00BE71B1">
      <w:pPr>
        <w:tabs>
          <w:tab w:val="clear" w:pos="4320"/>
          <w:tab w:val="clear" w:pos="9072"/>
        </w:tabs>
        <w:spacing w:line="360" w:lineRule="auto"/>
        <w:ind w:right="-720"/>
        <w:jc w:val="both"/>
        <w:rPr>
          <w:bCs/>
          <w:szCs w:val="28"/>
        </w:rPr>
      </w:pPr>
    </w:p>
    <w:p w:rsidR="00EC5C4E" w:rsidRDefault="00FB605C" w:rsidP="001D48BB">
      <w:pPr>
        <w:pStyle w:val="ListParagraph"/>
        <w:numPr>
          <w:ilvl w:val="0"/>
          <w:numId w:val="17"/>
        </w:numPr>
        <w:spacing w:line="360" w:lineRule="auto"/>
        <w:ind w:left="0" w:firstLine="0"/>
        <w:jc w:val="both"/>
      </w:pPr>
      <w:r>
        <w:t>This is a</w:t>
      </w:r>
      <w:r w:rsidR="00941FEB">
        <w:t>n application of</w:t>
      </w:r>
      <w:r w:rsidR="00EC5C4E">
        <w:t xml:space="preserve"> the plaintiff by way of </w:t>
      </w:r>
      <w:r w:rsidR="00B436E1">
        <w:t>s</w:t>
      </w:r>
      <w:r w:rsidR="00DE465A">
        <w:t xml:space="preserve">ummons to vary the costs order </w:t>
      </w:r>
      <w:r w:rsidR="00DE465A" w:rsidRPr="00DE465A">
        <w:rPr>
          <w:i/>
        </w:rPr>
        <w:t>nisi</w:t>
      </w:r>
      <w:r w:rsidR="00DE465A">
        <w:t xml:space="preserve"> made by me </w:t>
      </w:r>
      <w:r w:rsidR="00B436E1">
        <w:t>in</w:t>
      </w:r>
      <w:r w:rsidR="00DE465A">
        <w:t xml:space="preserve"> the </w:t>
      </w:r>
      <w:r w:rsidR="00B436E1">
        <w:t>a</w:t>
      </w:r>
      <w:r w:rsidR="003D3185">
        <w:t xml:space="preserve">ssessment of </w:t>
      </w:r>
      <w:r w:rsidR="00B436E1">
        <w:t>d</w:t>
      </w:r>
      <w:r w:rsidR="003D3185">
        <w:t xml:space="preserve">amages </w:t>
      </w:r>
      <w:r w:rsidR="00B436E1">
        <w:t>on 26 February 2021 (“the Judgment”)</w:t>
      </w:r>
      <w:r w:rsidR="00DE465A">
        <w:t>.  The plaintiff now ask</w:t>
      </w:r>
      <w:r w:rsidR="000354EE">
        <w:t>s</w:t>
      </w:r>
      <w:r w:rsidR="00DE465A">
        <w:t xml:space="preserve"> for enhanced interest and costs </w:t>
      </w:r>
      <w:r w:rsidR="00284E0B">
        <w:t>o</w:t>
      </w:r>
      <w:r w:rsidR="00DE465A">
        <w:t xml:space="preserve">n </w:t>
      </w:r>
      <w:r w:rsidR="00B436E1">
        <w:t xml:space="preserve">an </w:t>
      </w:r>
      <w:r w:rsidR="00DE465A">
        <w:t xml:space="preserve">indemnity </w:t>
      </w:r>
      <w:r w:rsidR="00284E0B">
        <w:t>basis</w:t>
      </w:r>
      <w:r w:rsidR="004A6292">
        <w:t>,</w:t>
      </w:r>
      <w:r w:rsidR="00284E0B">
        <w:t xml:space="preserve"> </w:t>
      </w:r>
      <w:r w:rsidR="000354EE">
        <w:t xml:space="preserve">based </w:t>
      </w:r>
      <w:r w:rsidR="00284E0B">
        <w:t xml:space="preserve">on a </w:t>
      </w:r>
      <w:r w:rsidR="00B436E1">
        <w:t>s</w:t>
      </w:r>
      <w:r w:rsidR="00873EF5">
        <w:t xml:space="preserve">anctioned </w:t>
      </w:r>
      <w:r w:rsidR="00B436E1">
        <w:t>o</w:t>
      </w:r>
      <w:r w:rsidR="00873EF5">
        <w:t>ffer</w:t>
      </w:r>
      <w:r w:rsidR="00284E0B">
        <w:t xml:space="preserve"> made </w:t>
      </w:r>
      <w:r w:rsidR="00284E0B">
        <w:lastRenderedPageBreak/>
        <w:t xml:space="preserve">by </w:t>
      </w:r>
      <w:r w:rsidR="00B436E1">
        <w:t>her</w:t>
      </w:r>
      <w:r w:rsidR="004A6292">
        <w:t xml:space="preserve"> on 5 May 2020. T</w:t>
      </w:r>
      <w:r w:rsidR="00284E0B">
        <w:t xml:space="preserve">he last day of which the defendant could have accepted the </w:t>
      </w:r>
      <w:r w:rsidR="00941FEB">
        <w:t>s</w:t>
      </w:r>
      <w:r w:rsidR="00873EF5">
        <w:t xml:space="preserve">anctioned </w:t>
      </w:r>
      <w:r w:rsidR="00941FEB">
        <w:t>o</w:t>
      </w:r>
      <w:r w:rsidR="00873EF5">
        <w:t>ffer</w:t>
      </w:r>
      <w:r w:rsidR="00284E0B">
        <w:t xml:space="preserve"> wit</w:t>
      </w:r>
      <w:r w:rsidR="00927EF7">
        <w:t>hout leave was on 2 June 2020.</w:t>
      </w:r>
    </w:p>
    <w:p w:rsidR="00284E0B" w:rsidRDefault="00284E0B" w:rsidP="00284E0B">
      <w:pPr>
        <w:spacing w:line="360" w:lineRule="auto"/>
        <w:jc w:val="both"/>
      </w:pPr>
    </w:p>
    <w:p w:rsidR="00284E0B" w:rsidRPr="00284E0B" w:rsidRDefault="00927EF7" w:rsidP="00284E0B">
      <w:pPr>
        <w:spacing w:line="360" w:lineRule="auto"/>
        <w:jc w:val="both"/>
        <w:rPr>
          <w:i/>
        </w:rPr>
      </w:pPr>
      <w:r w:rsidRPr="00284E0B">
        <w:rPr>
          <w:i/>
        </w:rPr>
        <w:t>BACKGROUND</w:t>
      </w:r>
    </w:p>
    <w:p w:rsidR="00284E0B" w:rsidRDefault="00284E0B" w:rsidP="00284E0B">
      <w:pPr>
        <w:spacing w:line="360" w:lineRule="auto"/>
        <w:jc w:val="both"/>
      </w:pPr>
    </w:p>
    <w:p w:rsidR="00DE465A" w:rsidRDefault="00284E0B" w:rsidP="001D48BB">
      <w:pPr>
        <w:pStyle w:val="ListParagraph"/>
        <w:numPr>
          <w:ilvl w:val="0"/>
          <w:numId w:val="17"/>
        </w:numPr>
        <w:spacing w:line="360" w:lineRule="auto"/>
        <w:ind w:left="0" w:firstLine="0"/>
        <w:jc w:val="both"/>
      </w:pPr>
      <w:r>
        <w:t xml:space="preserve">In brief, the plaintiff sustained a work-related accident on 31 January 2016.  The </w:t>
      </w:r>
      <w:r w:rsidR="00B436E1">
        <w:t>w</w:t>
      </w:r>
      <w:r>
        <w:t xml:space="preserve">rit was issued by </w:t>
      </w:r>
      <w:r w:rsidR="00941FEB">
        <w:t>the plaintiff</w:t>
      </w:r>
      <w:r w:rsidR="003307DF">
        <w:t xml:space="preserve"> on 14 Au</w:t>
      </w:r>
      <w:r w:rsidR="00941FEB">
        <w:t>gust 2018.  On 14 September 2018</w:t>
      </w:r>
      <w:r w:rsidR="003307DF">
        <w:t xml:space="preserve">, interlocutory judgment </w:t>
      </w:r>
      <w:r w:rsidR="00B436E1">
        <w:t>was</w:t>
      </w:r>
      <w:r w:rsidR="003307DF">
        <w:t xml:space="preserve"> entered against the defendant with damages to be assessed.</w:t>
      </w:r>
    </w:p>
    <w:p w:rsidR="00BC3265" w:rsidRDefault="00BC3265" w:rsidP="00BC3265">
      <w:pPr>
        <w:pStyle w:val="ListParagraph"/>
        <w:spacing w:line="360" w:lineRule="auto"/>
        <w:ind w:left="0"/>
        <w:jc w:val="both"/>
      </w:pPr>
    </w:p>
    <w:p w:rsidR="003307DF" w:rsidRDefault="003307DF" w:rsidP="001D48BB">
      <w:pPr>
        <w:pStyle w:val="ListParagraph"/>
        <w:numPr>
          <w:ilvl w:val="0"/>
          <w:numId w:val="17"/>
        </w:numPr>
        <w:spacing w:line="360" w:lineRule="auto"/>
        <w:ind w:left="0" w:firstLine="0"/>
        <w:jc w:val="both"/>
      </w:pPr>
      <w:r>
        <w:t>The assessment of damages took place on 9</w:t>
      </w:r>
      <w:r w:rsidR="009A16E9">
        <w:t xml:space="preserve"> </w:t>
      </w:r>
      <w:r w:rsidR="00306D7B">
        <w:t xml:space="preserve">and </w:t>
      </w:r>
      <w:r>
        <w:t>10 November 2020</w:t>
      </w:r>
      <w:r w:rsidR="009A16E9">
        <w:t xml:space="preserve"> before me</w:t>
      </w:r>
      <w:r>
        <w:t xml:space="preserve">.  On 26 February 2021, I handed down the </w:t>
      </w:r>
      <w:r w:rsidR="00927EF7">
        <w:t>J</w:t>
      </w:r>
      <w:r>
        <w:t xml:space="preserve">udgment in </w:t>
      </w:r>
      <w:proofErr w:type="spellStart"/>
      <w:r w:rsidR="00B436E1">
        <w:t>favour</w:t>
      </w:r>
      <w:proofErr w:type="spellEnd"/>
      <w:r w:rsidR="00B436E1">
        <w:t xml:space="preserve"> of the plaintiff in the</w:t>
      </w:r>
      <w:r>
        <w:t xml:space="preserve"> sum of HK$991</w:t>
      </w:r>
      <w:r w:rsidR="00927EF7">
        <w:t>,</w:t>
      </w:r>
      <w:r>
        <w:t>160 (</w:t>
      </w:r>
      <w:r w:rsidR="00B436E1">
        <w:t>net</w:t>
      </w:r>
      <w:r>
        <w:t xml:space="preserve"> of EC payment) plus interest</w:t>
      </w:r>
      <w:r w:rsidR="000061A4">
        <w:t>.</w:t>
      </w:r>
    </w:p>
    <w:p w:rsidR="00BC3265" w:rsidRDefault="00BC3265" w:rsidP="00BC3265">
      <w:pPr>
        <w:pStyle w:val="ListParagraph"/>
        <w:spacing w:line="360" w:lineRule="auto"/>
        <w:ind w:left="0"/>
        <w:jc w:val="both"/>
      </w:pPr>
    </w:p>
    <w:p w:rsidR="000061A4" w:rsidRDefault="000061A4" w:rsidP="001D48BB">
      <w:pPr>
        <w:pStyle w:val="ListParagraph"/>
        <w:numPr>
          <w:ilvl w:val="0"/>
          <w:numId w:val="17"/>
        </w:numPr>
        <w:spacing w:line="360" w:lineRule="auto"/>
        <w:ind w:left="0" w:firstLine="0"/>
        <w:jc w:val="both"/>
      </w:pPr>
      <w:r>
        <w:t xml:space="preserve">As </w:t>
      </w:r>
      <w:r w:rsidR="00B436E1">
        <w:t xml:space="preserve">to be </w:t>
      </w:r>
      <w:r>
        <w:t xml:space="preserve">expected in any personal injury (“PI”) action, prior to the assessment of damages hearing, the parties had </w:t>
      </w:r>
      <w:r w:rsidR="00B436E1">
        <w:t xml:space="preserve">been </w:t>
      </w:r>
      <w:r>
        <w:t xml:space="preserve">engaged in </w:t>
      </w:r>
      <w:r w:rsidR="00B436E1">
        <w:t xml:space="preserve">active </w:t>
      </w:r>
      <w:r>
        <w:t>settlement negotiation</w:t>
      </w:r>
      <w:r w:rsidR="00B436E1">
        <w:t>s</w:t>
      </w:r>
      <w:r>
        <w:t xml:space="preserve"> with exchange</w:t>
      </w:r>
      <w:r w:rsidR="00B52267">
        <w:t>s</w:t>
      </w:r>
      <w:r>
        <w:t xml:space="preserve"> </w:t>
      </w:r>
      <w:r w:rsidR="00B52267">
        <w:t xml:space="preserve">of </w:t>
      </w:r>
      <w:r w:rsidR="00BA6221">
        <w:t>offer</w:t>
      </w:r>
      <w:r w:rsidR="00306D7B">
        <w:t>s</w:t>
      </w:r>
      <w:r w:rsidR="001803E6">
        <w:t xml:space="preserve"> and</w:t>
      </w:r>
      <w:r w:rsidR="00B52267">
        <w:t xml:space="preserve"> </w:t>
      </w:r>
      <w:r w:rsidR="00BA6221">
        <w:t>counter</w:t>
      </w:r>
      <w:r w:rsidR="00941FEB">
        <w:t>-</w:t>
      </w:r>
      <w:r>
        <w:t>offers</w:t>
      </w:r>
      <w:r w:rsidR="00B52267">
        <w:t xml:space="preserve">.  Unsurprisingly, </w:t>
      </w:r>
      <w:r w:rsidR="00B436E1">
        <w:t>s</w:t>
      </w:r>
      <w:r w:rsidR="00873EF5">
        <w:t xml:space="preserve">anctioned </w:t>
      </w:r>
      <w:r w:rsidR="00B436E1">
        <w:t>o</w:t>
      </w:r>
      <w:r w:rsidR="00873EF5">
        <w:t>ffer</w:t>
      </w:r>
      <w:r w:rsidR="00B436E1">
        <w:t>s</w:t>
      </w:r>
      <w:r w:rsidR="00306D7B">
        <w:t xml:space="preserve"> and </w:t>
      </w:r>
      <w:r w:rsidR="00B436E1">
        <w:t>s</w:t>
      </w:r>
      <w:r w:rsidR="00927EF7">
        <w:t xml:space="preserve">anctioned </w:t>
      </w:r>
      <w:r w:rsidR="00B436E1">
        <w:t>p</w:t>
      </w:r>
      <w:r w:rsidR="00927EF7">
        <w:t>ayment</w:t>
      </w:r>
      <w:r w:rsidR="00B436E1">
        <w:t>s</w:t>
      </w:r>
      <w:r w:rsidR="00927EF7">
        <w:t xml:space="preserve"> </w:t>
      </w:r>
      <w:r w:rsidR="000E2A0E">
        <w:t>were</w:t>
      </w:r>
      <w:r w:rsidR="00B436E1">
        <w:t xml:space="preserve"> made</w:t>
      </w:r>
      <w:r w:rsidR="00B52267">
        <w:t xml:space="preserve"> by the parties during the </w:t>
      </w:r>
      <w:r w:rsidR="00B436E1">
        <w:t xml:space="preserve">process of </w:t>
      </w:r>
      <w:r w:rsidR="00B52267">
        <w:t>neg</w:t>
      </w:r>
      <w:r w:rsidR="00306D7B">
        <w:t xml:space="preserve">otiations.  Obviously, the </w:t>
      </w:r>
      <w:r w:rsidR="00927EF7">
        <w:t>Court</w:t>
      </w:r>
      <w:r w:rsidR="00B52267">
        <w:t xml:space="preserve"> was not aware of </w:t>
      </w:r>
      <w:r w:rsidR="001803E6">
        <w:t>such</w:t>
      </w:r>
      <w:r w:rsidR="00B52267">
        <w:t xml:space="preserve"> negotiation</w:t>
      </w:r>
      <w:r w:rsidR="00B436E1">
        <w:t>s taking place</w:t>
      </w:r>
      <w:r w:rsidR="001803E6">
        <w:t xml:space="preserve"> </w:t>
      </w:r>
      <w:r w:rsidR="00941FEB">
        <w:t xml:space="preserve">behind the scene </w:t>
      </w:r>
      <w:r w:rsidR="00B436E1">
        <w:t xml:space="preserve">as </w:t>
      </w:r>
      <w:r w:rsidR="001803E6">
        <w:t>should be the case.</w:t>
      </w:r>
    </w:p>
    <w:p w:rsidR="00BC3265" w:rsidRDefault="00BC3265" w:rsidP="00BC3265">
      <w:pPr>
        <w:pStyle w:val="ListParagraph"/>
        <w:spacing w:line="360" w:lineRule="auto"/>
        <w:ind w:left="0"/>
        <w:jc w:val="both"/>
      </w:pPr>
    </w:p>
    <w:p w:rsidR="001803E6" w:rsidRDefault="001803E6" w:rsidP="00E72930">
      <w:pPr>
        <w:pStyle w:val="ListParagraph"/>
        <w:numPr>
          <w:ilvl w:val="0"/>
          <w:numId w:val="17"/>
        </w:numPr>
        <w:spacing w:line="360" w:lineRule="auto"/>
        <w:ind w:left="0" w:firstLine="0"/>
        <w:jc w:val="both"/>
      </w:pPr>
      <w:r>
        <w:t xml:space="preserve">The following table </w:t>
      </w:r>
      <w:r w:rsidR="00A91919">
        <w:t>give</w:t>
      </w:r>
      <w:r w:rsidR="00941FEB">
        <w:t>s</w:t>
      </w:r>
      <w:r w:rsidR="009D2D82">
        <w:t xml:space="preserve"> a brief </w:t>
      </w:r>
      <w:r>
        <w:t>summar</w:t>
      </w:r>
      <w:r w:rsidR="00B436E1">
        <w:t>y</w:t>
      </w:r>
      <w:r>
        <w:t xml:space="preserve"> </w:t>
      </w:r>
      <w:r w:rsidR="009D2D82">
        <w:t>of the</w:t>
      </w:r>
      <w:r>
        <w:t xml:space="preserve"> </w:t>
      </w:r>
      <w:r w:rsidR="00B436E1">
        <w:t xml:space="preserve">without prejudice/sanctioned </w:t>
      </w:r>
      <w:r>
        <w:t>offers</w:t>
      </w:r>
      <w:r w:rsidR="00B436E1">
        <w:t>/</w:t>
      </w:r>
      <w:r w:rsidR="00941FEB">
        <w:t xml:space="preserve">sanctioned </w:t>
      </w:r>
      <w:r w:rsidR="00B436E1">
        <w:t>payments</w:t>
      </w:r>
      <w:r w:rsidR="00941FEB">
        <w:t xml:space="preserve"> made</w:t>
      </w:r>
      <w:r>
        <w:t xml:space="preserve"> by the parties </w:t>
      </w:r>
      <w:r w:rsidR="009D2D82">
        <w:t>prior to the assessment of damages</w:t>
      </w:r>
      <w:r w:rsidR="00B436E1">
        <w:t xml:space="preserve"> </w:t>
      </w:r>
      <w:r w:rsidR="00941FEB">
        <w:t xml:space="preserve">which </w:t>
      </w:r>
      <w:r w:rsidR="00B436E1">
        <w:t xml:space="preserve">was prepared by the plaintiff’s </w:t>
      </w:r>
      <w:proofErr w:type="gramStart"/>
      <w:r w:rsidR="00B436E1">
        <w:t>counsel</w:t>
      </w:r>
      <w:r w:rsidR="009D2D82">
        <w:t>:-</w:t>
      </w:r>
      <w:proofErr w:type="gramEnd"/>
    </w:p>
    <w:p w:rsidR="003307DF" w:rsidRDefault="003307DF" w:rsidP="00E72930">
      <w:pPr>
        <w:pStyle w:val="ListParagraph"/>
        <w:spacing w:line="360" w:lineRule="auto"/>
        <w:ind w:left="0"/>
        <w:jc w:val="both"/>
      </w:pPr>
    </w:p>
    <w:tbl>
      <w:tblPr>
        <w:tblStyle w:val="TableGrid"/>
        <w:tblW w:w="0" w:type="auto"/>
        <w:tblLook w:val="04A0" w:firstRow="1" w:lastRow="0" w:firstColumn="1" w:lastColumn="0" w:noHBand="0" w:noVBand="1"/>
      </w:tblPr>
      <w:tblGrid>
        <w:gridCol w:w="2425"/>
        <w:gridCol w:w="5871"/>
      </w:tblGrid>
      <w:tr w:rsidR="009D2D82" w:rsidTr="00941FEB">
        <w:tc>
          <w:tcPr>
            <w:tcW w:w="2425" w:type="dxa"/>
          </w:tcPr>
          <w:p w:rsidR="009D2D82" w:rsidRDefault="00941FEB" w:rsidP="00941FEB">
            <w:pPr>
              <w:spacing w:line="360" w:lineRule="auto"/>
              <w:jc w:val="both"/>
            </w:pPr>
            <w:r>
              <w:lastRenderedPageBreak/>
              <w:t xml:space="preserve">12 December </w:t>
            </w:r>
            <w:r w:rsidR="009D2D82">
              <w:t>2016</w:t>
            </w:r>
          </w:p>
        </w:tc>
        <w:tc>
          <w:tcPr>
            <w:tcW w:w="5871" w:type="dxa"/>
          </w:tcPr>
          <w:p w:rsidR="00E72930" w:rsidRDefault="00941FEB" w:rsidP="00941FEB">
            <w:pPr>
              <w:spacing w:line="360" w:lineRule="auto"/>
              <w:jc w:val="both"/>
            </w:pPr>
            <w:r>
              <w:t>The defendant</w:t>
            </w:r>
            <w:r w:rsidR="009D2D82">
              <w:t>’s loss adjustors made a global settlement of</w:t>
            </w:r>
            <w:r>
              <w:t>fer of HK$360,000 (inclusive of employees’ compensation’s (“EC”) payment</w:t>
            </w:r>
            <w:r w:rsidR="009D2D82">
              <w:t>)</w:t>
            </w:r>
          </w:p>
        </w:tc>
      </w:tr>
      <w:tr w:rsidR="009D2D82" w:rsidTr="00941FEB">
        <w:tc>
          <w:tcPr>
            <w:tcW w:w="2425" w:type="dxa"/>
          </w:tcPr>
          <w:p w:rsidR="009D2D82" w:rsidRDefault="00941FEB" w:rsidP="00941FEB">
            <w:pPr>
              <w:spacing w:line="360" w:lineRule="auto"/>
              <w:jc w:val="both"/>
            </w:pPr>
            <w:r>
              <w:t xml:space="preserve">5 January </w:t>
            </w:r>
            <w:r w:rsidR="009D2D82">
              <w:t>2017</w:t>
            </w:r>
          </w:p>
        </w:tc>
        <w:tc>
          <w:tcPr>
            <w:tcW w:w="5871" w:type="dxa"/>
          </w:tcPr>
          <w:p w:rsidR="00E72930" w:rsidRDefault="00941FEB" w:rsidP="00E72930">
            <w:pPr>
              <w:spacing w:line="360" w:lineRule="auto"/>
              <w:jc w:val="both"/>
            </w:pPr>
            <w:r>
              <w:t>The defendant’s</w:t>
            </w:r>
            <w:r w:rsidR="009D2D82">
              <w:t xml:space="preserve"> loss adjustors increased the global offer to </w:t>
            </w:r>
            <w:r>
              <w:t>HK</w:t>
            </w:r>
            <w:r w:rsidR="009D2D82">
              <w:t>$420,000 (inclusive of EC</w:t>
            </w:r>
            <w:r>
              <w:t xml:space="preserve"> payment</w:t>
            </w:r>
            <w:r w:rsidR="009D2D82">
              <w:t>)</w:t>
            </w:r>
          </w:p>
        </w:tc>
      </w:tr>
      <w:tr w:rsidR="009D2D82" w:rsidTr="00941FEB">
        <w:tc>
          <w:tcPr>
            <w:tcW w:w="2425" w:type="dxa"/>
          </w:tcPr>
          <w:p w:rsidR="009D2D82" w:rsidRDefault="00941FEB" w:rsidP="002C2D3C">
            <w:pPr>
              <w:spacing w:line="360" w:lineRule="auto"/>
              <w:jc w:val="both"/>
            </w:pPr>
            <w:r>
              <w:t xml:space="preserve">31 October </w:t>
            </w:r>
            <w:r w:rsidR="009D2D82">
              <w:t>2017</w:t>
            </w:r>
          </w:p>
        </w:tc>
        <w:tc>
          <w:tcPr>
            <w:tcW w:w="5871" w:type="dxa"/>
          </w:tcPr>
          <w:p w:rsidR="009D2D82" w:rsidRDefault="00941FEB" w:rsidP="002C2D3C">
            <w:pPr>
              <w:spacing w:line="360" w:lineRule="auto"/>
              <w:jc w:val="both"/>
            </w:pPr>
            <w:r>
              <w:t>The defendant’s</w:t>
            </w:r>
            <w:r w:rsidR="009D2D82">
              <w:t xml:space="preserve"> loss adjustors increased the global offer to </w:t>
            </w:r>
            <w:r>
              <w:t>HK</w:t>
            </w:r>
            <w:r w:rsidR="009D2D82">
              <w:t>$500,000 (inclusive of EC</w:t>
            </w:r>
            <w:r>
              <w:t xml:space="preserve"> payment</w:t>
            </w:r>
            <w:r w:rsidR="009D2D82">
              <w:t>)</w:t>
            </w:r>
          </w:p>
        </w:tc>
      </w:tr>
      <w:tr w:rsidR="009D2D82" w:rsidTr="00941FEB">
        <w:tc>
          <w:tcPr>
            <w:tcW w:w="2425" w:type="dxa"/>
          </w:tcPr>
          <w:p w:rsidR="009D2D82" w:rsidRDefault="00941FEB" w:rsidP="002C2D3C">
            <w:pPr>
              <w:spacing w:line="360" w:lineRule="auto"/>
              <w:jc w:val="both"/>
            </w:pPr>
            <w:r>
              <w:t xml:space="preserve">7 September </w:t>
            </w:r>
            <w:r w:rsidR="009D2D82">
              <w:t>2018</w:t>
            </w:r>
          </w:p>
        </w:tc>
        <w:tc>
          <w:tcPr>
            <w:tcW w:w="5871" w:type="dxa"/>
          </w:tcPr>
          <w:p w:rsidR="009D2D82" w:rsidRDefault="00941FEB" w:rsidP="00B436E1">
            <w:pPr>
              <w:spacing w:line="360" w:lineRule="auto"/>
              <w:jc w:val="both"/>
            </w:pPr>
            <w:r>
              <w:t>The defendant</w:t>
            </w:r>
            <w:r w:rsidR="009D2D82">
              <w:t xml:space="preserve"> made the 1</w:t>
            </w:r>
            <w:r w:rsidR="009D2D82" w:rsidRPr="009D2D82">
              <w:rPr>
                <w:vertAlign w:val="superscript"/>
              </w:rPr>
              <w:t>st</w:t>
            </w:r>
            <w:r w:rsidR="009D2D82">
              <w:t xml:space="preserve"> </w:t>
            </w:r>
            <w:r w:rsidR="00B436E1">
              <w:t>s</w:t>
            </w:r>
            <w:r w:rsidR="009D2D82">
              <w:t xml:space="preserve">anctioned </w:t>
            </w:r>
            <w:r w:rsidR="00B436E1">
              <w:t>p</w:t>
            </w:r>
            <w:r w:rsidR="009D2D82">
              <w:t xml:space="preserve">ayment </w:t>
            </w:r>
            <w:r w:rsidR="00BC3265">
              <w:t xml:space="preserve">of </w:t>
            </w:r>
            <w:r>
              <w:t>HK</w:t>
            </w:r>
            <w:r w:rsidR="00BC3265">
              <w:t>$220,000 on top of EC payment</w:t>
            </w:r>
          </w:p>
        </w:tc>
      </w:tr>
      <w:tr w:rsidR="009D2D82" w:rsidTr="00941FEB">
        <w:tc>
          <w:tcPr>
            <w:tcW w:w="2425" w:type="dxa"/>
          </w:tcPr>
          <w:p w:rsidR="009D2D82" w:rsidRDefault="00BC3265" w:rsidP="00941FEB">
            <w:pPr>
              <w:spacing w:line="360" w:lineRule="auto"/>
              <w:jc w:val="both"/>
            </w:pPr>
            <w:r>
              <w:t>9</w:t>
            </w:r>
            <w:r w:rsidR="00941FEB">
              <w:t xml:space="preserve"> October </w:t>
            </w:r>
            <w:r>
              <w:t>2018</w:t>
            </w:r>
          </w:p>
        </w:tc>
        <w:tc>
          <w:tcPr>
            <w:tcW w:w="5871" w:type="dxa"/>
          </w:tcPr>
          <w:p w:rsidR="009D2D82" w:rsidRDefault="00941FEB" w:rsidP="002C2D3C">
            <w:pPr>
              <w:spacing w:line="360" w:lineRule="auto"/>
              <w:jc w:val="both"/>
            </w:pPr>
            <w:r>
              <w:t>The defendant</w:t>
            </w:r>
            <w:r w:rsidR="00BC3265">
              <w:t xml:space="preserve"> made the 2</w:t>
            </w:r>
            <w:r w:rsidR="00BC3265" w:rsidRPr="00BC3265">
              <w:rPr>
                <w:vertAlign w:val="superscript"/>
              </w:rPr>
              <w:t>nd</w:t>
            </w:r>
            <w:r w:rsidR="00BC3265">
              <w:t xml:space="preserve"> </w:t>
            </w:r>
            <w:r w:rsidR="00B436E1">
              <w:t>sanctioned payment</w:t>
            </w:r>
            <w:r w:rsidR="00BC3265">
              <w:t xml:space="preserve"> of </w:t>
            </w:r>
            <w:r>
              <w:t>HK</w:t>
            </w:r>
            <w:r w:rsidR="00BC3265">
              <w:t xml:space="preserve">$50,000, increasing the offer to </w:t>
            </w:r>
            <w:r>
              <w:t>HK</w:t>
            </w:r>
            <w:r w:rsidR="00BC3265">
              <w:t>$270,000 on top of EC payment</w:t>
            </w:r>
          </w:p>
        </w:tc>
      </w:tr>
      <w:tr w:rsidR="009D2D82" w:rsidTr="00941FEB">
        <w:tc>
          <w:tcPr>
            <w:tcW w:w="2425" w:type="dxa"/>
          </w:tcPr>
          <w:p w:rsidR="009D2D82" w:rsidRDefault="00587BA4" w:rsidP="00941FEB">
            <w:pPr>
              <w:spacing w:line="360" w:lineRule="auto"/>
              <w:jc w:val="both"/>
            </w:pPr>
            <w:r>
              <w:t>7</w:t>
            </w:r>
            <w:r w:rsidR="00941FEB">
              <w:t xml:space="preserve"> November </w:t>
            </w:r>
            <w:r>
              <w:t>2018</w:t>
            </w:r>
          </w:p>
        </w:tc>
        <w:tc>
          <w:tcPr>
            <w:tcW w:w="5871" w:type="dxa"/>
          </w:tcPr>
          <w:p w:rsidR="009D2D82" w:rsidRDefault="00941FEB" w:rsidP="002C2D3C">
            <w:pPr>
              <w:spacing w:line="360" w:lineRule="auto"/>
              <w:jc w:val="both"/>
            </w:pPr>
            <w:r>
              <w:t>The defendant</w:t>
            </w:r>
            <w:r w:rsidR="00587BA4">
              <w:t xml:space="preserve"> made the 3</w:t>
            </w:r>
            <w:r w:rsidR="00587BA4" w:rsidRPr="00587BA4">
              <w:rPr>
                <w:vertAlign w:val="superscript"/>
              </w:rPr>
              <w:t>rd</w:t>
            </w:r>
            <w:r w:rsidR="00587BA4">
              <w:t xml:space="preserve"> </w:t>
            </w:r>
            <w:r w:rsidR="00B436E1">
              <w:t>sanctioned payment</w:t>
            </w:r>
            <w:r w:rsidR="00587BA4">
              <w:t xml:space="preserve"> of </w:t>
            </w:r>
            <w:r>
              <w:t>HK</w:t>
            </w:r>
            <w:r w:rsidR="00587BA4">
              <w:t xml:space="preserve">$70,000, increasing the offer to </w:t>
            </w:r>
            <w:r>
              <w:t>HK</w:t>
            </w:r>
            <w:r w:rsidR="00587BA4">
              <w:t>$340,000 on top of EC payment</w:t>
            </w:r>
          </w:p>
        </w:tc>
      </w:tr>
      <w:tr w:rsidR="009D2D82" w:rsidTr="00941FEB">
        <w:tc>
          <w:tcPr>
            <w:tcW w:w="2425" w:type="dxa"/>
          </w:tcPr>
          <w:p w:rsidR="009D2D82" w:rsidRDefault="00587BA4" w:rsidP="00941FEB">
            <w:pPr>
              <w:spacing w:line="360" w:lineRule="auto"/>
              <w:jc w:val="both"/>
            </w:pPr>
            <w:r>
              <w:t>12</w:t>
            </w:r>
            <w:r w:rsidR="00941FEB">
              <w:t xml:space="preserve"> December </w:t>
            </w:r>
            <w:r>
              <w:t>2018</w:t>
            </w:r>
          </w:p>
        </w:tc>
        <w:tc>
          <w:tcPr>
            <w:tcW w:w="5871" w:type="dxa"/>
          </w:tcPr>
          <w:p w:rsidR="009D2D82" w:rsidRDefault="00941FEB" w:rsidP="002C2D3C">
            <w:pPr>
              <w:spacing w:line="360" w:lineRule="auto"/>
              <w:jc w:val="both"/>
            </w:pPr>
            <w:r>
              <w:t>The defendant</w:t>
            </w:r>
            <w:r w:rsidR="00587BA4">
              <w:t xml:space="preserve"> made the 4</w:t>
            </w:r>
            <w:r w:rsidR="00587BA4" w:rsidRPr="00587BA4">
              <w:rPr>
                <w:vertAlign w:val="superscript"/>
              </w:rPr>
              <w:t>th</w:t>
            </w:r>
            <w:r w:rsidR="00587BA4">
              <w:t xml:space="preserve"> </w:t>
            </w:r>
            <w:r w:rsidR="00B436E1">
              <w:t>sanctioned payment</w:t>
            </w:r>
            <w:r w:rsidR="00587BA4">
              <w:t xml:space="preserve"> of </w:t>
            </w:r>
            <w:r>
              <w:t>HK</w:t>
            </w:r>
            <w:r w:rsidR="00587BA4">
              <w:t xml:space="preserve">$70,000, increasing the offer to </w:t>
            </w:r>
            <w:r>
              <w:t>HK</w:t>
            </w:r>
            <w:r w:rsidR="00587BA4">
              <w:t>$410,000 on top of EC payment</w:t>
            </w:r>
          </w:p>
        </w:tc>
      </w:tr>
      <w:tr w:rsidR="00587BA4" w:rsidTr="00941FEB">
        <w:tc>
          <w:tcPr>
            <w:tcW w:w="2425" w:type="dxa"/>
          </w:tcPr>
          <w:p w:rsidR="00587BA4" w:rsidRDefault="00941FEB" w:rsidP="00941FEB">
            <w:pPr>
              <w:spacing w:line="360" w:lineRule="auto"/>
              <w:jc w:val="both"/>
            </w:pPr>
            <w:r>
              <w:t xml:space="preserve">4 October </w:t>
            </w:r>
            <w:r w:rsidR="00587BA4">
              <w:t>2019</w:t>
            </w:r>
          </w:p>
        </w:tc>
        <w:tc>
          <w:tcPr>
            <w:tcW w:w="5871" w:type="dxa"/>
          </w:tcPr>
          <w:p w:rsidR="00587BA4" w:rsidRDefault="00941FEB" w:rsidP="00941FEB">
            <w:pPr>
              <w:spacing w:line="360" w:lineRule="auto"/>
              <w:jc w:val="both"/>
            </w:pPr>
            <w:r>
              <w:t>The defendant</w:t>
            </w:r>
            <w:r w:rsidR="00587BA4">
              <w:t xml:space="preserve">’s solicitors wrote to </w:t>
            </w:r>
            <w:r>
              <w:t>the plaintiff</w:t>
            </w:r>
            <w:r w:rsidR="00587BA4">
              <w:t xml:space="preserve">’s solicitors, reopening the </w:t>
            </w:r>
            <w:r w:rsidR="00B436E1">
              <w:t>sanctioned payment</w:t>
            </w:r>
            <w:r w:rsidR="00587BA4">
              <w:t xml:space="preserve"> of </w:t>
            </w:r>
            <w:r>
              <w:t>HK$410,000 for the plaintiff</w:t>
            </w:r>
            <w:r w:rsidR="00587BA4">
              <w:t>’s acceptance but wit</w:t>
            </w:r>
            <w:r>
              <w:t xml:space="preserve">h no order as to costs after 9 January </w:t>
            </w:r>
            <w:r w:rsidR="00587BA4">
              <w:t>2019</w:t>
            </w:r>
          </w:p>
        </w:tc>
      </w:tr>
      <w:tr w:rsidR="00587BA4" w:rsidTr="00941FEB">
        <w:tc>
          <w:tcPr>
            <w:tcW w:w="2425" w:type="dxa"/>
          </w:tcPr>
          <w:p w:rsidR="00587BA4" w:rsidRDefault="00941FEB" w:rsidP="002C2D3C">
            <w:pPr>
              <w:spacing w:line="360" w:lineRule="auto"/>
              <w:jc w:val="both"/>
            </w:pPr>
            <w:r>
              <w:t xml:space="preserve">5 May </w:t>
            </w:r>
            <w:r w:rsidR="00587BA4">
              <w:t>2020</w:t>
            </w:r>
          </w:p>
        </w:tc>
        <w:tc>
          <w:tcPr>
            <w:tcW w:w="5871" w:type="dxa"/>
          </w:tcPr>
          <w:p w:rsidR="00587BA4" w:rsidRDefault="00941FEB" w:rsidP="00B436E1">
            <w:pPr>
              <w:spacing w:line="360" w:lineRule="auto"/>
              <w:jc w:val="both"/>
            </w:pPr>
            <w:r>
              <w:t>The plaintiff</w:t>
            </w:r>
            <w:r w:rsidR="00587BA4">
              <w:t xml:space="preserve"> made the 1</w:t>
            </w:r>
            <w:r w:rsidR="00587BA4" w:rsidRPr="00587BA4">
              <w:rPr>
                <w:vertAlign w:val="superscript"/>
              </w:rPr>
              <w:t>st</w:t>
            </w:r>
            <w:r w:rsidR="00587BA4">
              <w:t xml:space="preserve"> </w:t>
            </w:r>
            <w:r w:rsidR="00B436E1">
              <w:t>s</w:t>
            </w:r>
            <w:r w:rsidR="00587BA4">
              <w:t xml:space="preserve">anctioned </w:t>
            </w:r>
            <w:r w:rsidR="00B436E1">
              <w:t>o</w:t>
            </w:r>
            <w:r w:rsidR="00587BA4">
              <w:t xml:space="preserve">ffer of </w:t>
            </w:r>
            <w:r>
              <w:t>HK</w:t>
            </w:r>
            <w:r w:rsidR="00587BA4">
              <w:t>$500,000</w:t>
            </w:r>
          </w:p>
        </w:tc>
      </w:tr>
      <w:tr w:rsidR="00587BA4" w:rsidTr="00941FEB">
        <w:tc>
          <w:tcPr>
            <w:tcW w:w="2425" w:type="dxa"/>
          </w:tcPr>
          <w:p w:rsidR="00587BA4" w:rsidRDefault="00941FEB" w:rsidP="002C2D3C">
            <w:pPr>
              <w:spacing w:line="360" w:lineRule="auto"/>
              <w:jc w:val="both"/>
            </w:pPr>
            <w:r>
              <w:t xml:space="preserve">23 June </w:t>
            </w:r>
            <w:r w:rsidR="00587BA4">
              <w:t>2020</w:t>
            </w:r>
          </w:p>
        </w:tc>
        <w:tc>
          <w:tcPr>
            <w:tcW w:w="5871" w:type="dxa"/>
          </w:tcPr>
          <w:p w:rsidR="00587BA4" w:rsidRDefault="00941FEB" w:rsidP="002C2D3C">
            <w:pPr>
              <w:spacing w:line="360" w:lineRule="auto"/>
              <w:jc w:val="both"/>
            </w:pPr>
            <w:r>
              <w:t>The plaintiff</w:t>
            </w:r>
            <w:r w:rsidR="00587BA4">
              <w:t xml:space="preserve"> made the 2</w:t>
            </w:r>
            <w:r w:rsidR="00587BA4" w:rsidRPr="00587BA4">
              <w:rPr>
                <w:vertAlign w:val="superscript"/>
              </w:rPr>
              <w:t>nd</w:t>
            </w:r>
            <w:r w:rsidR="00587BA4">
              <w:t xml:space="preserve"> </w:t>
            </w:r>
            <w:r w:rsidR="00B436E1">
              <w:t>sanctioned offer</w:t>
            </w:r>
            <w:r w:rsidR="00587BA4">
              <w:t xml:space="preserve"> of </w:t>
            </w:r>
            <w:r>
              <w:t>HK</w:t>
            </w:r>
            <w:r w:rsidR="00587BA4">
              <w:t>$415,000</w:t>
            </w:r>
          </w:p>
        </w:tc>
      </w:tr>
    </w:tbl>
    <w:p w:rsidR="003307DF" w:rsidRDefault="003307DF" w:rsidP="003307DF">
      <w:pPr>
        <w:spacing w:line="360" w:lineRule="auto"/>
        <w:jc w:val="both"/>
      </w:pPr>
    </w:p>
    <w:p w:rsidR="003307DF" w:rsidRDefault="00B436E1" w:rsidP="002C2D3C">
      <w:pPr>
        <w:pStyle w:val="ListParagraph"/>
        <w:numPr>
          <w:ilvl w:val="0"/>
          <w:numId w:val="17"/>
        </w:numPr>
        <w:spacing w:line="360" w:lineRule="auto"/>
        <w:ind w:left="0" w:firstLine="0"/>
        <w:jc w:val="both"/>
      </w:pPr>
      <w:r>
        <w:t>Besides</w:t>
      </w:r>
      <w:r w:rsidR="002C2D3C">
        <w:t xml:space="preserve"> the above dates, the following dates and events are also material in the conte</w:t>
      </w:r>
      <w:r w:rsidR="00BA6221">
        <w:t>x</w:t>
      </w:r>
      <w:r w:rsidR="002C2D3C">
        <w:t xml:space="preserve">t of this </w:t>
      </w:r>
      <w:proofErr w:type="gramStart"/>
      <w:r w:rsidR="002C2D3C">
        <w:t>case:-</w:t>
      </w:r>
      <w:proofErr w:type="gramEnd"/>
    </w:p>
    <w:p w:rsidR="007E3727" w:rsidRDefault="007E3727" w:rsidP="007E3727">
      <w:pPr>
        <w:pStyle w:val="ListParagraph"/>
        <w:spacing w:line="360" w:lineRule="auto"/>
        <w:ind w:left="0"/>
        <w:jc w:val="both"/>
      </w:pPr>
    </w:p>
    <w:tbl>
      <w:tblPr>
        <w:tblStyle w:val="TableGrid"/>
        <w:tblW w:w="0" w:type="auto"/>
        <w:tblLook w:val="04A0" w:firstRow="1" w:lastRow="0" w:firstColumn="1" w:lastColumn="0" w:noHBand="0" w:noVBand="1"/>
      </w:tblPr>
      <w:tblGrid>
        <w:gridCol w:w="2425"/>
        <w:gridCol w:w="5871"/>
      </w:tblGrid>
      <w:tr w:rsidR="007E3727" w:rsidTr="00941FEB">
        <w:tc>
          <w:tcPr>
            <w:tcW w:w="2425" w:type="dxa"/>
          </w:tcPr>
          <w:p w:rsidR="007E3727" w:rsidRDefault="00941FEB" w:rsidP="00D71125">
            <w:pPr>
              <w:spacing w:line="360" w:lineRule="auto"/>
              <w:jc w:val="both"/>
            </w:pPr>
            <w:r>
              <w:t xml:space="preserve">30 April </w:t>
            </w:r>
            <w:r w:rsidR="007E3727">
              <w:t>2019</w:t>
            </w:r>
          </w:p>
        </w:tc>
        <w:tc>
          <w:tcPr>
            <w:tcW w:w="5871" w:type="dxa"/>
          </w:tcPr>
          <w:p w:rsidR="007E3727" w:rsidRDefault="00DA3515" w:rsidP="00D71125">
            <w:pPr>
              <w:spacing w:line="360" w:lineRule="auto"/>
              <w:jc w:val="both"/>
            </w:pPr>
            <w:r>
              <w:t xml:space="preserve">The joint </w:t>
            </w:r>
            <w:proofErr w:type="spellStart"/>
            <w:r>
              <w:t>orthopaedic</w:t>
            </w:r>
            <w:proofErr w:type="spellEnd"/>
            <w:r>
              <w:t xml:space="preserve"> expert</w:t>
            </w:r>
            <w:r w:rsidR="00941FEB">
              <w:t>s’</w:t>
            </w:r>
            <w:r>
              <w:t xml:space="preserve"> report have</w:t>
            </w:r>
            <w:r w:rsidR="007E3727">
              <w:t xml:space="preserve"> been made available to the parties</w:t>
            </w:r>
          </w:p>
        </w:tc>
      </w:tr>
      <w:tr w:rsidR="002C2D3C" w:rsidTr="00941FEB">
        <w:tc>
          <w:tcPr>
            <w:tcW w:w="2425" w:type="dxa"/>
          </w:tcPr>
          <w:p w:rsidR="002C2D3C" w:rsidRDefault="00941FEB" w:rsidP="002C2D3C">
            <w:pPr>
              <w:spacing w:line="360" w:lineRule="auto"/>
              <w:jc w:val="both"/>
            </w:pPr>
            <w:r>
              <w:t xml:space="preserve">9 July </w:t>
            </w:r>
            <w:r w:rsidR="002C2D3C">
              <w:t>2019</w:t>
            </w:r>
          </w:p>
        </w:tc>
        <w:tc>
          <w:tcPr>
            <w:tcW w:w="5871" w:type="dxa"/>
          </w:tcPr>
          <w:p w:rsidR="002C2D3C" w:rsidRDefault="00941FEB" w:rsidP="00BB14F6">
            <w:pPr>
              <w:spacing w:line="360" w:lineRule="auto"/>
              <w:jc w:val="both"/>
            </w:pPr>
            <w:r>
              <w:t>The plaintiff</w:t>
            </w:r>
            <w:r w:rsidR="002C2D3C">
              <w:t xml:space="preserve"> filed her witness statement in accordance with the </w:t>
            </w:r>
            <w:r w:rsidR="00DA3515">
              <w:t>O</w:t>
            </w:r>
            <w:r w:rsidR="002C2D3C">
              <w:t xml:space="preserve">rder </w:t>
            </w:r>
            <w:r w:rsidR="00327FBE">
              <w:t>of</w:t>
            </w:r>
            <w:r w:rsidR="00DA3515">
              <w:t xml:space="preserve"> Master Grace Chan</w:t>
            </w:r>
            <w:r w:rsidR="00BB14F6">
              <w:t xml:space="preserve"> dated 28 January 2019</w:t>
            </w:r>
            <w:r w:rsidR="00DA3515">
              <w:t>. T</w:t>
            </w:r>
            <w:r w:rsidR="002C2D3C">
              <w:t xml:space="preserve">he parties should </w:t>
            </w:r>
            <w:r w:rsidR="00E72930">
              <w:t>have</w:t>
            </w:r>
            <w:r w:rsidR="00BC0FB0">
              <w:t xml:space="preserve"> </w:t>
            </w:r>
            <w:r w:rsidR="002C2D3C">
              <w:t>exchange</w:t>
            </w:r>
            <w:r w:rsidR="00E72930">
              <w:t>d</w:t>
            </w:r>
            <w:r w:rsidR="002C2D3C">
              <w:t xml:space="preserve"> their </w:t>
            </w:r>
            <w:r w:rsidR="00BB14F6">
              <w:t xml:space="preserve">respective </w:t>
            </w:r>
            <w:r w:rsidR="002C2D3C">
              <w:t>witness statement</w:t>
            </w:r>
            <w:r w:rsidR="00BA6221">
              <w:t>s</w:t>
            </w:r>
            <w:r w:rsidR="002C2D3C">
              <w:t xml:space="preserve"> in April 2019</w:t>
            </w:r>
            <w:r w:rsidR="00DA3515">
              <w:t xml:space="preserve">. However, due to the defendant’s failure </w:t>
            </w:r>
            <w:r w:rsidR="00BB14F6">
              <w:t>to</w:t>
            </w:r>
            <w:r w:rsidR="00DA3515">
              <w:t xml:space="preserve"> exchange its witness statement and despite the repeated reminders for it to do so, the plaintiff fi</w:t>
            </w:r>
            <w:r w:rsidR="00BB14F6">
              <w:t>led her witness statement first</w:t>
            </w:r>
          </w:p>
        </w:tc>
      </w:tr>
      <w:tr w:rsidR="002C2D3C" w:rsidTr="00941FEB">
        <w:tc>
          <w:tcPr>
            <w:tcW w:w="2425" w:type="dxa"/>
          </w:tcPr>
          <w:p w:rsidR="002C2D3C" w:rsidRDefault="00BB14F6" w:rsidP="00BB14F6">
            <w:pPr>
              <w:spacing w:line="360" w:lineRule="auto"/>
              <w:jc w:val="both"/>
            </w:pPr>
            <w:r>
              <w:t xml:space="preserve">2 October </w:t>
            </w:r>
            <w:r w:rsidR="002C2D3C">
              <w:t>2019</w:t>
            </w:r>
          </w:p>
        </w:tc>
        <w:tc>
          <w:tcPr>
            <w:tcW w:w="5871" w:type="dxa"/>
          </w:tcPr>
          <w:p w:rsidR="00327FBE" w:rsidRDefault="00BB14F6" w:rsidP="00DA3515">
            <w:pPr>
              <w:spacing w:line="360" w:lineRule="auto"/>
              <w:jc w:val="both"/>
            </w:pPr>
            <w:r>
              <w:t>The defendant</w:t>
            </w:r>
            <w:r w:rsidR="002C2D3C">
              <w:t xml:space="preserve"> filed the 1</w:t>
            </w:r>
            <w:r w:rsidR="002C2D3C" w:rsidRPr="002C2D3C">
              <w:rPr>
                <w:vertAlign w:val="superscript"/>
              </w:rPr>
              <w:t>st</w:t>
            </w:r>
            <w:r w:rsidR="002C2D3C">
              <w:t xml:space="preserve"> witness statement</w:t>
            </w:r>
            <w:r w:rsidR="0094500A">
              <w:t xml:space="preserve"> of Miss Dream Hui, </w:t>
            </w:r>
            <w:r w:rsidR="00327FBE">
              <w:t xml:space="preserve">purportedly </w:t>
            </w:r>
            <w:r w:rsidR="00DA3515">
              <w:t>trying provide 2</w:t>
            </w:r>
            <w:r w:rsidR="00327FBE">
              <w:t xml:space="preserve"> comparable workers</w:t>
            </w:r>
            <w:r w:rsidR="006D160C">
              <w:t xml:space="preserve">’ wages.  This witness statement was filed </w:t>
            </w:r>
            <w:r w:rsidR="00BA6221">
              <w:t xml:space="preserve">6 months late </w:t>
            </w:r>
            <w:r w:rsidR="006D160C">
              <w:t>with no explanation</w:t>
            </w:r>
            <w:r w:rsidR="00DA3515">
              <w:t>s</w:t>
            </w:r>
          </w:p>
        </w:tc>
      </w:tr>
      <w:tr w:rsidR="002C2D3C" w:rsidTr="00941FEB">
        <w:tc>
          <w:tcPr>
            <w:tcW w:w="2425" w:type="dxa"/>
          </w:tcPr>
          <w:p w:rsidR="002C2D3C" w:rsidRDefault="00BB14F6" w:rsidP="002C2D3C">
            <w:pPr>
              <w:spacing w:line="360" w:lineRule="auto"/>
              <w:jc w:val="both"/>
            </w:pPr>
            <w:r>
              <w:t xml:space="preserve">6 April </w:t>
            </w:r>
            <w:r w:rsidR="006D160C">
              <w:t>2020</w:t>
            </w:r>
          </w:p>
        </w:tc>
        <w:tc>
          <w:tcPr>
            <w:tcW w:w="5871" w:type="dxa"/>
          </w:tcPr>
          <w:p w:rsidR="002C2D3C" w:rsidRDefault="00BB14F6" w:rsidP="00BB14F6">
            <w:pPr>
              <w:spacing w:line="360" w:lineRule="auto"/>
              <w:jc w:val="both"/>
            </w:pPr>
            <w:r>
              <w:t>The defendant</w:t>
            </w:r>
            <w:r w:rsidR="006D160C">
              <w:t xml:space="preserve"> made request for extensive discover</w:t>
            </w:r>
            <w:r w:rsidR="00B74FE1">
              <w:t xml:space="preserve">y </w:t>
            </w:r>
            <w:r w:rsidR="006D160C">
              <w:t xml:space="preserve">on </w:t>
            </w:r>
            <w:r>
              <w:t>the plaintiff</w:t>
            </w:r>
            <w:r w:rsidR="00DA3515">
              <w:t>’s</w:t>
            </w:r>
            <w:r w:rsidR="006D160C">
              <w:t xml:space="preserve"> bank statement</w:t>
            </w:r>
            <w:r w:rsidR="00BC0FB0">
              <w:t>s</w:t>
            </w:r>
            <w:r w:rsidR="006D160C">
              <w:t xml:space="preserve"> </w:t>
            </w:r>
            <w:r w:rsidR="00DA3515">
              <w:t xml:space="preserve">entries </w:t>
            </w:r>
            <w:r w:rsidR="006D160C">
              <w:t>by letter</w:t>
            </w:r>
          </w:p>
        </w:tc>
      </w:tr>
      <w:tr w:rsidR="002C2D3C" w:rsidTr="00941FEB">
        <w:tc>
          <w:tcPr>
            <w:tcW w:w="2425" w:type="dxa"/>
          </w:tcPr>
          <w:p w:rsidR="002C2D3C" w:rsidRDefault="00BB14F6" w:rsidP="00BB14F6">
            <w:pPr>
              <w:spacing w:line="360" w:lineRule="auto"/>
              <w:jc w:val="both"/>
            </w:pPr>
            <w:r>
              <w:t xml:space="preserve">17 April </w:t>
            </w:r>
            <w:r w:rsidR="006D160C">
              <w:t>2020</w:t>
            </w:r>
          </w:p>
        </w:tc>
        <w:tc>
          <w:tcPr>
            <w:tcW w:w="5871" w:type="dxa"/>
          </w:tcPr>
          <w:p w:rsidR="002C2D3C" w:rsidRDefault="006D160C" w:rsidP="002C2D3C">
            <w:pPr>
              <w:spacing w:line="360" w:lineRule="auto"/>
              <w:jc w:val="both"/>
            </w:pPr>
            <w:r>
              <w:t xml:space="preserve">Mediation took place but was unsuccessful </w:t>
            </w:r>
          </w:p>
        </w:tc>
      </w:tr>
      <w:tr w:rsidR="002C2D3C" w:rsidTr="00941FEB">
        <w:tc>
          <w:tcPr>
            <w:tcW w:w="2425" w:type="dxa"/>
          </w:tcPr>
          <w:p w:rsidR="002C2D3C" w:rsidRDefault="00BB14F6" w:rsidP="002C2D3C">
            <w:pPr>
              <w:spacing w:line="360" w:lineRule="auto"/>
              <w:jc w:val="both"/>
            </w:pPr>
            <w:r>
              <w:t xml:space="preserve">11 May </w:t>
            </w:r>
            <w:r w:rsidR="006D160C">
              <w:t>2020</w:t>
            </w:r>
          </w:p>
        </w:tc>
        <w:tc>
          <w:tcPr>
            <w:tcW w:w="5871" w:type="dxa"/>
          </w:tcPr>
          <w:p w:rsidR="002C2D3C" w:rsidRDefault="00BB14F6" w:rsidP="00BB14F6">
            <w:pPr>
              <w:spacing w:line="360" w:lineRule="auto"/>
              <w:jc w:val="both"/>
            </w:pPr>
            <w:r>
              <w:t>The defendant</w:t>
            </w:r>
            <w:r w:rsidR="006D160C">
              <w:t xml:space="preserve"> sought particulars of 17 transactions of the discovered bank statement</w:t>
            </w:r>
            <w:r w:rsidR="00BC0FB0">
              <w:t>s</w:t>
            </w:r>
            <w:r w:rsidR="006D160C">
              <w:t xml:space="preserve"> provided by </w:t>
            </w:r>
            <w:r>
              <w:t>the plaintiff</w:t>
            </w:r>
          </w:p>
        </w:tc>
      </w:tr>
      <w:tr w:rsidR="002C2D3C" w:rsidTr="00941FEB">
        <w:tc>
          <w:tcPr>
            <w:tcW w:w="2425" w:type="dxa"/>
          </w:tcPr>
          <w:p w:rsidR="002C2D3C" w:rsidRDefault="00BB14F6" w:rsidP="002C2D3C">
            <w:pPr>
              <w:spacing w:line="360" w:lineRule="auto"/>
              <w:jc w:val="both"/>
            </w:pPr>
            <w:r>
              <w:t xml:space="preserve">15 June </w:t>
            </w:r>
            <w:r w:rsidR="006D160C">
              <w:t>2020</w:t>
            </w:r>
          </w:p>
        </w:tc>
        <w:tc>
          <w:tcPr>
            <w:tcW w:w="5871" w:type="dxa"/>
          </w:tcPr>
          <w:p w:rsidR="002C2D3C" w:rsidRDefault="006D160C" w:rsidP="00BB14F6">
            <w:pPr>
              <w:spacing w:line="360" w:lineRule="auto"/>
              <w:jc w:val="both"/>
            </w:pPr>
            <w:r>
              <w:t xml:space="preserve">Leave to set down was granted by </w:t>
            </w:r>
            <w:r w:rsidR="00DA3515">
              <w:t xml:space="preserve">Her </w:t>
            </w:r>
            <w:proofErr w:type="spellStart"/>
            <w:r w:rsidR="00DA3515">
              <w:t>Honour</w:t>
            </w:r>
            <w:proofErr w:type="spellEnd"/>
            <w:r w:rsidR="00DA3515">
              <w:t xml:space="preserve"> Judge Levy and</w:t>
            </w:r>
            <w:r w:rsidR="001B43B7">
              <w:t xml:space="preserve"> the case was put </w:t>
            </w:r>
            <w:r w:rsidR="00353409">
              <w:t xml:space="preserve">on the </w:t>
            </w:r>
            <w:r w:rsidR="00DA3515">
              <w:t>running</w:t>
            </w:r>
            <w:r w:rsidR="00353409">
              <w:t xml:space="preserve"> list</w:t>
            </w:r>
            <w:r w:rsidR="001B43B7">
              <w:t xml:space="preserve"> not to be warned </w:t>
            </w:r>
            <w:r w:rsidR="00353409">
              <w:t>for</w:t>
            </w:r>
            <w:r w:rsidR="00BB14F6">
              <w:t xml:space="preserve"> assessment of damages</w:t>
            </w:r>
            <w:r w:rsidR="001B43B7">
              <w:t xml:space="preserve"> before 31 October 2020</w:t>
            </w:r>
          </w:p>
        </w:tc>
      </w:tr>
      <w:tr w:rsidR="002C2D3C" w:rsidTr="00941FEB">
        <w:tc>
          <w:tcPr>
            <w:tcW w:w="2425" w:type="dxa"/>
          </w:tcPr>
          <w:p w:rsidR="002C2D3C" w:rsidRDefault="00BB14F6" w:rsidP="002C2D3C">
            <w:pPr>
              <w:spacing w:line="360" w:lineRule="auto"/>
              <w:jc w:val="both"/>
            </w:pPr>
            <w:r>
              <w:lastRenderedPageBreak/>
              <w:t xml:space="preserve">7 August </w:t>
            </w:r>
            <w:r w:rsidR="001B43B7">
              <w:t>2020</w:t>
            </w:r>
          </w:p>
        </w:tc>
        <w:tc>
          <w:tcPr>
            <w:tcW w:w="5871" w:type="dxa"/>
          </w:tcPr>
          <w:p w:rsidR="002C2D3C" w:rsidRDefault="007E3727" w:rsidP="00DA3515">
            <w:pPr>
              <w:spacing w:line="360" w:lineRule="auto"/>
              <w:jc w:val="both"/>
            </w:pPr>
            <w:r>
              <w:rPr>
                <w:rStyle w:val="y2iqfc"/>
                <w:color w:val="202124"/>
              </w:rPr>
              <w:t xml:space="preserve">The </w:t>
            </w:r>
            <w:r w:rsidR="00E72930">
              <w:rPr>
                <w:rStyle w:val="y2iqfc"/>
                <w:color w:val="202124"/>
              </w:rPr>
              <w:t xml:space="preserve">specific </w:t>
            </w:r>
            <w:r w:rsidR="00353409">
              <w:t>discovery</w:t>
            </w:r>
            <w:r w:rsidR="001B43B7">
              <w:t xml:space="preserve"> </w:t>
            </w:r>
            <w:r w:rsidR="00C92471">
              <w:t>exercise</w:t>
            </w:r>
            <w:r w:rsidR="001B43B7">
              <w:t xml:space="preserve"> was completed</w:t>
            </w:r>
            <w:r w:rsidR="00BB14F6">
              <w:t xml:space="preserve"> as confirmed by the defendant</w:t>
            </w:r>
            <w:r w:rsidR="00DA3515">
              <w:t>’s</w:t>
            </w:r>
            <w:r w:rsidR="00C92471">
              <w:t xml:space="preserve"> letter</w:t>
            </w:r>
          </w:p>
        </w:tc>
      </w:tr>
    </w:tbl>
    <w:p w:rsidR="007E3727" w:rsidRDefault="007E3727" w:rsidP="007E3727">
      <w:pPr>
        <w:pStyle w:val="ListParagraph"/>
        <w:spacing w:line="360" w:lineRule="auto"/>
        <w:ind w:left="0"/>
        <w:jc w:val="both"/>
      </w:pPr>
    </w:p>
    <w:p w:rsidR="008D6758" w:rsidRDefault="007E2658" w:rsidP="001D48BB">
      <w:pPr>
        <w:pStyle w:val="ListParagraph"/>
        <w:numPr>
          <w:ilvl w:val="0"/>
          <w:numId w:val="17"/>
        </w:numPr>
        <w:spacing w:line="360" w:lineRule="auto"/>
        <w:ind w:left="0" w:firstLine="0"/>
        <w:jc w:val="both"/>
      </w:pPr>
      <w:r>
        <w:t>From the above</w:t>
      </w:r>
      <w:r w:rsidR="00DA3515">
        <w:t xml:space="preserve"> tables</w:t>
      </w:r>
      <w:r>
        <w:t xml:space="preserve">, it can be seen that the defendant had made a total of </w:t>
      </w:r>
      <w:r w:rsidR="00DA3515">
        <w:t>4</w:t>
      </w:r>
      <w:r>
        <w:t xml:space="preserve"> </w:t>
      </w:r>
      <w:r w:rsidR="00DA3515">
        <w:t>s</w:t>
      </w:r>
      <w:r w:rsidR="000D763C">
        <w:t xml:space="preserve">anctioned </w:t>
      </w:r>
      <w:r w:rsidR="00DA3515">
        <w:t>p</w:t>
      </w:r>
      <w:r w:rsidR="000D763C">
        <w:t>ayments</w:t>
      </w:r>
      <w:r>
        <w:t xml:space="preserve"> between 7 September 2018 and 12</w:t>
      </w:r>
      <w:r w:rsidR="007E3727">
        <w:t> </w:t>
      </w:r>
      <w:r w:rsidR="000E2A0E">
        <w:t>December</w:t>
      </w:r>
      <w:r>
        <w:t xml:space="preserve"> 2018.  Effectively, the defendant was offering </w:t>
      </w:r>
      <w:r w:rsidR="000D763C">
        <w:t>a</w:t>
      </w:r>
      <w:r>
        <w:t xml:space="preserve"> sum of </w:t>
      </w:r>
      <w:r w:rsidR="009B4DFB">
        <w:t xml:space="preserve">HK$410,000 on top of </w:t>
      </w:r>
      <w:r w:rsidR="007E3727">
        <w:t xml:space="preserve">the </w:t>
      </w:r>
      <w:r w:rsidR="009B4DFB">
        <w:t xml:space="preserve">EC payment </w:t>
      </w:r>
      <w:r w:rsidR="00DA3515">
        <w:t>which had already been paid</w:t>
      </w:r>
      <w:r w:rsidR="009B4DFB">
        <w:t xml:space="preserve"> </w:t>
      </w:r>
      <w:r w:rsidR="00DA3515">
        <w:t>to the plaintiff in the sum of</w:t>
      </w:r>
      <w:r w:rsidR="009B4DFB">
        <w:t xml:space="preserve"> HK$282,500.24</w:t>
      </w:r>
      <w:r w:rsidR="00F8621E">
        <w:t xml:space="preserve"> </w:t>
      </w:r>
      <w:r w:rsidR="004A6292">
        <w:t>in</w:t>
      </w:r>
      <w:r w:rsidR="00F8621E">
        <w:t xml:space="preserve"> full and final settlement of the case</w:t>
      </w:r>
      <w:r w:rsidR="009B4DFB">
        <w:t>.</w:t>
      </w:r>
    </w:p>
    <w:p w:rsidR="003A2400" w:rsidRDefault="003A2400" w:rsidP="007E3727">
      <w:pPr>
        <w:pStyle w:val="ListParagraph"/>
        <w:spacing w:line="360" w:lineRule="auto"/>
        <w:ind w:left="0"/>
        <w:jc w:val="both"/>
      </w:pPr>
    </w:p>
    <w:p w:rsidR="003A2400" w:rsidRDefault="00BB14F6" w:rsidP="001D48BB">
      <w:pPr>
        <w:pStyle w:val="ListParagraph"/>
        <w:numPr>
          <w:ilvl w:val="0"/>
          <w:numId w:val="17"/>
        </w:numPr>
        <w:spacing w:line="360" w:lineRule="auto"/>
        <w:ind w:left="0" w:firstLine="0"/>
        <w:jc w:val="both"/>
      </w:pPr>
      <w:r>
        <w:t>It</w:t>
      </w:r>
      <w:r w:rsidR="009B4DFB">
        <w:t xml:space="preserve"> is also clear that the plaintiff had made 2 separate </w:t>
      </w:r>
      <w:r w:rsidR="00DA3515">
        <w:t>s</w:t>
      </w:r>
      <w:r w:rsidR="00873EF5">
        <w:t xml:space="preserve">anctioned </w:t>
      </w:r>
      <w:r w:rsidR="00DA3515">
        <w:t>o</w:t>
      </w:r>
      <w:r w:rsidR="00873EF5">
        <w:t>ffer</w:t>
      </w:r>
      <w:r w:rsidR="009B4DFB">
        <w:t xml:space="preserve">s </w:t>
      </w:r>
      <w:r w:rsidR="00DA3515">
        <w:t xml:space="preserve">in the sum </w:t>
      </w:r>
      <w:r w:rsidR="009B4DFB">
        <w:t xml:space="preserve">of HK$500,000 </w:t>
      </w:r>
      <w:r w:rsidR="000E2A0E">
        <w:t>and</w:t>
      </w:r>
      <w:r w:rsidR="00DA3515">
        <w:t xml:space="preserve"> </w:t>
      </w:r>
      <w:r>
        <w:t>HK$415</w:t>
      </w:r>
      <w:r w:rsidR="00DA3515">
        <w:t xml:space="preserve">,000 </w:t>
      </w:r>
      <w:r w:rsidR="009B4DFB">
        <w:t>respectively.</w:t>
      </w:r>
    </w:p>
    <w:p w:rsidR="009B4DFB" w:rsidRDefault="009B4DFB" w:rsidP="007E3727">
      <w:pPr>
        <w:pStyle w:val="ListParagraph"/>
        <w:spacing w:line="360" w:lineRule="auto"/>
        <w:ind w:left="0"/>
        <w:jc w:val="both"/>
      </w:pPr>
    </w:p>
    <w:p w:rsidR="009B4DFB" w:rsidRDefault="007E3727" w:rsidP="001D48BB">
      <w:pPr>
        <w:pStyle w:val="ListParagraph"/>
        <w:numPr>
          <w:ilvl w:val="0"/>
          <w:numId w:val="17"/>
        </w:numPr>
        <w:spacing w:line="360" w:lineRule="auto"/>
        <w:ind w:left="0" w:firstLine="0"/>
        <w:jc w:val="both"/>
      </w:pPr>
      <w:r>
        <w:t xml:space="preserve">It is </w:t>
      </w:r>
      <w:r w:rsidR="009B4DFB">
        <w:t>further</w:t>
      </w:r>
      <w:r>
        <w:t xml:space="preserve"> not in dispute that th</w:t>
      </w:r>
      <w:r w:rsidR="00275BDB">
        <w:t>is</w:t>
      </w:r>
      <w:r>
        <w:t xml:space="preserve"> </w:t>
      </w:r>
      <w:r w:rsidR="000D763C">
        <w:t>C</w:t>
      </w:r>
      <w:r>
        <w:t xml:space="preserve">ourt had </w:t>
      </w:r>
      <w:r w:rsidR="00275BDB">
        <w:t>a</w:t>
      </w:r>
      <w:r>
        <w:t>warded</w:t>
      </w:r>
      <w:r w:rsidR="009B4DFB">
        <w:t xml:space="preserve"> damages to the plaintiff </w:t>
      </w:r>
      <w:r w:rsidR="00DA3515">
        <w:t>more</w:t>
      </w:r>
      <w:r w:rsidR="009B4DFB">
        <w:t xml:space="preserve"> </w:t>
      </w:r>
      <w:r w:rsidR="00275BDB">
        <w:t>than</w:t>
      </w:r>
      <w:r w:rsidR="009B4DFB">
        <w:t xml:space="preserve"> the 1</w:t>
      </w:r>
      <w:r w:rsidR="009B4DFB" w:rsidRPr="009B4DFB">
        <w:rPr>
          <w:vertAlign w:val="superscript"/>
        </w:rPr>
        <w:t>st</w:t>
      </w:r>
      <w:r w:rsidR="009B4DFB">
        <w:t xml:space="preserve"> </w:t>
      </w:r>
      <w:r w:rsidR="00DA3515">
        <w:t>s</w:t>
      </w:r>
      <w:r w:rsidR="00873EF5">
        <w:t xml:space="preserve">anctioned </w:t>
      </w:r>
      <w:r w:rsidR="00DA3515">
        <w:t>o</w:t>
      </w:r>
      <w:r w:rsidR="00873EF5">
        <w:t>ffer</w:t>
      </w:r>
      <w:r w:rsidR="00DA3515">
        <w:t xml:space="preserve"> she </w:t>
      </w:r>
      <w:r w:rsidR="00BB14F6">
        <w:t xml:space="preserve">had </w:t>
      </w:r>
      <w:r w:rsidR="00DA3515">
        <w:t>made to the defendant. In fact, it was almost double of that amount if</w:t>
      </w:r>
      <w:r w:rsidR="000E2A0E">
        <w:t xml:space="preserve"> the element</w:t>
      </w:r>
      <w:r w:rsidR="009B4DFB">
        <w:t xml:space="preserve"> of interest </w:t>
      </w:r>
      <w:r w:rsidR="00DA3515">
        <w:t>were</w:t>
      </w:r>
      <w:r w:rsidR="00144CA1">
        <w:t xml:space="preserve"> to be taken into account.</w:t>
      </w:r>
    </w:p>
    <w:p w:rsidR="00144CA1" w:rsidRDefault="00144CA1" w:rsidP="00144CA1">
      <w:pPr>
        <w:spacing w:line="360" w:lineRule="auto"/>
        <w:jc w:val="both"/>
      </w:pPr>
    </w:p>
    <w:p w:rsidR="00144CA1" w:rsidRPr="00144CA1" w:rsidRDefault="00144CA1" w:rsidP="000D763C">
      <w:pPr>
        <w:keepNext/>
        <w:keepLines/>
        <w:widowControl w:val="0"/>
        <w:spacing w:line="360" w:lineRule="auto"/>
        <w:jc w:val="both"/>
        <w:rPr>
          <w:i/>
        </w:rPr>
      </w:pPr>
      <w:r w:rsidRPr="00144CA1">
        <w:rPr>
          <w:i/>
        </w:rPr>
        <w:t>DISCUSSION</w:t>
      </w:r>
    </w:p>
    <w:p w:rsidR="00144CA1" w:rsidRDefault="00144CA1" w:rsidP="000D763C">
      <w:pPr>
        <w:keepNext/>
        <w:keepLines/>
        <w:widowControl w:val="0"/>
        <w:spacing w:line="360" w:lineRule="auto"/>
        <w:jc w:val="both"/>
      </w:pPr>
    </w:p>
    <w:p w:rsidR="00144CA1" w:rsidRPr="00144CA1" w:rsidRDefault="00144CA1" w:rsidP="000D763C">
      <w:pPr>
        <w:keepNext/>
        <w:keepLines/>
        <w:widowControl w:val="0"/>
        <w:spacing w:line="360" w:lineRule="auto"/>
        <w:jc w:val="both"/>
        <w:rPr>
          <w:i/>
        </w:rPr>
      </w:pPr>
      <w:r w:rsidRPr="00144CA1">
        <w:rPr>
          <w:i/>
        </w:rPr>
        <w:t>Applicable principle</w:t>
      </w:r>
      <w:r>
        <w:rPr>
          <w:i/>
        </w:rPr>
        <w:t>s</w:t>
      </w:r>
    </w:p>
    <w:p w:rsidR="00144CA1" w:rsidRDefault="00144CA1" w:rsidP="00144CA1">
      <w:pPr>
        <w:spacing w:line="360" w:lineRule="auto"/>
        <w:jc w:val="both"/>
      </w:pPr>
    </w:p>
    <w:p w:rsidR="00144CA1" w:rsidRDefault="00144CA1" w:rsidP="001D48BB">
      <w:pPr>
        <w:pStyle w:val="ListParagraph"/>
        <w:numPr>
          <w:ilvl w:val="0"/>
          <w:numId w:val="17"/>
        </w:numPr>
        <w:spacing w:line="360" w:lineRule="auto"/>
        <w:ind w:left="0" w:firstLine="0"/>
        <w:jc w:val="both"/>
      </w:pPr>
      <w:r>
        <w:t xml:space="preserve">The applicable principles of law are not in dispute.  They can be briefly </w:t>
      </w:r>
      <w:proofErr w:type="spellStart"/>
      <w:r>
        <w:t>summarised</w:t>
      </w:r>
      <w:proofErr w:type="spellEnd"/>
      <w:r>
        <w:t xml:space="preserve"> in the following paragraphs.</w:t>
      </w:r>
    </w:p>
    <w:p w:rsidR="00144CA1" w:rsidRDefault="00144CA1" w:rsidP="00144CA1">
      <w:pPr>
        <w:pStyle w:val="ListParagraph"/>
        <w:spacing w:line="360" w:lineRule="auto"/>
        <w:ind w:left="0"/>
        <w:jc w:val="both"/>
      </w:pPr>
    </w:p>
    <w:p w:rsidR="00144CA1" w:rsidRPr="00BD2FCC" w:rsidRDefault="00144CA1" w:rsidP="00BD2FCC">
      <w:pPr>
        <w:pStyle w:val="ListParagraph"/>
        <w:numPr>
          <w:ilvl w:val="0"/>
          <w:numId w:val="17"/>
        </w:numPr>
        <w:spacing w:line="360" w:lineRule="auto"/>
        <w:ind w:left="0" w:firstLine="0"/>
        <w:jc w:val="both"/>
      </w:pPr>
      <w:r w:rsidRPr="00BD2FCC">
        <w:t>O</w:t>
      </w:r>
      <w:r w:rsidR="00BB14F6">
        <w:t xml:space="preserve">rder </w:t>
      </w:r>
      <w:r w:rsidRPr="00BD2FCC">
        <w:t>22 r</w:t>
      </w:r>
      <w:r w:rsidR="00BB14F6">
        <w:t xml:space="preserve">ule </w:t>
      </w:r>
      <w:r w:rsidRPr="00BD2FCC">
        <w:t>24</w:t>
      </w:r>
      <w:r w:rsidR="00BB14F6">
        <w:t xml:space="preserve"> of the Rules of the District Court, Cap 336H (“RDC”)</w:t>
      </w:r>
      <w:r w:rsidRPr="00BD2FCC">
        <w:t xml:space="preserve"> reads:</w:t>
      </w:r>
    </w:p>
    <w:p w:rsidR="000D763C" w:rsidRPr="00144CA1" w:rsidRDefault="000D763C" w:rsidP="00144CA1">
      <w:pPr>
        <w:pStyle w:val="ListParagraph"/>
        <w:tabs>
          <w:tab w:val="clear" w:pos="9072"/>
        </w:tabs>
        <w:ind w:left="1440" w:right="746"/>
        <w:jc w:val="both"/>
        <w:rPr>
          <w:sz w:val="24"/>
          <w:szCs w:val="24"/>
        </w:rPr>
      </w:pPr>
    </w:p>
    <w:p w:rsidR="00144CA1" w:rsidRPr="00BD2FCC" w:rsidRDefault="00BD2FCC" w:rsidP="00BD2FCC">
      <w:pPr>
        <w:tabs>
          <w:tab w:val="clear" w:pos="1440"/>
          <w:tab w:val="clear" w:pos="9072"/>
        </w:tabs>
        <w:ind w:left="1980" w:right="746" w:hanging="540"/>
        <w:jc w:val="both"/>
        <w:rPr>
          <w:sz w:val="24"/>
          <w:szCs w:val="24"/>
        </w:rPr>
      </w:pPr>
      <w:r>
        <w:rPr>
          <w:sz w:val="24"/>
          <w:szCs w:val="24"/>
        </w:rPr>
        <w:t>“(1)</w:t>
      </w:r>
      <w:r>
        <w:rPr>
          <w:sz w:val="24"/>
          <w:szCs w:val="24"/>
        </w:rPr>
        <w:tab/>
      </w:r>
      <w:r w:rsidR="00144CA1" w:rsidRPr="00BD2FCC">
        <w:rPr>
          <w:sz w:val="24"/>
          <w:szCs w:val="24"/>
        </w:rPr>
        <w:t>This rule applies where</w:t>
      </w:r>
      <w:r w:rsidR="002D0CB9" w:rsidRPr="00BD2FCC">
        <w:rPr>
          <w:rFonts w:ascii="PMingLiU" w:eastAsia="PMingLiU" w:hAnsi="PMingLiU" w:hint="eastAsia"/>
          <w:sz w:val="24"/>
          <w:szCs w:val="24"/>
          <w:lang w:eastAsia="zh-TW"/>
        </w:rPr>
        <w:t>—</w:t>
      </w:r>
    </w:p>
    <w:p w:rsidR="00144CA1" w:rsidRDefault="000D763C" w:rsidP="00BD2FCC">
      <w:pPr>
        <w:pStyle w:val="ListParagraph"/>
        <w:numPr>
          <w:ilvl w:val="0"/>
          <w:numId w:val="23"/>
        </w:numPr>
        <w:tabs>
          <w:tab w:val="clear" w:pos="1440"/>
          <w:tab w:val="clear" w:pos="9072"/>
        </w:tabs>
        <w:ind w:left="2340" w:right="746"/>
        <w:jc w:val="both"/>
        <w:rPr>
          <w:sz w:val="24"/>
          <w:szCs w:val="24"/>
        </w:rPr>
      </w:pPr>
      <w:r>
        <w:rPr>
          <w:sz w:val="24"/>
          <w:szCs w:val="24"/>
        </w:rPr>
        <w:lastRenderedPageBreak/>
        <w:t>a</w:t>
      </w:r>
      <w:r w:rsidR="00144CA1" w:rsidRPr="00144CA1">
        <w:rPr>
          <w:sz w:val="24"/>
          <w:szCs w:val="24"/>
        </w:rPr>
        <w:t xml:space="preserve"> defendant is </w:t>
      </w:r>
      <w:r w:rsidR="00F621D1">
        <w:rPr>
          <w:sz w:val="24"/>
          <w:szCs w:val="24"/>
        </w:rPr>
        <w:t>held liable for more than the proposals contained in a plaintiff’s sanctioned offer; or</w:t>
      </w:r>
    </w:p>
    <w:p w:rsidR="00BB14F6" w:rsidRDefault="00BB14F6" w:rsidP="00BB14F6">
      <w:pPr>
        <w:pStyle w:val="ListParagraph"/>
        <w:tabs>
          <w:tab w:val="clear" w:pos="1440"/>
          <w:tab w:val="clear" w:pos="9072"/>
        </w:tabs>
        <w:ind w:left="2340" w:right="746"/>
        <w:jc w:val="both"/>
        <w:rPr>
          <w:sz w:val="24"/>
          <w:szCs w:val="24"/>
        </w:rPr>
      </w:pPr>
    </w:p>
    <w:p w:rsidR="00F621D1" w:rsidRPr="00144CA1" w:rsidRDefault="00F621D1" w:rsidP="00BD2FCC">
      <w:pPr>
        <w:pStyle w:val="ListParagraph"/>
        <w:numPr>
          <w:ilvl w:val="0"/>
          <w:numId w:val="23"/>
        </w:numPr>
        <w:tabs>
          <w:tab w:val="clear" w:pos="1440"/>
          <w:tab w:val="clear" w:pos="9072"/>
        </w:tabs>
        <w:ind w:left="2340" w:right="746"/>
        <w:jc w:val="both"/>
        <w:rPr>
          <w:sz w:val="24"/>
          <w:szCs w:val="24"/>
        </w:rPr>
      </w:pPr>
      <w:r>
        <w:rPr>
          <w:sz w:val="24"/>
          <w:szCs w:val="24"/>
        </w:rPr>
        <w:t>the judgment against a defendant is more advantageous to the plaintiff than the proposals contained in a plaintiff’s sanctioned offer.</w:t>
      </w:r>
    </w:p>
    <w:p w:rsidR="00F621D1" w:rsidRDefault="00F621D1" w:rsidP="00BD2FCC">
      <w:pPr>
        <w:tabs>
          <w:tab w:val="clear" w:pos="1440"/>
          <w:tab w:val="clear" w:pos="9072"/>
        </w:tabs>
        <w:ind w:left="2070" w:right="746" w:hanging="630"/>
        <w:jc w:val="both"/>
        <w:rPr>
          <w:sz w:val="24"/>
          <w:szCs w:val="24"/>
        </w:rPr>
      </w:pPr>
    </w:p>
    <w:p w:rsidR="00144CA1" w:rsidRPr="00BD2FCC" w:rsidRDefault="00BD2FCC" w:rsidP="00BD2FCC">
      <w:pPr>
        <w:tabs>
          <w:tab w:val="clear" w:pos="1440"/>
          <w:tab w:val="clear" w:pos="9072"/>
        </w:tabs>
        <w:ind w:left="1980" w:right="746" w:hanging="540"/>
        <w:jc w:val="both"/>
        <w:rPr>
          <w:sz w:val="24"/>
          <w:szCs w:val="24"/>
        </w:rPr>
      </w:pPr>
      <w:r>
        <w:rPr>
          <w:sz w:val="24"/>
          <w:szCs w:val="24"/>
        </w:rPr>
        <w:t>(2)</w:t>
      </w:r>
      <w:r>
        <w:rPr>
          <w:sz w:val="24"/>
          <w:szCs w:val="24"/>
        </w:rPr>
        <w:tab/>
      </w:r>
      <w:r w:rsidR="00F621D1" w:rsidRPr="00BD2FCC">
        <w:rPr>
          <w:sz w:val="24"/>
          <w:szCs w:val="24"/>
        </w:rPr>
        <w:t>The Court may order interest on the whole or part of any sum of money (excluding interest) awarded to the plaintiff at a rate not exceeding 10% above judgment rate for some or all of the period after the latest date on which the defendant could have accepted the offer without requiring the leave of the Court.</w:t>
      </w:r>
    </w:p>
    <w:p w:rsidR="002D0CB9" w:rsidRDefault="002D0CB9" w:rsidP="002D0CB9">
      <w:pPr>
        <w:pStyle w:val="ListParagraph"/>
        <w:tabs>
          <w:tab w:val="clear" w:pos="1440"/>
          <w:tab w:val="clear" w:pos="9072"/>
        </w:tabs>
        <w:ind w:left="1800" w:right="746"/>
        <w:jc w:val="both"/>
        <w:rPr>
          <w:sz w:val="24"/>
          <w:szCs w:val="24"/>
        </w:rPr>
      </w:pPr>
    </w:p>
    <w:p w:rsidR="002D0CB9" w:rsidRDefault="00BD2FCC" w:rsidP="00BD2FCC">
      <w:pPr>
        <w:tabs>
          <w:tab w:val="clear" w:pos="1440"/>
          <w:tab w:val="clear" w:pos="9072"/>
        </w:tabs>
        <w:ind w:left="1980" w:right="746" w:hanging="540"/>
        <w:jc w:val="both"/>
        <w:rPr>
          <w:rFonts w:eastAsia="PMingLiU"/>
          <w:sz w:val="24"/>
          <w:szCs w:val="24"/>
          <w:lang w:eastAsia="zh-TW"/>
        </w:rPr>
      </w:pPr>
      <w:r>
        <w:rPr>
          <w:sz w:val="24"/>
          <w:szCs w:val="24"/>
        </w:rPr>
        <w:t>(3)</w:t>
      </w:r>
      <w:r>
        <w:rPr>
          <w:sz w:val="24"/>
          <w:szCs w:val="24"/>
        </w:rPr>
        <w:tab/>
      </w:r>
      <w:r w:rsidR="002D0CB9">
        <w:rPr>
          <w:sz w:val="24"/>
          <w:szCs w:val="24"/>
        </w:rPr>
        <w:t>The Court may also order that the plaintiff is entitled to</w:t>
      </w:r>
      <w:r w:rsidR="002D0CB9">
        <w:rPr>
          <w:rFonts w:eastAsia="PMingLiU" w:hint="eastAsia"/>
          <w:sz w:val="24"/>
          <w:szCs w:val="24"/>
          <w:lang w:eastAsia="zh-TW"/>
        </w:rPr>
        <w:t>—</w:t>
      </w:r>
    </w:p>
    <w:p w:rsidR="00BB14F6" w:rsidRPr="002D0CB9" w:rsidRDefault="00BB14F6" w:rsidP="00BD2FCC">
      <w:pPr>
        <w:tabs>
          <w:tab w:val="clear" w:pos="1440"/>
          <w:tab w:val="clear" w:pos="9072"/>
        </w:tabs>
        <w:ind w:left="1980" w:right="746" w:hanging="540"/>
        <w:jc w:val="both"/>
        <w:rPr>
          <w:sz w:val="24"/>
          <w:szCs w:val="24"/>
        </w:rPr>
      </w:pPr>
    </w:p>
    <w:p w:rsidR="002D0CB9" w:rsidRDefault="00BB14F6" w:rsidP="00BD2FCC">
      <w:pPr>
        <w:pStyle w:val="ListParagraph"/>
        <w:numPr>
          <w:ilvl w:val="0"/>
          <w:numId w:val="29"/>
        </w:numPr>
        <w:tabs>
          <w:tab w:val="clear" w:pos="1440"/>
          <w:tab w:val="clear" w:pos="9072"/>
        </w:tabs>
        <w:ind w:left="2340" w:right="746"/>
        <w:jc w:val="both"/>
        <w:rPr>
          <w:sz w:val="24"/>
          <w:szCs w:val="24"/>
        </w:rPr>
      </w:pPr>
      <w:r>
        <w:rPr>
          <w:sz w:val="24"/>
          <w:szCs w:val="24"/>
        </w:rPr>
        <w:t>h</w:t>
      </w:r>
      <w:r w:rsidR="002D0CB9">
        <w:rPr>
          <w:sz w:val="24"/>
          <w:szCs w:val="24"/>
        </w:rPr>
        <w:t>is costs on the indemnity basis after the latest date on which the defendant could have accepted the offer without requiring the leave of the Court; and</w:t>
      </w:r>
    </w:p>
    <w:p w:rsidR="00BB14F6" w:rsidRDefault="00BB14F6" w:rsidP="00BB14F6">
      <w:pPr>
        <w:pStyle w:val="ListParagraph"/>
        <w:tabs>
          <w:tab w:val="clear" w:pos="1440"/>
          <w:tab w:val="clear" w:pos="9072"/>
        </w:tabs>
        <w:ind w:left="2340" w:right="746"/>
        <w:jc w:val="both"/>
        <w:rPr>
          <w:sz w:val="24"/>
          <w:szCs w:val="24"/>
        </w:rPr>
      </w:pPr>
    </w:p>
    <w:p w:rsidR="002D0CB9" w:rsidRPr="002D0CB9" w:rsidRDefault="00BB14F6" w:rsidP="00BD2FCC">
      <w:pPr>
        <w:pStyle w:val="ListParagraph"/>
        <w:numPr>
          <w:ilvl w:val="0"/>
          <w:numId w:val="29"/>
        </w:numPr>
        <w:tabs>
          <w:tab w:val="clear" w:pos="1440"/>
          <w:tab w:val="clear" w:pos="9072"/>
        </w:tabs>
        <w:ind w:left="2340" w:right="746"/>
        <w:jc w:val="both"/>
        <w:rPr>
          <w:sz w:val="24"/>
          <w:szCs w:val="24"/>
        </w:rPr>
      </w:pPr>
      <w:r>
        <w:rPr>
          <w:sz w:val="24"/>
          <w:szCs w:val="24"/>
        </w:rPr>
        <w:t>i</w:t>
      </w:r>
      <w:r w:rsidR="002D0CB9">
        <w:rPr>
          <w:sz w:val="24"/>
          <w:szCs w:val="24"/>
        </w:rPr>
        <w:t>nterest on those costs at a rate not exceeding 10% above judgment rate.</w:t>
      </w:r>
      <w:r w:rsidR="00E41A42">
        <w:rPr>
          <w:rStyle w:val="FootnoteReference"/>
          <w:sz w:val="24"/>
          <w:szCs w:val="24"/>
        </w:rPr>
        <w:footnoteReference w:id="1"/>
      </w:r>
      <w:r w:rsidR="00230979">
        <w:rPr>
          <w:sz w:val="24"/>
          <w:szCs w:val="24"/>
        </w:rPr>
        <w:t xml:space="preserve"> </w:t>
      </w:r>
    </w:p>
    <w:p w:rsidR="002D0CB9" w:rsidRPr="002D0CB9" w:rsidRDefault="002D0CB9" w:rsidP="002D0CB9">
      <w:pPr>
        <w:tabs>
          <w:tab w:val="clear" w:pos="1440"/>
          <w:tab w:val="clear" w:pos="9072"/>
        </w:tabs>
        <w:ind w:right="746"/>
        <w:jc w:val="both"/>
        <w:rPr>
          <w:sz w:val="24"/>
          <w:szCs w:val="24"/>
        </w:rPr>
      </w:pPr>
    </w:p>
    <w:p w:rsidR="002D0CB9" w:rsidRDefault="00BD2FCC" w:rsidP="00BD2FCC">
      <w:pPr>
        <w:tabs>
          <w:tab w:val="clear" w:pos="1440"/>
          <w:tab w:val="clear" w:pos="9072"/>
        </w:tabs>
        <w:ind w:left="1980" w:right="746" w:hanging="540"/>
        <w:jc w:val="both"/>
        <w:rPr>
          <w:sz w:val="24"/>
          <w:szCs w:val="24"/>
        </w:rPr>
      </w:pPr>
      <w:r>
        <w:rPr>
          <w:sz w:val="24"/>
          <w:szCs w:val="24"/>
        </w:rPr>
        <w:t>(4)</w:t>
      </w:r>
      <w:r>
        <w:rPr>
          <w:sz w:val="24"/>
          <w:szCs w:val="24"/>
        </w:rPr>
        <w:tab/>
      </w:r>
      <w:r w:rsidR="00E41A42">
        <w:rPr>
          <w:sz w:val="24"/>
          <w:szCs w:val="24"/>
        </w:rPr>
        <w:t>Where this rule applies, the Court shall make the orders referred to in paragraphs (2) and (3) unless it considers it unjust to do so.</w:t>
      </w:r>
    </w:p>
    <w:p w:rsidR="00E41A42" w:rsidRDefault="00E41A42" w:rsidP="00E41A42">
      <w:pPr>
        <w:pStyle w:val="ListParagraph"/>
        <w:tabs>
          <w:tab w:val="clear" w:pos="1440"/>
          <w:tab w:val="clear" w:pos="9072"/>
        </w:tabs>
        <w:ind w:left="1800" w:right="746"/>
        <w:jc w:val="both"/>
        <w:rPr>
          <w:sz w:val="24"/>
          <w:szCs w:val="24"/>
        </w:rPr>
      </w:pPr>
    </w:p>
    <w:p w:rsidR="00E41A42" w:rsidRDefault="00BD2FCC" w:rsidP="00BD2FCC">
      <w:pPr>
        <w:tabs>
          <w:tab w:val="clear" w:pos="1440"/>
          <w:tab w:val="clear" w:pos="9072"/>
        </w:tabs>
        <w:ind w:left="1980" w:right="746" w:hanging="540"/>
        <w:jc w:val="both"/>
        <w:rPr>
          <w:rFonts w:eastAsia="PMingLiU"/>
          <w:sz w:val="24"/>
          <w:szCs w:val="24"/>
          <w:lang w:eastAsia="zh-TW"/>
        </w:rPr>
      </w:pPr>
      <w:r>
        <w:rPr>
          <w:sz w:val="24"/>
          <w:szCs w:val="24"/>
        </w:rPr>
        <w:t>(5)</w:t>
      </w:r>
      <w:r>
        <w:rPr>
          <w:sz w:val="24"/>
          <w:szCs w:val="24"/>
        </w:rPr>
        <w:tab/>
      </w:r>
      <w:r w:rsidR="00E41A42">
        <w:rPr>
          <w:sz w:val="24"/>
          <w:szCs w:val="24"/>
        </w:rPr>
        <w:t>In considering whether it would be unjust to make the orders referred to in paragraphs (2) and (3), the Court shall take into account all the circumstances of the case including</w:t>
      </w:r>
      <w:r w:rsidR="00E41A42">
        <w:rPr>
          <w:rFonts w:eastAsia="PMingLiU" w:hint="eastAsia"/>
          <w:sz w:val="24"/>
          <w:szCs w:val="24"/>
          <w:lang w:eastAsia="zh-TW"/>
        </w:rPr>
        <w:t>—</w:t>
      </w:r>
    </w:p>
    <w:p w:rsidR="00BB14F6" w:rsidRPr="00E41A42" w:rsidRDefault="00BB14F6" w:rsidP="00BD2FCC">
      <w:pPr>
        <w:tabs>
          <w:tab w:val="clear" w:pos="1440"/>
          <w:tab w:val="clear" w:pos="9072"/>
        </w:tabs>
        <w:ind w:left="1980" w:right="746" w:hanging="540"/>
        <w:jc w:val="both"/>
        <w:rPr>
          <w:sz w:val="24"/>
          <w:szCs w:val="24"/>
        </w:rPr>
      </w:pPr>
    </w:p>
    <w:p w:rsidR="00E41A42" w:rsidRDefault="00E41A42" w:rsidP="00BD2FCC">
      <w:pPr>
        <w:pStyle w:val="ListParagraph"/>
        <w:numPr>
          <w:ilvl w:val="0"/>
          <w:numId w:val="30"/>
        </w:numPr>
        <w:tabs>
          <w:tab w:val="clear" w:pos="1440"/>
          <w:tab w:val="clear" w:pos="9072"/>
        </w:tabs>
        <w:ind w:left="2340" w:right="746"/>
        <w:jc w:val="both"/>
        <w:rPr>
          <w:sz w:val="24"/>
          <w:szCs w:val="24"/>
        </w:rPr>
      </w:pPr>
      <w:r>
        <w:rPr>
          <w:sz w:val="24"/>
          <w:szCs w:val="24"/>
        </w:rPr>
        <w:t>the terms of any sanctioned offer;</w:t>
      </w:r>
    </w:p>
    <w:p w:rsidR="00BB14F6" w:rsidRDefault="00BB14F6" w:rsidP="00BB14F6">
      <w:pPr>
        <w:pStyle w:val="ListParagraph"/>
        <w:tabs>
          <w:tab w:val="clear" w:pos="1440"/>
          <w:tab w:val="clear" w:pos="9072"/>
        </w:tabs>
        <w:ind w:left="2340" w:right="746"/>
        <w:jc w:val="both"/>
        <w:rPr>
          <w:sz w:val="24"/>
          <w:szCs w:val="24"/>
        </w:rPr>
      </w:pPr>
    </w:p>
    <w:p w:rsidR="00E41A42" w:rsidRDefault="00E41A42" w:rsidP="00BD2FCC">
      <w:pPr>
        <w:pStyle w:val="ListParagraph"/>
        <w:numPr>
          <w:ilvl w:val="0"/>
          <w:numId w:val="30"/>
        </w:numPr>
        <w:tabs>
          <w:tab w:val="clear" w:pos="1440"/>
          <w:tab w:val="clear" w:pos="9072"/>
        </w:tabs>
        <w:ind w:left="2340" w:right="746"/>
        <w:jc w:val="both"/>
        <w:rPr>
          <w:sz w:val="24"/>
          <w:szCs w:val="24"/>
        </w:rPr>
      </w:pPr>
      <w:r>
        <w:rPr>
          <w:sz w:val="24"/>
          <w:szCs w:val="24"/>
        </w:rPr>
        <w:t>the stage in the proceedings at which any sanctioned offer was made;</w:t>
      </w:r>
    </w:p>
    <w:p w:rsidR="00BB14F6" w:rsidRPr="00BB14F6" w:rsidRDefault="00BB14F6" w:rsidP="00BB14F6">
      <w:pPr>
        <w:tabs>
          <w:tab w:val="clear" w:pos="1440"/>
          <w:tab w:val="clear" w:pos="9072"/>
        </w:tabs>
        <w:ind w:right="746"/>
        <w:jc w:val="both"/>
        <w:rPr>
          <w:sz w:val="24"/>
          <w:szCs w:val="24"/>
        </w:rPr>
      </w:pPr>
    </w:p>
    <w:p w:rsidR="00E41A42" w:rsidRDefault="00E41A42" w:rsidP="00BD2FCC">
      <w:pPr>
        <w:pStyle w:val="ListParagraph"/>
        <w:numPr>
          <w:ilvl w:val="0"/>
          <w:numId w:val="30"/>
        </w:numPr>
        <w:tabs>
          <w:tab w:val="clear" w:pos="1440"/>
          <w:tab w:val="clear" w:pos="9072"/>
        </w:tabs>
        <w:ind w:left="2340" w:right="746"/>
        <w:jc w:val="both"/>
        <w:rPr>
          <w:sz w:val="24"/>
          <w:szCs w:val="24"/>
        </w:rPr>
      </w:pPr>
      <w:r>
        <w:rPr>
          <w:sz w:val="24"/>
          <w:szCs w:val="24"/>
        </w:rPr>
        <w:t>the information available to the parties at the time when the sanctioned offer was made; and</w:t>
      </w:r>
    </w:p>
    <w:p w:rsidR="00BB14F6" w:rsidRPr="00BB14F6" w:rsidRDefault="00BB14F6" w:rsidP="00BB14F6">
      <w:pPr>
        <w:tabs>
          <w:tab w:val="clear" w:pos="1440"/>
          <w:tab w:val="clear" w:pos="9072"/>
        </w:tabs>
        <w:ind w:right="746"/>
        <w:jc w:val="both"/>
        <w:rPr>
          <w:sz w:val="24"/>
          <w:szCs w:val="24"/>
        </w:rPr>
      </w:pPr>
    </w:p>
    <w:p w:rsidR="00E41A42" w:rsidRDefault="00E41A42" w:rsidP="00BD2FCC">
      <w:pPr>
        <w:pStyle w:val="ListParagraph"/>
        <w:numPr>
          <w:ilvl w:val="0"/>
          <w:numId w:val="30"/>
        </w:numPr>
        <w:tabs>
          <w:tab w:val="clear" w:pos="1440"/>
          <w:tab w:val="clear" w:pos="9072"/>
        </w:tabs>
        <w:ind w:left="2340" w:right="746"/>
        <w:jc w:val="both"/>
        <w:rPr>
          <w:sz w:val="24"/>
          <w:szCs w:val="24"/>
        </w:rPr>
      </w:pPr>
      <w:r>
        <w:rPr>
          <w:sz w:val="24"/>
          <w:szCs w:val="24"/>
        </w:rPr>
        <w:t>the conduct of the parties with regard to the giving or refusing to give information for the purposes of enabling the offer to be made or evaluated.</w:t>
      </w:r>
    </w:p>
    <w:p w:rsidR="00BB14F6" w:rsidRPr="00BB14F6" w:rsidRDefault="00BB14F6" w:rsidP="00BB14F6">
      <w:pPr>
        <w:pStyle w:val="ListParagraph"/>
        <w:rPr>
          <w:sz w:val="24"/>
          <w:szCs w:val="24"/>
        </w:rPr>
      </w:pPr>
    </w:p>
    <w:p w:rsidR="00BB14F6" w:rsidRPr="001515E0" w:rsidRDefault="00BB14F6" w:rsidP="001515E0">
      <w:pPr>
        <w:tabs>
          <w:tab w:val="clear" w:pos="1440"/>
          <w:tab w:val="clear" w:pos="9072"/>
        </w:tabs>
        <w:ind w:left="1980" w:right="746" w:hanging="540"/>
        <w:jc w:val="both"/>
        <w:rPr>
          <w:sz w:val="24"/>
          <w:szCs w:val="24"/>
        </w:rPr>
      </w:pPr>
      <w:r w:rsidRPr="001515E0">
        <w:rPr>
          <w:sz w:val="24"/>
          <w:szCs w:val="24"/>
        </w:rPr>
        <w:t xml:space="preserve">(6) </w:t>
      </w:r>
      <w:r w:rsidR="001515E0">
        <w:rPr>
          <w:sz w:val="24"/>
          <w:szCs w:val="24"/>
        </w:rPr>
        <w:tab/>
      </w:r>
      <w:r w:rsidRPr="001515E0">
        <w:rPr>
          <w:sz w:val="24"/>
          <w:szCs w:val="24"/>
        </w:rPr>
        <w:t>The power of the Court under this rule is in addition to any other power it may have to award interest.</w:t>
      </w:r>
      <w:r w:rsidR="001515E0">
        <w:rPr>
          <w:sz w:val="24"/>
          <w:szCs w:val="24"/>
        </w:rPr>
        <w:t>”</w:t>
      </w:r>
    </w:p>
    <w:p w:rsidR="00E41A42" w:rsidRPr="00BD2FCC" w:rsidRDefault="00E41A42" w:rsidP="00BD2FCC">
      <w:pPr>
        <w:pStyle w:val="ListParagraph"/>
        <w:spacing w:line="360" w:lineRule="auto"/>
        <w:ind w:left="0"/>
        <w:jc w:val="both"/>
      </w:pPr>
    </w:p>
    <w:p w:rsidR="00E41A42" w:rsidRPr="00BD2FCC" w:rsidRDefault="00BD2FCC" w:rsidP="00BD2FCC">
      <w:pPr>
        <w:pStyle w:val="ListParagraph"/>
        <w:numPr>
          <w:ilvl w:val="0"/>
          <w:numId w:val="17"/>
        </w:numPr>
        <w:spacing w:line="360" w:lineRule="auto"/>
        <w:ind w:left="0" w:firstLine="0"/>
        <w:jc w:val="both"/>
      </w:pPr>
      <w:r>
        <w:lastRenderedPageBreak/>
        <w:t xml:space="preserve">These rules are designed to provide important incentives to encourage </w:t>
      </w:r>
      <w:r w:rsidR="00DA3515">
        <w:t>the plaintiff</w:t>
      </w:r>
      <w:r>
        <w:t xml:space="preserve"> to make, and </w:t>
      </w:r>
      <w:r w:rsidR="00DA3515">
        <w:t>the defendant</w:t>
      </w:r>
      <w:r>
        <w:t xml:space="preserve"> to accept, settlement offers at appropriate levels as early as possible.  Such an incentive would be deprived of effect unless the non-acceptance of an offer, which subsequently proves to have been a sufficient offer, ordinarily will advantage </w:t>
      </w:r>
      <w:r w:rsidR="00DA3515">
        <w:t>the plaintiff</w:t>
      </w:r>
      <w:r>
        <w:t xml:space="preserve"> in t</w:t>
      </w:r>
      <w:r w:rsidR="001515E0">
        <w:t>he manner foreseen in the rules</w:t>
      </w:r>
      <w:r w:rsidR="006B26B3">
        <w:t>:</w:t>
      </w:r>
      <w:r w:rsidR="001515E0">
        <w:t xml:space="preserve"> See</w:t>
      </w:r>
      <w:r w:rsidR="006B26B3">
        <w:t xml:space="preserve"> </w:t>
      </w:r>
      <w:r w:rsidR="006B26B3" w:rsidRPr="006B26B3">
        <w:rPr>
          <w:i/>
        </w:rPr>
        <w:t>Hong Kong Civil Procedure 2021 Vol 1</w:t>
      </w:r>
      <w:r w:rsidR="006B26B3">
        <w:t>, §22/24/1.</w:t>
      </w:r>
    </w:p>
    <w:p w:rsidR="006B26B3" w:rsidRDefault="006B26B3" w:rsidP="006B26B3">
      <w:pPr>
        <w:pStyle w:val="ListParagraph"/>
        <w:spacing w:line="360" w:lineRule="auto"/>
        <w:ind w:left="0"/>
        <w:jc w:val="both"/>
      </w:pPr>
    </w:p>
    <w:p w:rsidR="000D763C" w:rsidRPr="00BD2FCC" w:rsidRDefault="006B26B3" w:rsidP="00BD2FCC">
      <w:pPr>
        <w:pStyle w:val="ListParagraph"/>
        <w:numPr>
          <w:ilvl w:val="0"/>
          <w:numId w:val="17"/>
        </w:numPr>
        <w:spacing w:line="360" w:lineRule="auto"/>
        <w:ind w:left="0" w:firstLine="0"/>
        <w:jc w:val="both"/>
      </w:pPr>
      <w:r>
        <w:t>O</w:t>
      </w:r>
      <w:r w:rsidR="001515E0">
        <w:t xml:space="preserve">rder </w:t>
      </w:r>
      <w:r>
        <w:t>22 r</w:t>
      </w:r>
      <w:r w:rsidR="001515E0">
        <w:t xml:space="preserve">ule </w:t>
      </w:r>
      <w:r>
        <w:t>24(5)</w:t>
      </w:r>
      <w:r w:rsidR="001515E0">
        <w:t xml:space="preserve"> of the RDC</w:t>
      </w:r>
      <w:r>
        <w:t xml:space="preserve"> stipulates that matters that the Court would take into account in determining what it considers to be “unjust”.  The Court will take into account all the circumstances of the case including rule 24(5)(a)-(d).</w:t>
      </w:r>
    </w:p>
    <w:p w:rsidR="00275BDB" w:rsidRDefault="00275BDB" w:rsidP="00144CA1">
      <w:pPr>
        <w:pStyle w:val="ListParagraph"/>
        <w:spacing w:line="360" w:lineRule="auto"/>
        <w:ind w:left="0"/>
        <w:jc w:val="both"/>
      </w:pPr>
    </w:p>
    <w:p w:rsidR="00275BDB" w:rsidRDefault="006B26B3" w:rsidP="006B26B3">
      <w:pPr>
        <w:pStyle w:val="ListParagraph"/>
        <w:numPr>
          <w:ilvl w:val="0"/>
          <w:numId w:val="17"/>
        </w:numPr>
        <w:spacing w:line="360" w:lineRule="auto"/>
        <w:ind w:left="0" w:firstLine="0"/>
        <w:jc w:val="both"/>
      </w:pPr>
      <w:r>
        <w:t xml:space="preserve">In </w:t>
      </w:r>
      <w:r w:rsidRPr="006B26B3">
        <w:rPr>
          <w:i/>
        </w:rPr>
        <w:t>Arnold Robert L</w:t>
      </w:r>
      <w:r w:rsidR="001515E0">
        <w:rPr>
          <w:i/>
        </w:rPr>
        <w:t>imi</w:t>
      </w:r>
      <w:r w:rsidRPr="006B26B3">
        <w:rPr>
          <w:i/>
        </w:rPr>
        <w:t>t</w:t>
      </w:r>
      <w:r w:rsidR="001515E0">
        <w:rPr>
          <w:i/>
        </w:rPr>
        <w:t>e</w:t>
      </w:r>
      <w:r w:rsidRPr="006B26B3">
        <w:rPr>
          <w:i/>
        </w:rPr>
        <w:t>d v Glorious Motors L</w:t>
      </w:r>
      <w:r w:rsidR="001515E0">
        <w:rPr>
          <w:i/>
        </w:rPr>
        <w:t>imi</w:t>
      </w:r>
      <w:r w:rsidRPr="006B26B3">
        <w:rPr>
          <w:i/>
        </w:rPr>
        <w:t>t</w:t>
      </w:r>
      <w:r w:rsidR="001515E0">
        <w:rPr>
          <w:i/>
        </w:rPr>
        <w:t>e</w:t>
      </w:r>
      <w:r w:rsidRPr="006B26B3">
        <w:rPr>
          <w:i/>
        </w:rPr>
        <w:t>d</w:t>
      </w:r>
      <w:r>
        <w:t xml:space="preserve"> [2019] HKCFI 91 at §12, it was held that for a circumstance to be taken into account as relevant in considering whether it is unjust to make such orders: (a) it ought to relate to the reasonableness or otherwise of the defendant’s non-acceptance of the sanctioned offer</w:t>
      </w:r>
      <w:r w:rsidR="001515E0">
        <w:t>;</w:t>
      </w:r>
      <w:r>
        <w:t xml:space="preserve"> or (b) it suggests that, while the continuation of the proceedings is primarily due to the non-acceptance of </w:t>
      </w:r>
      <w:r w:rsidR="001515E0">
        <w:t xml:space="preserve">the </w:t>
      </w:r>
      <w:r>
        <w:t>sanctioned offer, costs are incurred or increased thereafter due to any unreasonable conduct of the plaintiff.</w:t>
      </w:r>
    </w:p>
    <w:p w:rsidR="00275BDB" w:rsidRDefault="00275BDB" w:rsidP="00144CA1">
      <w:pPr>
        <w:pStyle w:val="ListParagraph"/>
        <w:spacing w:line="360" w:lineRule="auto"/>
        <w:ind w:left="0"/>
        <w:jc w:val="both"/>
      </w:pPr>
    </w:p>
    <w:p w:rsidR="00144CA1" w:rsidRDefault="00275BDB" w:rsidP="001D48BB">
      <w:pPr>
        <w:pStyle w:val="ListParagraph"/>
        <w:numPr>
          <w:ilvl w:val="0"/>
          <w:numId w:val="17"/>
        </w:numPr>
        <w:spacing w:line="360" w:lineRule="auto"/>
        <w:ind w:left="0" w:firstLine="0"/>
        <w:jc w:val="both"/>
      </w:pPr>
      <w:proofErr w:type="spellStart"/>
      <w:r>
        <w:t>Mr</w:t>
      </w:r>
      <w:proofErr w:type="spellEnd"/>
      <w:r>
        <w:t xml:space="preserve"> </w:t>
      </w:r>
      <w:proofErr w:type="spellStart"/>
      <w:r>
        <w:t>Raman</w:t>
      </w:r>
      <w:r w:rsidR="001515E0">
        <w:t>a</w:t>
      </w:r>
      <w:r w:rsidR="000E2A0E">
        <w:t>than</w:t>
      </w:r>
      <w:proofErr w:type="spellEnd"/>
      <w:r>
        <w:t xml:space="preserve"> SC for the defendant (who did not appear at the </w:t>
      </w:r>
      <w:r w:rsidR="00DA3515">
        <w:t xml:space="preserve">original </w:t>
      </w:r>
      <w:r>
        <w:t xml:space="preserve">assessment of damages hearing) acknowledges that once </w:t>
      </w:r>
      <w:r w:rsidR="005804EC">
        <w:t>O</w:t>
      </w:r>
      <w:r w:rsidR="001515E0">
        <w:t xml:space="preserve">rder </w:t>
      </w:r>
      <w:r w:rsidR="005804EC">
        <w:t>22 r</w:t>
      </w:r>
      <w:r w:rsidR="001515E0">
        <w:t xml:space="preserve">ule </w:t>
      </w:r>
      <w:r w:rsidR="005804EC">
        <w:t xml:space="preserve">24 is engaged, after taking into account </w:t>
      </w:r>
      <w:r w:rsidR="00511E23">
        <w:t xml:space="preserve">of </w:t>
      </w:r>
      <w:r w:rsidR="00D71125">
        <w:t>all the</w:t>
      </w:r>
      <w:r w:rsidR="005804EC">
        <w:t xml:space="preserve"> circumstance</w:t>
      </w:r>
      <w:r w:rsidR="00DA3515">
        <w:t>s</w:t>
      </w:r>
      <w:r w:rsidR="005804EC">
        <w:t xml:space="preserve"> of</w:t>
      </w:r>
      <w:r w:rsidR="001515E0">
        <w:t xml:space="preserve"> the</w:t>
      </w:r>
      <w:r w:rsidR="005804EC">
        <w:t xml:space="preserve"> case, unless the </w:t>
      </w:r>
      <w:r w:rsidR="00442036">
        <w:t>C</w:t>
      </w:r>
      <w:r w:rsidR="005804EC">
        <w:t>ourt consider</w:t>
      </w:r>
      <w:r w:rsidR="00D71125">
        <w:t>s</w:t>
      </w:r>
      <w:r w:rsidR="005804EC">
        <w:t xml:space="preserve"> it unjust to do so, it will order </w:t>
      </w:r>
      <w:r w:rsidR="001C2130">
        <w:t>enhanced</w:t>
      </w:r>
      <w:r w:rsidR="005804EC">
        <w:t xml:space="preserve"> interest and/or indemnity cost</w:t>
      </w:r>
      <w:r w:rsidR="00A92602">
        <w:t>s</w:t>
      </w:r>
      <w:r w:rsidR="005804EC">
        <w:t>.  Hence, O</w:t>
      </w:r>
      <w:r w:rsidR="001515E0">
        <w:t xml:space="preserve">rder </w:t>
      </w:r>
      <w:r w:rsidR="005804EC">
        <w:t>22 r</w:t>
      </w:r>
      <w:r w:rsidR="001515E0">
        <w:t xml:space="preserve">ule </w:t>
      </w:r>
      <w:r w:rsidR="005804EC">
        <w:t xml:space="preserve">24 is </w:t>
      </w:r>
      <w:r w:rsidR="00D64B16">
        <w:t>aimed</w:t>
      </w:r>
      <w:r w:rsidR="00961207">
        <w:t xml:space="preserve"> at gen</w:t>
      </w:r>
      <w:r w:rsidR="001C2130">
        <w:t>uine</w:t>
      </w:r>
      <w:r w:rsidR="00961207">
        <w:t xml:space="preserve"> offers</w:t>
      </w:r>
      <w:r w:rsidR="001515E0">
        <w:t xml:space="preserve"> to</w:t>
      </w:r>
      <w:r w:rsidR="00961207">
        <w:t xml:space="preserve"> settle and not some </w:t>
      </w:r>
      <w:r w:rsidR="001515E0">
        <w:t>“</w:t>
      </w:r>
      <w:r w:rsidR="00D64B16">
        <w:t>tactical</w:t>
      </w:r>
      <w:r w:rsidR="000F6377">
        <w:t xml:space="preserve"> ploy</w:t>
      </w:r>
      <w:r w:rsidR="001515E0">
        <w:t>”</w:t>
      </w:r>
      <w:r w:rsidR="000F6377">
        <w:t xml:space="preserve"> </w:t>
      </w:r>
      <w:r w:rsidR="00961207">
        <w:t xml:space="preserve">for </w:t>
      </w:r>
      <w:r w:rsidR="001C2130">
        <w:t xml:space="preserve">the </w:t>
      </w:r>
      <w:r w:rsidR="00961207">
        <w:t>purpose</w:t>
      </w:r>
      <w:r w:rsidR="001C2130">
        <w:t xml:space="preserve"> of </w:t>
      </w:r>
      <w:r w:rsidR="00D64B16">
        <w:t>a</w:t>
      </w:r>
      <w:r w:rsidR="000F6377">
        <w:t>d</w:t>
      </w:r>
      <w:r w:rsidR="00D64B16">
        <w:t>v</w:t>
      </w:r>
      <w:r w:rsidR="000F6377">
        <w:t xml:space="preserve">ancing a </w:t>
      </w:r>
      <w:r w:rsidR="00D64B16">
        <w:t>claim</w:t>
      </w:r>
      <w:r w:rsidR="000F6377">
        <w:t xml:space="preserve"> u</w:t>
      </w:r>
      <w:r w:rsidR="00961207">
        <w:t xml:space="preserve">nder </w:t>
      </w:r>
      <w:r w:rsidR="001C2130">
        <w:t xml:space="preserve">its </w:t>
      </w:r>
      <w:r w:rsidR="00D64B16">
        <w:t xml:space="preserve">umbrella </w:t>
      </w:r>
      <w:r w:rsidR="00961207">
        <w:t>thereafter</w:t>
      </w:r>
      <w:r w:rsidR="001C2130">
        <w:t xml:space="preserve">: see </w:t>
      </w:r>
      <w:r w:rsidR="00D64B16">
        <w:rPr>
          <w:i/>
        </w:rPr>
        <w:t>G</w:t>
      </w:r>
      <w:r w:rsidR="000F6377" w:rsidRPr="000F6377">
        <w:rPr>
          <w:i/>
        </w:rPr>
        <w:t>ill</w:t>
      </w:r>
      <w:r w:rsidR="001C2130" w:rsidRPr="000F6377">
        <w:rPr>
          <w:i/>
        </w:rPr>
        <w:t xml:space="preserve"> </w:t>
      </w:r>
      <w:r w:rsidR="000F6377" w:rsidRPr="000F6377">
        <w:rPr>
          <w:i/>
        </w:rPr>
        <w:t>A</w:t>
      </w:r>
      <w:r w:rsidR="001C2130" w:rsidRPr="000F6377">
        <w:rPr>
          <w:i/>
        </w:rPr>
        <w:t>jm</w:t>
      </w:r>
      <w:r w:rsidR="00D64B16">
        <w:rPr>
          <w:i/>
        </w:rPr>
        <w:t>e</w:t>
      </w:r>
      <w:r w:rsidR="001C2130" w:rsidRPr="000F6377">
        <w:rPr>
          <w:i/>
        </w:rPr>
        <w:t xml:space="preserve">r </w:t>
      </w:r>
      <w:r w:rsidR="000F6377" w:rsidRPr="000F6377">
        <w:rPr>
          <w:i/>
        </w:rPr>
        <w:t>S</w:t>
      </w:r>
      <w:r w:rsidR="001C2130" w:rsidRPr="000F6377">
        <w:rPr>
          <w:i/>
        </w:rPr>
        <w:t>i</w:t>
      </w:r>
      <w:r w:rsidR="000F6377" w:rsidRPr="000F6377">
        <w:rPr>
          <w:i/>
        </w:rPr>
        <w:t>n</w:t>
      </w:r>
      <w:r w:rsidR="001C2130" w:rsidRPr="000F6377">
        <w:rPr>
          <w:i/>
        </w:rPr>
        <w:t>g</w:t>
      </w:r>
      <w:r w:rsidR="000F6377" w:rsidRPr="000F6377">
        <w:rPr>
          <w:i/>
        </w:rPr>
        <w:t xml:space="preserve">h v </w:t>
      </w:r>
      <w:proofErr w:type="spellStart"/>
      <w:r w:rsidR="000F6377" w:rsidRPr="000F6377">
        <w:rPr>
          <w:i/>
        </w:rPr>
        <w:lastRenderedPageBreak/>
        <w:t>Wah</w:t>
      </w:r>
      <w:proofErr w:type="spellEnd"/>
      <w:r w:rsidR="000F6377" w:rsidRPr="000F6377">
        <w:rPr>
          <w:i/>
        </w:rPr>
        <w:t xml:space="preserve"> </w:t>
      </w:r>
      <w:proofErr w:type="spellStart"/>
      <w:r w:rsidR="000F6377" w:rsidRPr="000F6377">
        <w:rPr>
          <w:i/>
        </w:rPr>
        <w:t>Hin</w:t>
      </w:r>
      <w:r w:rsidR="001515E0">
        <w:rPr>
          <w:i/>
        </w:rPr>
        <w:t>g</w:t>
      </w:r>
      <w:proofErr w:type="spellEnd"/>
      <w:r w:rsidR="001515E0">
        <w:rPr>
          <w:i/>
        </w:rPr>
        <w:t xml:space="preserve"> Scaffolding Engineering Ltd and A</w:t>
      </w:r>
      <w:r w:rsidR="000F6377" w:rsidRPr="000F6377">
        <w:rPr>
          <w:i/>
        </w:rPr>
        <w:t>nother</w:t>
      </w:r>
      <w:r w:rsidR="000F6377">
        <w:t xml:space="preserve"> [2014] 1 HKC 495, 13 November </w:t>
      </w:r>
      <w:r w:rsidR="009053C0">
        <w:t xml:space="preserve">2013; (Deputy Judge R Lai).  It is further submitted by </w:t>
      </w:r>
      <w:proofErr w:type="spellStart"/>
      <w:r w:rsidR="00DA3515">
        <w:t>Mr</w:t>
      </w:r>
      <w:proofErr w:type="spellEnd"/>
      <w:r w:rsidR="00DA3515">
        <w:t xml:space="preserve"> </w:t>
      </w:r>
      <w:proofErr w:type="spellStart"/>
      <w:r w:rsidR="00DA3515">
        <w:t>Ramanathan</w:t>
      </w:r>
      <w:proofErr w:type="spellEnd"/>
      <w:r w:rsidR="004A6292">
        <w:t xml:space="preserve"> SC</w:t>
      </w:r>
      <w:r w:rsidR="009053C0">
        <w:t xml:space="preserve"> that it is not </w:t>
      </w:r>
      <w:r w:rsidR="00D64B16">
        <w:t>automatic</w:t>
      </w:r>
      <w:r w:rsidR="009053C0">
        <w:t xml:space="preserve"> that a plaintiff will be entitled to indemnity cost</w:t>
      </w:r>
      <w:r w:rsidR="00A92602">
        <w:t>s</w:t>
      </w:r>
      <w:r w:rsidR="009053C0">
        <w:t xml:space="preserve"> just because he has made a</w:t>
      </w:r>
      <w:r w:rsidR="0001507C">
        <w:t>n O</w:t>
      </w:r>
      <w:r w:rsidR="001515E0">
        <w:t xml:space="preserve">rder </w:t>
      </w:r>
      <w:r w:rsidR="0001507C">
        <w:t>22 r</w:t>
      </w:r>
      <w:r w:rsidR="001515E0">
        <w:t xml:space="preserve">ule </w:t>
      </w:r>
      <w:r w:rsidR="0001507C">
        <w:t xml:space="preserve">24 </w:t>
      </w:r>
      <w:r w:rsidR="00CB709C">
        <w:t>s</w:t>
      </w:r>
      <w:r w:rsidR="0001507C">
        <w:t xml:space="preserve">anctioned </w:t>
      </w:r>
      <w:r w:rsidR="00CB709C">
        <w:t>o</w:t>
      </w:r>
      <w:r w:rsidR="0001507C">
        <w:t>ffer and receive</w:t>
      </w:r>
      <w:r w:rsidR="00D64B16">
        <w:t>s</w:t>
      </w:r>
      <w:r w:rsidR="0001507C">
        <w:t xml:space="preserve"> a judgment </w:t>
      </w:r>
      <w:r w:rsidR="001515E0">
        <w:t>which is better than the defendant’s</w:t>
      </w:r>
      <w:r w:rsidR="0001507C">
        <w:t xml:space="preserve"> offer. </w:t>
      </w:r>
      <w:r w:rsidR="00337C38">
        <w:t xml:space="preserve"> Costs are, </w:t>
      </w:r>
      <w:r w:rsidR="00D64B16">
        <w:t>as</w:t>
      </w:r>
      <w:r w:rsidR="00337C38">
        <w:t xml:space="preserve"> </w:t>
      </w:r>
      <w:r w:rsidR="001515E0">
        <w:t>always, remain</w:t>
      </w:r>
      <w:r w:rsidR="0001507C">
        <w:t xml:space="preserve"> in the general </w:t>
      </w:r>
      <w:r w:rsidR="00337C38">
        <w:t>discretion of the Court.</w:t>
      </w:r>
    </w:p>
    <w:p w:rsidR="00BC643B" w:rsidRDefault="00BC643B" w:rsidP="00BC643B">
      <w:pPr>
        <w:pStyle w:val="ListParagraph"/>
        <w:spacing w:line="360" w:lineRule="auto"/>
        <w:ind w:left="0"/>
        <w:jc w:val="both"/>
      </w:pPr>
    </w:p>
    <w:p w:rsidR="00D64B16" w:rsidRDefault="00D71125" w:rsidP="001D48BB">
      <w:pPr>
        <w:pStyle w:val="ListParagraph"/>
        <w:numPr>
          <w:ilvl w:val="0"/>
          <w:numId w:val="17"/>
        </w:numPr>
        <w:spacing w:line="360" w:lineRule="auto"/>
        <w:ind w:left="0" w:firstLine="0"/>
        <w:jc w:val="both"/>
      </w:pPr>
      <w:r>
        <w:t xml:space="preserve">In undertaking this evaluation exercise, the Court is entitled to and should assess the conduct of </w:t>
      </w:r>
      <w:r w:rsidR="00472348">
        <w:t xml:space="preserve">the </w:t>
      </w:r>
      <w:r>
        <w:t xml:space="preserve">defendant over the course of the litigation and the reasonableness or otherwise of the defendant’s non-acceptance of the plaintiff’s </w:t>
      </w:r>
      <w:r w:rsidR="001515E0">
        <w:t>s</w:t>
      </w:r>
      <w:r w:rsidR="00873EF5">
        <w:t xml:space="preserve">anctioned </w:t>
      </w:r>
      <w:r w:rsidR="001515E0">
        <w:t>o</w:t>
      </w:r>
      <w:r w:rsidR="00873EF5">
        <w:t>ffer</w:t>
      </w:r>
      <w:r>
        <w:t xml:space="preserve">: see </w:t>
      </w:r>
      <w:proofErr w:type="spellStart"/>
      <w:r w:rsidRPr="00472348">
        <w:rPr>
          <w:i/>
        </w:rPr>
        <w:t>Wah</w:t>
      </w:r>
      <w:proofErr w:type="spellEnd"/>
      <w:r w:rsidRPr="00472348">
        <w:rPr>
          <w:i/>
        </w:rPr>
        <w:t xml:space="preserve"> </w:t>
      </w:r>
      <w:proofErr w:type="spellStart"/>
      <w:r w:rsidRPr="00472348">
        <w:rPr>
          <w:i/>
        </w:rPr>
        <w:t>Lun</w:t>
      </w:r>
      <w:proofErr w:type="spellEnd"/>
      <w:r w:rsidRPr="00472348">
        <w:rPr>
          <w:i/>
        </w:rPr>
        <w:t xml:space="preserve"> International </w:t>
      </w:r>
      <w:r w:rsidR="00D81037" w:rsidRPr="00472348">
        <w:rPr>
          <w:i/>
        </w:rPr>
        <w:t xml:space="preserve">Development Limited v Lau Chiu </w:t>
      </w:r>
      <w:proofErr w:type="spellStart"/>
      <w:r w:rsidR="00D81037" w:rsidRPr="00472348">
        <w:rPr>
          <w:i/>
        </w:rPr>
        <w:t>Shing</w:t>
      </w:r>
      <w:proofErr w:type="spellEnd"/>
      <w:r w:rsidR="00D81037">
        <w:t xml:space="preserve"> [2021]</w:t>
      </w:r>
      <w:r w:rsidR="001515E0">
        <w:t xml:space="preserve"> HKCFI 1976, 8 July 2021, </w:t>
      </w:r>
      <w:r w:rsidR="00D81037">
        <w:t>Deputy High Court Jud</w:t>
      </w:r>
      <w:r w:rsidR="001515E0">
        <w:t>ge William Wong SC</w:t>
      </w:r>
      <w:r w:rsidR="00D81037">
        <w:t>.</w:t>
      </w:r>
    </w:p>
    <w:p w:rsidR="00DA3515" w:rsidRDefault="00DA3515" w:rsidP="00DA3515">
      <w:pPr>
        <w:pStyle w:val="ListParagraph"/>
      </w:pPr>
    </w:p>
    <w:p w:rsidR="00DA3515" w:rsidRDefault="00DA3515" w:rsidP="001D48BB">
      <w:pPr>
        <w:pStyle w:val="ListParagraph"/>
        <w:numPr>
          <w:ilvl w:val="0"/>
          <w:numId w:val="17"/>
        </w:numPr>
        <w:spacing w:line="360" w:lineRule="auto"/>
        <w:ind w:left="0" w:firstLine="0"/>
        <w:jc w:val="both"/>
      </w:pPr>
      <w:r>
        <w:t>I have no problem in ac</w:t>
      </w:r>
      <w:r w:rsidR="000E2A0E">
        <w:t>cepting the above submissions made by</w:t>
      </w:r>
      <w:r>
        <w:t xml:space="preserve"> the defendant’s counsel.</w:t>
      </w:r>
    </w:p>
    <w:p w:rsidR="008D6758" w:rsidRDefault="008D6758" w:rsidP="008D6758">
      <w:pPr>
        <w:spacing w:line="360" w:lineRule="auto"/>
        <w:jc w:val="both"/>
      </w:pPr>
    </w:p>
    <w:p w:rsidR="003A2400" w:rsidRPr="006C4ABF" w:rsidRDefault="00BC643B" w:rsidP="008D6758">
      <w:pPr>
        <w:spacing w:line="360" w:lineRule="auto"/>
        <w:jc w:val="both"/>
        <w:rPr>
          <w:i/>
        </w:rPr>
      </w:pPr>
      <w:r>
        <w:rPr>
          <w:i/>
        </w:rPr>
        <w:t>This Court’s</w:t>
      </w:r>
      <w:r w:rsidR="00D81037" w:rsidRPr="006C4ABF">
        <w:rPr>
          <w:i/>
        </w:rPr>
        <w:t xml:space="preserve"> </w:t>
      </w:r>
      <w:r w:rsidR="001515E0">
        <w:rPr>
          <w:i/>
        </w:rPr>
        <w:t>f</w:t>
      </w:r>
      <w:r w:rsidR="00D81037" w:rsidRPr="006C4ABF">
        <w:rPr>
          <w:i/>
        </w:rPr>
        <w:t>indings</w:t>
      </w:r>
    </w:p>
    <w:p w:rsidR="003A2400" w:rsidRDefault="003A2400" w:rsidP="008D6758">
      <w:pPr>
        <w:spacing w:line="360" w:lineRule="auto"/>
        <w:jc w:val="both"/>
      </w:pPr>
    </w:p>
    <w:p w:rsidR="006C4ABF" w:rsidRPr="006C4ABF" w:rsidRDefault="00591257" w:rsidP="006C4ABF">
      <w:pPr>
        <w:pStyle w:val="ListParagraph"/>
        <w:numPr>
          <w:ilvl w:val="0"/>
          <w:numId w:val="24"/>
        </w:numPr>
        <w:spacing w:line="360" w:lineRule="auto"/>
        <w:ind w:hanging="720"/>
        <w:jc w:val="both"/>
        <w:rPr>
          <w:i/>
        </w:rPr>
      </w:pPr>
      <w:r>
        <w:rPr>
          <w:i/>
        </w:rPr>
        <w:t>Whether O</w:t>
      </w:r>
      <w:r w:rsidR="001515E0">
        <w:rPr>
          <w:i/>
        </w:rPr>
        <w:t xml:space="preserve">rder </w:t>
      </w:r>
      <w:r>
        <w:rPr>
          <w:i/>
        </w:rPr>
        <w:t>22 r</w:t>
      </w:r>
      <w:r w:rsidR="001515E0">
        <w:rPr>
          <w:i/>
        </w:rPr>
        <w:t xml:space="preserve">ule </w:t>
      </w:r>
      <w:r>
        <w:rPr>
          <w:i/>
        </w:rPr>
        <w:t>24 engages</w:t>
      </w:r>
      <w:r w:rsidR="006C4ABF" w:rsidRPr="006C4ABF">
        <w:rPr>
          <w:i/>
        </w:rPr>
        <w:t>?</w:t>
      </w:r>
    </w:p>
    <w:p w:rsidR="006C4ABF" w:rsidRDefault="006C4ABF" w:rsidP="006C4ABF">
      <w:pPr>
        <w:spacing w:line="360" w:lineRule="auto"/>
        <w:jc w:val="both"/>
      </w:pPr>
    </w:p>
    <w:p w:rsidR="003A2400" w:rsidRDefault="006C4ABF" w:rsidP="006C4ABF">
      <w:pPr>
        <w:pStyle w:val="ListParagraph"/>
        <w:numPr>
          <w:ilvl w:val="0"/>
          <w:numId w:val="17"/>
        </w:numPr>
        <w:spacing w:line="360" w:lineRule="auto"/>
        <w:ind w:left="0" w:firstLine="0"/>
        <w:jc w:val="both"/>
      </w:pPr>
      <w:r>
        <w:t>In my judgment, there can be no dispute that the plaintiff’s 1</w:t>
      </w:r>
      <w:r w:rsidRPr="006C4ABF">
        <w:rPr>
          <w:vertAlign w:val="superscript"/>
        </w:rPr>
        <w:t>st</w:t>
      </w:r>
      <w:r>
        <w:t xml:space="preserve"> and 2</w:t>
      </w:r>
      <w:r w:rsidRPr="006C4ABF">
        <w:rPr>
          <w:vertAlign w:val="superscript"/>
        </w:rPr>
        <w:t>nd</w:t>
      </w:r>
      <w:r>
        <w:t xml:space="preserve"> </w:t>
      </w:r>
      <w:r w:rsidR="00DA3515">
        <w:t>s</w:t>
      </w:r>
      <w:r>
        <w:t xml:space="preserve">anctioned </w:t>
      </w:r>
      <w:r w:rsidR="00DA3515">
        <w:t>o</w:t>
      </w:r>
      <w:r>
        <w:t xml:space="preserve">ffers are </w:t>
      </w:r>
      <w:r w:rsidR="00BC643B">
        <w:t xml:space="preserve">valid </w:t>
      </w:r>
      <w:r w:rsidR="008920E9">
        <w:t xml:space="preserve">offers </w:t>
      </w:r>
      <w:r w:rsidR="00DC08E9">
        <w:t xml:space="preserve">and </w:t>
      </w:r>
      <w:r w:rsidR="00BC643B">
        <w:t xml:space="preserve">that the defendant was </w:t>
      </w:r>
      <w:r w:rsidR="00DA3515">
        <w:t>found</w:t>
      </w:r>
      <w:r w:rsidR="00BC643B">
        <w:t xml:space="preserve"> liable to pay more</w:t>
      </w:r>
      <w:r w:rsidR="00DC08E9">
        <w:t xml:space="preserve"> damages than those contained</w:t>
      </w:r>
      <w:r w:rsidR="0079039F">
        <w:t xml:space="preserve"> in</w:t>
      </w:r>
      <w:r w:rsidR="00DC08E9">
        <w:t xml:space="preserve"> both of the </w:t>
      </w:r>
      <w:r w:rsidR="00DA3515">
        <w:t>s</w:t>
      </w:r>
      <w:r w:rsidR="00873EF5">
        <w:t xml:space="preserve">anctioned </w:t>
      </w:r>
      <w:r w:rsidR="00DA3515">
        <w:t>o</w:t>
      </w:r>
      <w:r w:rsidR="00873EF5">
        <w:t>ffer</w:t>
      </w:r>
      <w:r w:rsidR="00DC08E9">
        <w:t>s.  Hence, in my judgment, O</w:t>
      </w:r>
      <w:r w:rsidR="004A6292">
        <w:t xml:space="preserve">rder </w:t>
      </w:r>
      <w:r w:rsidR="00DC08E9">
        <w:t>22 r</w:t>
      </w:r>
      <w:r w:rsidR="004A6292">
        <w:t xml:space="preserve">ule </w:t>
      </w:r>
      <w:r w:rsidR="00DC08E9">
        <w:t xml:space="preserve">24 </w:t>
      </w:r>
      <w:r w:rsidR="00DA3515">
        <w:t>is engaged.</w:t>
      </w:r>
      <w:r w:rsidR="00DC08E9">
        <w:t xml:space="preserve"> </w:t>
      </w:r>
      <w:r w:rsidR="00DA3515">
        <w:t>T</w:t>
      </w:r>
      <w:r w:rsidR="00DC08E9">
        <w:t xml:space="preserve">his is not </w:t>
      </w:r>
      <w:r w:rsidR="00DA3515">
        <w:t>a matter which is</w:t>
      </w:r>
      <w:r w:rsidR="00DC08E9">
        <w:t xml:space="preserve"> dispute</w:t>
      </w:r>
      <w:r w:rsidR="00DA3515">
        <w:t>d</w:t>
      </w:r>
      <w:r w:rsidR="00DC08E9">
        <w:t xml:space="preserve"> by the defendant</w:t>
      </w:r>
      <w:r w:rsidR="0079039F">
        <w:t>.</w:t>
      </w:r>
    </w:p>
    <w:p w:rsidR="00472348" w:rsidRDefault="00472348" w:rsidP="00472348">
      <w:pPr>
        <w:pStyle w:val="ListParagraph"/>
        <w:spacing w:line="360" w:lineRule="auto"/>
        <w:ind w:left="0"/>
        <w:jc w:val="both"/>
      </w:pPr>
    </w:p>
    <w:p w:rsidR="0079039F" w:rsidRDefault="0079039F" w:rsidP="006C4ABF">
      <w:pPr>
        <w:pStyle w:val="ListParagraph"/>
        <w:numPr>
          <w:ilvl w:val="0"/>
          <w:numId w:val="17"/>
        </w:numPr>
        <w:spacing w:line="360" w:lineRule="auto"/>
        <w:ind w:left="0" w:firstLine="0"/>
        <w:jc w:val="both"/>
      </w:pPr>
      <w:r>
        <w:lastRenderedPageBreak/>
        <w:t>O</w:t>
      </w:r>
      <w:r w:rsidR="001515E0">
        <w:t xml:space="preserve">rder </w:t>
      </w:r>
      <w:r>
        <w:t>22 r</w:t>
      </w:r>
      <w:r w:rsidR="001515E0">
        <w:t xml:space="preserve">ule </w:t>
      </w:r>
      <w:r>
        <w:t>24(4) provides that where r</w:t>
      </w:r>
      <w:r w:rsidR="001515E0">
        <w:t xml:space="preserve">ule </w:t>
      </w:r>
      <w:r>
        <w:t xml:space="preserve">24 applies, the Court shall make the orders </w:t>
      </w:r>
      <w:r w:rsidR="00387F13">
        <w:t xml:space="preserve">referred </w:t>
      </w:r>
      <w:r>
        <w:t>to in r</w:t>
      </w:r>
      <w:r w:rsidR="001515E0">
        <w:t xml:space="preserve">ule </w:t>
      </w:r>
      <w:r>
        <w:t>24(2) (</w:t>
      </w:r>
      <w:proofErr w:type="spellStart"/>
      <w:r>
        <w:t>ie</w:t>
      </w:r>
      <w:proofErr w:type="spellEnd"/>
      <w:r>
        <w:t xml:space="preserve"> enhanced interest) and </w:t>
      </w:r>
      <w:r w:rsidR="001515E0">
        <w:t xml:space="preserve">rule </w:t>
      </w:r>
      <w:r w:rsidR="00591257">
        <w:t>24</w:t>
      </w:r>
      <w:r>
        <w:t>(3)</w:t>
      </w:r>
      <w:r w:rsidR="00387F13">
        <w:t> </w:t>
      </w:r>
      <w:r>
        <w:t>(</w:t>
      </w:r>
      <w:proofErr w:type="spellStart"/>
      <w:r>
        <w:t>ie</w:t>
      </w:r>
      <w:proofErr w:type="spellEnd"/>
      <w:r w:rsidR="00387F13">
        <w:t> </w:t>
      </w:r>
      <w:r>
        <w:t xml:space="preserve">indemnity costs) unless </w:t>
      </w:r>
      <w:r w:rsidR="00591257">
        <w:t>“</w:t>
      </w:r>
      <w:r>
        <w:t>it considers it unjust to do so</w:t>
      </w:r>
      <w:r w:rsidR="00591257">
        <w:t>”</w:t>
      </w:r>
      <w:r w:rsidR="00525B9E">
        <w:t>.</w:t>
      </w:r>
    </w:p>
    <w:p w:rsidR="00472348" w:rsidRDefault="00472348" w:rsidP="00472348">
      <w:pPr>
        <w:pStyle w:val="ListParagraph"/>
        <w:spacing w:line="360" w:lineRule="auto"/>
        <w:ind w:left="0"/>
        <w:jc w:val="both"/>
      </w:pPr>
    </w:p>
    <w:p w:rsidR="00525B9E" w:rsidRDefault="00525B9E" w:rsidP="00525B9E">
      <w:pPr>
        <w:pStyle w:val="ListParagraph"/>
        <w:numPr>
          <w:ilvl w:val="0"/>
          <w:numId w:val="17"/>
        </w:numPr>
        <w:spacing w:line="360" w:lineRule="auto"/>
        <w:ind w:left="0" w:firstLine="0"/>
        <w:jc w:val="both"/>
      </w:pPr>
      <w:r>
        <w:t xml:space="preserve">Given the award made by this </w:t>
      </w:r>
      <w:r w:rsidR="00A92602">
        <w:t>C</w:t>
      </w:r>
      <w:r>
        <w:t>ourt at the assessment of damages</w:t>
      </w:r>
      <w:r w:rsidR="00387F13">
        <w:t xml:space="preserve"> </w:t>
      </w:r>
      <w:r>
        <w:t>(at HK$991,160</w:t>
      </w:r>
      <w:r w:rsidR="00591257">
        <w:t xml:space="preserve"> plus interest</w:t>
      </w:r>
      <w:r>
        <w:t>) is more than double than the plaintiff’s 1</w:t>
      </w:r>
      <w:r w:rsidRPr="00525B9E">
        <w:rPr>
          <w:vertAlign w:val="superscript"/>
        </w:rPr>
        <w:t>st</w:t>
      </w:r>
      <w:r>
        <w:t xml:space="preserve"> </w:t>
      </w:r>
      <w:r w:rsidR="009553F0">
        <w:t>s</w:t>
      </w:r>
      <w:r w:rsidR="00873EF5">
        <w:t xml:space="preserve">anctioned </w:t>
      </w:r>
      <w:r w:rsidR="009553F0">
        <w:t>o</w:t>
      </w:r>
      <w:r w:rsidR="00873EF5">
        <w:t>ffer</w:t>
      </w:r>
      <w:r>
        <w:t xml:space="preserve"> at HK$500,000 (which </w:t>
      </w:r>
      <w:r w:rsidR="00472348">
        <w:t xml:space="preserve">is </w:t>
      </w:r>
      <w:r>
        <w:t xml:space="preserve">inclusive </w:t>
      </w:r>
      <w:r w:rsidR="00591257">
        <w:t xml:space="preserve">of </w:t>
      </w:r>
      <w:r>
        <w:t>interest)</w:t>
      </w:r>
      <w:r w:rsidR="00472348">
        <w:t xml:space="preserve"> or the 2</w:t>
      </w:r>
      <w:r w:rsidR="00472348" w:rsidRPr="00472348">
        <w:rPr>
          <w:vertAlign w:val="superscript"/>
        </w:rPr>
        <w:t>nd</w:t>
      </w:r>
      <w:r w:rsidR="00472348">
        <w:t xml:space="preserve"> </w:t>
      </w:r>
      <w:r w:rsidR="009553F0">
        <w:t>s</w:t>
      </w:r>
      <w:r w:rsidR="00873EF5">
        <w:t xml:space="preserve">anctioned </w:t>
      </w:r>
      <w:r w:rsidR="009553F0">
        <w:t>o</w:t>
      </w:r>
      <w:r w:rsidR="00873EF5">
        <w:t>ffer</w:t>
      </w:r>
      <w:r w:rsidR="00472348">
        <w:t xml:space="preserve"> </w:t>
      </w:r>
      <w:r w:rsidR="00387F13">
        <w:t xml:space="preserve">at HK$415,000 (which is </w:t>
      </w:r>
      <w:r w:rsidR="009553F0">
        <w:t xml:space="preserve">also </w:t>
      </w:r>
      <w:r w:rsidR="00387F13">
        <w:t xml:space="preserve">inclusive </w:t>
      </w:r>
      <w:r w:rsidR="00591257">
        <w:t xml:space="preserve">of </w:t>
      </w:r>
      <w:r w:rsidR="00387F13">
        <w:t>interest)</w:t>
      </w:r>
      <w:r w:rsidR="009553F0">
        <w:t>, I fi</w:t>
      </w:r>
      <w:r w:rsidR="00F05F15">
        <w:t>nd it surprising that the defendant would ch</w:t>
      </w:r>
      <w:r w:rsidR="001515E0">
        <w:t>o</w:t>
      </w:r>
      <w:r w:rsidR="00F05F15">
        <w:t xml:space="preserve">ose to oppose the present application.  </w:t>
      </w:r>
    </w:p>
    <w:p w:rsidR="00F05F15" w:rsidRDefault="00F05F15" w:rsidP="00F05F15">
      <w:pPr>
        <w:pStyle w:val="ListParagraph"/>
        <w:spacing w:line="360" w:lineRule="auto"/>
        <w:ind w:left="360" w:hanging="360"/>
      </w:pPr>
    </w:p>
    <w:p w:rsidR="00F05F15" w:rsidRPr="006C4ABF" w:rsidRDefault="00F05F15" w:rsidP="00F05F15">
      <w:pPr>
        <w:pStyle w:val="ListParagraph"/>
        <w:keepNext/>
        <w:keepLines/>
        <w:widowControl w:val="0"/>
        <w:numPr>
          <w:ilvl w:val="0"/>
          <w:numId w:val="24"/>
        </w:numPr>
        <w:tabs>
          <w:tab w:val="clear" w:pos="1440"/>
          <w:tab w:val="clear" w:pos="9072"/>
        </w:tabs>
        <w:spacing w:line="360" w:lineRule="auto"/>
        <w:ind w:hanging="720"/>
        <w:jc w:val="both"/>
        <w:rPr>
          <w:i/>
        </w:rPr>
      </w:pPr>
      <w:r w:rsidRPr="006C4ABF">
        <w:rPr>
          <w:i/>
        </w:rPr>
        <w:t xml:space="preserve">Whether </w:t>
      </w:r>
      <w:r>
        <w:rPr>
          <w:i/>
        </w:rPr>
        <w:t xml:space="preserve">there is any </w:t>
      </w:r>
      <w:r w:rsidR="00A45585">
        <w:rPr>
          <w:i/>
        </w:rPr>
        <w:t>injustice</w:t>
      </w:r>
      <w:r>
        <w:rPr>
          <w:i/>
        </w:rPr>
        <w:t xml:space="preserve"> </w:t>
      </w:r>
      <w:r w:rsidR="009553F0">
        <w:rPr>
          <w:i/>
        </w:rPr>
        <w:t>caused</w:t>
      </w:r>
      <w:r>
        <w:rPr>
          <w:i/>
        </w:rPr>
        <w:t xml:space="preserve"> to the defendant</w:t>
      </w:r>
      <w:r w:rsidRPr="006C4ABF">
        <w:rPr>
          <w:i/>
        </w:rPr>
        <w:t>?</w:t>
      </w:r>
    </w:p>
    <w:p w:rsidR="00F05F15" w:rsidRDefault="00F05F15" w:rsidP="00F05F15">
      <w:pPr>
        <w:pStyle w:val="ListParagraph"/>
        <w:spacing w:line="360" w:lineRule="auto"/>
        <w:ind w:left="360" w:hanging="360"/>
      </w:pPr>
    </w:p>
    <w:p w:rsidR="009553F0" w:rsidRDefault="00F05F15" w:rsidP="00525B9E">
      <w:pPr>
        <w:pStyle w:val="ListParagraph"/>
        <w:numPr>
          <w:ilvl w:val="0"/>
          <w:numId w:val="17"/>
        </w:numPr>
        <w:spacing w:line="360" w:lineRule="auto"/>
        <w:ind w:left="0" w:firstLine="0"/>
        <w:jc w:val="both"/>
      </w:pPr>
      <w:r>
        <w:t xml:space="preserve">In the defendant’s solicitor’s affirmation filed </w:t>
      </w:r>
      <w:r w:rsidR="00A45585">
        <w:t>in</w:t>
      </w:r>
      <w:r w:rsidR="00276D60">
        <w:t xml:space="preserve"> support</w:t>
      </w:r>
      <w:r w:rsidR="00A45585">
        <w:t xml:space="preserve"> of</w:t>
      </w:r>
      <w:r w:rsidR="00276D60">
        <w:t xml:space="preserve"> the opposition to the plaintiff’s present application, </w:t>
      </w:r>
      <w:r w:rsidR="009553F0">
        <w:t xml:space="preserve">it </w:t>
      </w:r>
      <w:r w:rsidR="00A45585">
        <w:t>h</w:t>
      </w:r>
      <w:r w:rsidR="00276D60">
        <w:t xml:space="preserve">as </w:t>
      </w:r>
      <w:r w:rsidR="00A45585">
        <w:t>been s</w:t>
      </w:r>
      <w:r w:rsidR="009553F0">
        <w:t>tate</w:t>
      </w:r>
      <w:r w:rsidR="00A45585">
        <w:t>d that the 2</w:t>
      </w:r>
      <w:r w:rsidR="00A45585" w:rsidRPr="00A45585">
        <w:rPr>
          <w:vertAlign w:val="superscript"/>
        </w:rPr>
        <w:t>nd</w:t>
      </w:r>
      <w:r w:rsidR="00A45585">
        <w:t xml:space="preserve"> </w:t>
      </w:r>
      <w:r w:rsidR="009553F0">
        <w:t>s</w:t>
      </w:r>
      <w:r w:rsidR="00873EF5">
        <w:t xml:space="preserve">anctioned </w:t>
      </w:r>
      <w:r w:rsidR="009553F0">
        <w:t>o</w:t>
      </w:r>
      <w:r w:rsidR="00873EF5">
        <w:t>ffer</w:t>
      </w:r>
      <w:r w:rsidR="00A45585">
        <w:t xml:space="preserve"> made by the plaintiff on 23 June 2020 at HK$415,000, which was </w:t>
      </w:r>
      <w:r w:rsidR="00873EF5">
        <w:t>mere</w:t>
      </w:r>
      <w:r w:rsidR="00E41003">
        <w:t>ly</w:t>
      </w:r>
      <w:r w:rsidR="00A45585">
        <w:t xml:space="preserve"> HK$5,000 more than</w:t>
      </w:r>
      <w:r w:rsidR="0090700C">
        <w:t xml:space="preserve"> the last </w:t>
      </w:r>
      <w:r w:rsidR="009553F0">
        <w:t>s</w:t>
      </w:r>
      <w:r w:rsidR="00873EF5">
        <w:t xml:space="preserve">anctioned </w:t>
      </w:r>
      <w:r w:rsidR="009553F0">
        <w:t>p</w:t>
      </w:r>
      <w:r w:rsidR="00873EF5">
        <w:t>ayment</w:t>
      </w:r>
      <w:r w:rsidR="0090700C">
        <w:t xml:space="preserve"> made by the defendant on 12 December 2018 (</w:t>
      </w:r>
      <w:r w:rsidR="00E41003">
        <w:t>and was r</w:t>
      </w:r>
      <w:r w:rsidR="0090700C">
        <w:t>e-opened by letter on 4</w:t>
      </w:r>
      <w:r w:rsidR="00E41003">
        <w:t> </w:t>
      </w:r>
      <w:r w:rsidR="0090700C">
        <w:t>October 2019 but with no order as to cost</w:t>
      </w:r>
      <w:r w:rsidR="009553F0">
        <w:t>s</w:t>
      </w:r>
      <w:r w:rsidR="0090700C">
        <w:t xml:space="preserve"> after 9 January 2019), was a tactical move/ploy made by the plaintiff.  </w:t>
      </w:r>
    </w:p>
    <w:p w:rsidR="001515E0" w:rsidRDefault="001515E0" w:rsidP="001515E0">
      <w:pPr>
        <w:pStyle w:val="ListParagraph"/>
        <w:spacing w:line="360" w:lineRule="auto"/>
        <w:ind w:left="0"/>
        <w:jc w:val="both"/>
      </w:pPr>
    </w:p>
    <w:p w:rsidR="00F05F15" w:rsidRDefault="0090700C" w:rsidP="00525B9E">
      <w:pPr>
        <w:pStyle w:val="ListParagraph"/>
        <w:numPr>
          <w:ilvl w:val="0"/>
          <w:numId w:val="17"/>
        </w:numPr>
        <w:spacing w:line="360" w:lineRule="auto"/>
        <w:ind w:left="0" w:firstLine="0"/>
        <w:jc w:val="both"/>
      </w:pPr>
      <w:proofErr w:type="spellStart"/>
      <w:r>
        <w:t>Mr</w:t>
      </w:r>
      <w:proofErr w:type="spellEnd"/>
      <w:r>
        <w:t xml:space="preserve"> </w:t>
      </w:r>
      <w:proofErr w:type="spellStart"/>
      <w:r>
        <w:t>Raman</w:t>
      </w:r>
      <w:r w:rsidR="00AC6927">
        <w:t>athan</w:t>
      </w:r>
      <w:proofErr w:type="spellEnd"/>
      <w:r w:rsidR="00AC6927">
        <w:t xml:space="preserve"> SC in his written s</w:t>
      </w:r>
      <w:r>
        <w:t>ubmission s</w:t>
      </w:r>
      <w:r w:rsidR="00AC6927">
        <w:t>tated</w:t>
      </w:r>
      <w:r>
        <w:t xml:space="preserve"> that all along the defendant</w:t>
      </w:r>
      <w:r w:rsidR="000D52B0">
        <w:t xml:space="preserve"> had</w:t>
      </w:r>
      <w:r>
        <w:t xml:space="preserve"> acted </w:t>
      </w:r>
      <w:r w:rsidR="00AC6927">
        <w:t>reasonably</w:t>
      </w:r>
      <w:r w:rsidR="000D52B0">
        <w:t xml:space="preserve"> in making the 4</w:t>
      </w:r>
      <w:r w:rsidR="000D52B0" w:rsidRPr="000D52B0">
        <w:rPr>
          <w:vertAlign w:val="superscript"/>
        </w:rPr>
        <w:t>th</w:t>
      </w:r>
      <w:r w:rsidR="000D52B0">
        <w:t xml:space="preserve"> </w:t>
      </w:r>
      <w:r w:rsidR="00AC6927">
        <w:t>s</w:t>
      </w:r>
      <w:r w:rsidR="000D52B0">
        <w:t xml:space="preserve">anctioned </w:t>
      </w:r>
      <w:r w:rsidR="00AC6927">
        <w:t>p</w:t>
      </w:r>
      <w:r w:rsidR="000D52B0">
        <w:t>ayment and had not in any</w:t>
      </w:r>
      <w:r w:rsidR="00591257">
        <w:t xml:space="preserve"> </w:t>
      </w:r>
      <w:r w:rsidR="000D52B0">
        <w:t>way dragged its feet in try</w:t>
      </w:r>
      <w:r w:rsidR="001515E0">
        <w:t>ing</w:t>
      </w:r>
      <w:r w:rsidR="000D52B0">
        <w:t xml:space="preserve"> to achieve an amicable settlement of the claim </w:t>
      </w:r>
      <w:r w:rsidR="00AB4792">
        <w:t>without having to resort to trial.</w:t>
      </w:r>
    </w:p>
    <w:p w:rsidR="00251620" w:rsidRDefault="00251620" w:rsidP="00251620">
      <w:pPr>
        <w:pStyle w:val="ListParagraph"/>
        <w:spacing w:line="360" w:lineRule="auto"/>
        <w:ind w:left="0"/>
        <w:jc w:val="both"/>
      </w:pPr>
    </w:p>
    <w:p w:rsidR="00AB4792" w:rsidRDefault="00AB4792" w:rsidP="00525B9E">
      <w:pPr>
        <w:pStyle w:val="ListParagraph"/>
        <w:numPr>
          <w:ilvl w:val="0"/>
          <w:numId w:val="17"/>
        </w:numPr>
        <w:spacing w:line="360" w:lineRule="auto"/>
        <w:ind w:left="0" w:firstLine="0"/>
        <w:jc w:val="both"/>
      </w:pPr>
      <w:r>
        <w:t xml:space="preserve">He submitted that when the joint </w:t>
      </w:r>
      <w:proofErr w:type="spellStart"/>
      <w:r>
        <w:t>orthopaedic</w:t>
      </w:r>
      <w:proofErr w:type="spellEnd"/>
      <w:r>
        <w:t xml:space="preserve"> experts’ report was made </w:t>
      </w:r>
      <w:r w:rsidR="00AC6927">
        <w:t xml:space="preserve">available to the parties </w:t>
      </w:r>
      <w:r>
        <w:t xml:space="preserve">on 30 April 2019, the defendant had reconsidered its position and sought advice </w:t>
      </w:r>
      <w:r w:rsidR="00252C50">
        <w:t xml:space="preserve">as to </w:t>
      </w:r>
      <w:r>
        <w:t xml:space="preserve">whether the </w:t>
      </w:r>
      <w:r w:rsidR="00AC6927">
        <w:t>s</w:t>
      </w:r>
      <w:r w:rsidR="00252C50">
        <w:t xml:space="preserve">anctioned </w:t>
      </w:r>
      <w:r w:rsidR="00AC6927">
        <w:lastRenderedPageBreak/>
        <w:t>p</w:t>
      </w:r>
      <w:r w:rsidR="00252C50">
        <w:t xml:space="preserve">ayment </w:t>
      </w:r>
      <w:r>
        <w:t xml:space="preserve">needed to be topped-up.  Hence, according to the defendant, </w:t>
      </w:r>
      <w:r w:rsidR="00251620">
        <w:t xml:space="preserve">the lapsed </w:t>
      </w:r>
      <w:r w:rsidR="00AC6927">
        <w:t>s</w:t>
      </w:r>
      <w:r w:rsidR="00251620">
        <w:t xml:space="preserve">anctioned </w:t>
      </w:r>
      <w:r w:rsidR="00AC6927">
        <w:t xml:space="preserve">payment </w:t>
      </w:r>
      <w:r w:rsidR="00251620">
        <w:t xml:space="preserve">made in December 2018 was revived on 4 October 2019 “in a genuine attempt” to effect </w:t>
      </w:r>
      <w:r w:rsidR="00252C50">
        <w:t>a</w:t>
      </w:r>
      <w:r w:rsidR="00251620">
        <w:t xml:space="preserve"> settlement with the plainti</w:t>
      </w:r>
      <w:r w:rsidR="00AC6927">
        <w:t>ff.  The sanctioned p</w:t>
      </w:r>
      <w:r w:rsidR="00251620">
        <w:t xml:space="preserve">ayment was made in the light of the joint </w:t>
      </w:r>
      <w:proofErr w:type="spellStart"/>
      <w:r w:rsidR="00251620">
        <w:t>orthopaedic</w:t>
      </w:r>
      <w:proofErr w:type="spellEnd"/>
      <w:r w:rsidR="00251620">
        <w:t xml:space="preserve"> experts’ evidence which concluded that the plaintiff could return to her pre-accident work</w:t>
      </w:r>
      <w:r w:rsidR="00873EF5">
        <w:t xml:space="preserve"> which is something the plaintiff has all along disagreed with.</w:t>
      </w:r>
    </w:p>
    <w:p w:rsidR="00873EF5" w:rsidRDefault="00873EF5" w:rsidP="006A3B40">
      <w:pPr>
        <w:pStyle w:val="ListParagraph"/>
        <w:spacing w:line="360" w:lineRule="auto"/>
        <w:ind w:left="0"/>
        <w:jc w:val="both"/>
      </w:pPr>
    </w:p>
    <w:p w:rsidR="00873EF5" w:rsidRDefault="00873EF5" w:rsidP="00525B9E">
      <w:pPr>
        <w:pStyle w:val="ListParagraph"/>
        <w:numPr>
          <w:ilvl w:val="0"/>
          <w:numId w:val="17"/>
        </w:numPr>
        <w:spacing w:line="360" w:lineRule="auto"/>
        <w:ind w:left="0" w:firstLine="0"/>
        <w:jc w:val="both"/>
      </w:pPr>
      <w:r>
        <w:t>With respect, I cannot agree with the defendant’s submission that the plaintiff’s 2</w:t>
      </w:r>
      <w:r w:rsidRPr="00873EF5">
        <w:rPr>
          <w:vertAlign w:val="superscript"/>
        </w:rPr>
        <w:t>nd</w:t>
      </w:r>
      <w:r w:rsidR="00AC6927">
        <w:t xml:space="preserve"> sanctioned offer at HK$415,000</w:t>
      </w:r>
      <w:r w:rsidR="00750645">
        <w:t xml:space="preserve"> </w:t>
      </w:r>
      <w:r w:rsidR="000E2A0E">
        <w:t>was</w:t>
      </w:r>
      <w:r w:rsidR="00750645">
        <w:t xml:space="preserve"> a “tactical </w:t>
      </w:r>
      <w:r w:rsidR="00E455C6">
        <w:t>move/plo</w:t>
      </w:r>
      <w:r w:rsidR="00AC6927">
        <w:t>y</w:t>
      </w:r>
      <w:r w:rsidR="00750645">
        <w:t xml:space="preserve">”.  </w:t>
      </w:r>
      <w:r w:rsidR="00AC6927">
        <w:t>In my view,</w:t>
      </w:r>
      <w:r w:rsidR="00750645">
        <w:t xml:space="preserve"> one must not los</w:t>
      </w:r>
      <w:r w:rsidR="00AC6927">
        <w:t>e</w:t>
      </w:r>
      <w:r w:rsidR="00750645">
        <w:t xml:space="preserve"> sight of </w:t>
      </w:r>
      <w:r w:rsidR="00E455C6">
        <w:t xml:space="preserve">the </w:t>
      </w:r>
      <w:r w:rsidR="00750645">
        <w:t xml:space="preserve">fact that this case </w:t>
      </w:r>
      <w:r w:rsidR="00AC6927">
        <w:t>had been</w:t>
      </w:r>
      <w:r w:rsidR="00750645">
        <w:t xml:space="preserve"> unnecessary </w:t>
      </w:r>
      <w:r w:rsidR="00AC6927">
        <w:t>prolonged</w:t>
      </w:r>
      <w:r w:rsidR="00750645">
        <w:t xml:space="preserve"> by the late filing of the defendant</w:t>
      </w:r>
      <w:r w:rsidR="0091254D">
        <w:t xml:space="preserve">’s witness statement without explanation.  Further, it has not been helped by </w:t>
      </w:r>
      <w:r w:rsidR="00AC6927">
        <w:t>the</w:t>
      </w:r>
      <w:r w:rsidR="00A53FAA">
        <w:t xml:space="preserve"> </w:t>
      </w:r>
      <w:r w:rsidR="003F10D6">
        <w:t>extensive</w:t>
      </w:r>
      <w:r w:rsidR="0091254D">
        <w:rPr>
          <w:rStyle w:val="y2iqfc"/>
          <w:color w:val="202124"/>
        </w:rPr>
        <w:t xml:space="preserve"> </w:t>
      </w:r>
      <w:r w:rsidR="0091254D">
        <w:t>discovery exercise undertaken by the defendant on the plaintiff’s bank account record</w:t>
      </w:r>
      <w:r w:rsidR="00AC6927">
        <w:t>s between</w:t>
      </w:r>
      <w:r w:rsidR="0091254D">
        <w:t xml:space="preserve"> April</w:t>
      </w:r>
      <w:r w:rsidR="00AC6927">
        <w:t xml:space="preserve"> and August 2020.  A</w:t>
      </w:r>
      <w:r w:rsidR="0091254D">
        <w:t>fter the unsuccessful mediation which took place on</w:t>
      </w:r>
      <w:r w:rsidR="00276CB5">
        <w:t xml:space="preserve"> </w:t>
      </w:r>
      <w:r w:rsidR="00E455C6">
        <w:t>1</w:t>
      </w:r>
      <w:r w:rsidR="00276CB5">
        <w:t>7</w:t>
      </w:r>
      <w:r w:rsidR="0091254D">
        <w:t xml:space="preserve"> April </w:t>
      </w:r>
      <w:r w:rsidR="00276CB5">
        <w:t xml:space="preserve">2020, this </w:t>
      </w:r>
      <w:r w:rsidR="00AC6927">
        <w:t xml:space="preserve">whole prolonged litigation process </w:t>
      </w:r>
      <w:r w:rsidR="00276CB5">
        <w:t>must have c</w:t>
      </w:r>
      <w:r w:rsidR="008920E9">
        <w:t>aused</w:t>
      </w:r>
      <w:r w:rsidR="00276CB5">
        <w:t xml:space="preserve"> </w:t>
      </w:r>
      <w:r w:rsidR="00AC6927">
        <w:t>enormous stress and anxiety on the plaintiff.</w:t>
      </w:r>
      <w:r w:rsidR="00276CB5">
        <w:t xml:space="preserve"> </w:t>
      </w:r>
      <w:r w:rsidR="00AE0B4B">
        <w:t>This is something which has been</w:t>
      </w:r>
      <w:r w:rsidR="00276CB5">
        <w:t xml:space="preserve"> verified </w:t>
      </w:r>
      <w:r w:rsidR="00AE0B4B">
        <w:t xml:space="preserve">by the plaintiff </w:t>
      </w:r>
      <w:r w:rsidR="00276CB5">
        <w:t xml:space="preserve">in her affirmation filed in support of the present application.  Hence, I </w:t>
      </w:r>
      <w:r w:rsidR="008920E9">
        <w:t>am</w:t>
      </w:r>
      <w:r w:rsidR="00276CB5">
        <w:t xml:space="preserve"> </w:t>
      </w:r>
      <w:r w:rsidR="00A53FAA">
        <w:t>not</w:t>
      </w:r>
      <w:r w:rsidR="00276CB5">
        <w:t xml:space="preserve"> surprised that she was willing to ma</w:t>
      </w:r>
      <w:r w:rsidR="00AE0B4B">
        <w:t>k</w:t>
      </w:r>
      <w:r w:rsidR="00276CB5">
        <w:t>e the 1</w:t>
      </w:r>
      <w:r w:rsidR="00276CB5" w:rsidRPr="00276CB5">
        <w:rPr>
          <w:vertAlign w:val="superscript"/>
        </w:rPr>
        <w:t>st</w:t>
      </w:r>
      <w:r w:rsidR="00276CB5">
        <w:t xml:space="preserve"> </w:t>
      </w:r>
      <w:r w:rsidR="00AE0B4B">
        <w:t>s</w:t>
      </w:r>
      <w:r w:rsidR="00276CB5">
        <w:t xml:space="preserve">anctioned </w:t>
      </w:r>
      <w:r w:rsidR="00AE0B4B">
        <w:t>o</w:t>
      </w:r>
      <w:r w:rsidR="00276CB5">
        <w:t>ffer at HK$500,000</w:t>
      </w:r>
      <w:r w:rsidR="008323E5">
        <w:t xml:space="preserve"> in May 2020.  </w:t>
      </w:r>
      <w:r w:rsidR="000E2A0E">
        <w:t>After</w:t>
      </w:r>
      <w:r w:rsidR="008323E5">
        <w:t xml:space="preserve"> </w:t>
      </w:r>
      <w:r w:rsidR="00AE0B4B">
        <w:t xml:space="preserve">receiving absolutely </w:t>
      </w:r>
      <w:r w:rsidR="008323E5">
        <w:t>no response from the defendant</w:t>
      </w:r>
      <w:r w:rsidR="00AE0B4B">
        <w:t xml:space="preserve"> at all</w:t>
      </w:r>
      <w:r w:rsidR="008323E5">
        <w:t xml:space="preserve">, she then </w:t>
      </w:r>
      <w:r w:rsidR="00A53FAA">
        <w:t>reduce</w:t>
      </w:r>
      <w:r w:rsidR="00AE0B4B">
        <w:t>d</w:t>
      </w:r>
      <w:r w:rsidR="008323E5">
        <w:t xml:space="preserve"> th</w:t>
      </w:r>
      <w:r w:rsidR="002303E1">
        <w:t>at</w:t>
      </w:r>
      <w:r w:rsidR="008323E5">
        <w:t xml:space="preserve"> </w:t>
      </w:r>
      <w:r w:rsidR="00AE0B4B">
        <w:t>s</w:t>
      </w:r>
      <w:r w:rsidR="008323E5">
        <w:t xml:space="preserve">anctioned </w:t>
      </w:r>
      <w:r w:rsidR="00AE0B4B">
        <w:t>o</w:t>
      </w:r>
      <w:r w:rsidR="008323E5">
        <w:t xml:space="preserve">ffer to HK$415,000 in the hope that the defendant would settle </w:t>
      </w:r>
      <w:r w:rsidR="00A53FAA">
        <w:t xml:space="preserve">that </w:t>
      </w:r>
      <w:r w:rsidR="008323E5">
        <w:t xml:space="preserve">amount without </w:t>
      </w:r>
      <w:r w:rsidR="00AE0B4B">
        <w:t>her</w:t>
      </w:r>
      <w:r w:rsidR="008323E5">
        <w:t xml:space="preserve"> having to pay any costs of the defendant since the last </w:t>
      </w:r>
      <w:r w:rsidR="00AE0B4B">
        <w:t>s</w:t>
      </w:r>
      <w:r w:rsidR="008323E5">
        <w:t xml:space="preserve">anctioned </w:t>
      </w:r>
      <w:r w:rsidR="00AE0B4B">
        <w:t>p</w:t>
      </w:r>
      <w:r w:rsidR="008323E5">
        <w:t>ayment was made</w:t>
      </w:r>
      <w:r w:rsidR="00AE0B4B">
        <w:t xml:space="preserve"> by it in December 2018</w:t>
      </w:r>
      <w:r w:rsidR="008323E5">
        <w:t xml:space="preserve">.  </w:t>
      </w:r>
      <w:r w:rsidR="00AE0B4B">
        <w:t>With r</w:t>
      </w:r>
      <w:r w:rsidR="008920E9">
        <w:t>espect</w:t>
      </w:r>
      <w:r w:rsidR="00AE0B4B">
        <w:t xml:space="preserve">, </w:t>
      </w:r>
      <w:r w:rsidR="008323E5">
        <w:t>I do not accept</w:t>
      </w:r>
      <w:r w:rsidR="008920E9">
        <w:t xml:space="preserve"> the </w:t>
      </w:r>
      <w:r w:rsidR="00E455C6">
        <w:t>claim</w:t>
      </w:r>
      <w:r w:rsidR="008323E5">
        <w:t xml:space="preserve"> that</w:t>
      </w:r>
      <w:r w:rsidR="00C30230">
        <w:t xml:space="preserve"> this </w:t>
      </w:r>
      <w:r w:rsidR="00AE0B4B">
        <w:t>bears</w:t>
      </w:r>
      <w:r w:rsidR="008323E5">
        <w:t xml:space="preserve"> “all the hallmarks </w:t>
      </w:r>
      <w:r w:rsidR="00AE0B4B">
        <w:t>of</w:t>
      </w:r>
      <w:r w:rsidR="008323E5">
        <w:t xml:space="preserve"> </w:t>
      </w:r>
      <w:r w:rsidR="002303E1">
        <w:t xml:space="preserve">a purely tactical </w:t>
      </w:r>
      <w:r w:rsidR="00C30230">
        <w:t>move</w:t>
      </w:r>
      <w:r w:rsidR="00AE0B4B">
        <w:t>/step”</w:t>
      </w:r>
      <w:r w:rsidR="002303E1">
        <w:t xml:space="preserve"> as alleged by the defendant in </w:t>
      </w:r>
      <w:r w:rsidR="00AE0B4B">
        <w:t>its</w:t>
      </w:r>
      <w:r w:rsidR="002303E1">
        <w:t xml:space="preserve"> </w:t>
      </w:r>
      <w:r w:rsidR="00DC75FE">
        <w:t>solicitor</w:t>
      </w:r>
      <w:r w:rsidR="00AE0B4B">
        <w:t>’</w:t>
      </w:r>
      <w:r w:rsidR="00DC75FE">
        <w:t>s</w:t>
      </w:r>
      <w:r w:rsidR="002303E1">
        <w:t xml:space="preserve"> affirmation.</w:t>
      </w:r>
    </w:p>
    <w:p w:rsidR="00C30230" w:rsidRDefault="00C30230" w:rsidP="00C30230">
      <w:pPr>
        <w:pStyle w:val="ListParagraph"/>
        <w:spacing w:line="360" w:lineRule="auto"/>
        <w:ind w:left="0"/>
        <w:jc w:val="both"/>
      </w:pPr>
    </w:p>
    <w:p w:rsidR="002303E1" w:rsidRDefault="002303E1" w:rsidP="00711652">
      <w:pPr>
        <w:pStyle w:val="ListParagraph"/>
        <w:numPr>
          <w:ilvl w:val="0"/>
          <w:numId w:val="17"/>
        </w:numPr>
        <w:spacing w:line="360" w:lineRule="auto"/>
        <w:ind w:left="0" w:firstLine="0"/>
        <w:jc w:val="both"/>
      </w:pPr>
      <w:r>
        <w:t>As ex</w:t>
      </w:r>
      <w:r w:rsidR="00AE0B4B">
        <w:t>plaine</w:t>
      </w:r>
      <w:r>
        <w:t xml:space="preserve">d by the plaintiff in her affirmation, after the joint </w:t>
      </w:r>
      <w:proofErr w:type="spellStart"/>
      <w:r w:rsidR="00711652">
        <w:t>orthopaedic</w:t>
      </w:r>
      <w:proofErr w:type="spellEnd"/>
      <w:r w:rsidR="00711652">
        <w:t xml:space="preserve"> experts</w:t>
      </w:r>
      <w:r w:rsidR="006A3B40">
        <w:t>’</w:t>
      </w:r>
      <w:r w:rsidR="00711652">
        <w:t xml:space="preserve"> report was made available on 30 April 2019, she </w:t>
      </w:r>
      <w:r w:rsidR="00711652">
        <w:lastRenderedPageBreak/>
        <w:t xml:space="preserve">obtained </w:t>
      </w:r>
      <w:r w:rsidR="00AE0B4B">
        <w:t xml:space="preserve">written </w:t>
      </w:r>
      <w:r w:rsidR="00711652">
        <w:t xml:space="preserve">advice from </w:t>
      </w:r>
      <w:r w:rsidR="00AE0B4B">
        <w:t>her l</w:t>
      </w:r>
      <w:r w:rsidR="00711652">
        <w:t xml:space="preserve">egal </w:t>
      </w:r>
      <w:r w:rsidR="00AE0B4B">
        <w:t>a</w:t>
      </w:r>
      <w:r w:rsidR="00711652">
        <w:t>id assigned counsel in June 2019</w:t>
      </w:r>
      <w:r w:rsidR="00AE0B4B">
        <w:t>.</w:t>
      </w:r>
      <w:r w:rsidR="00711652">
        <w:t xml:space="preserve"> </w:t>
      </w:r>
      <w:r w:rsidR="00AE0B4B">
        <w:t>S</w:t>
      </w:r>
      <w:r w:rsidR="00711652">
        <w:t xml:space="preserve">he was advised that the defendant’s offer </w:t>
      </w:r>
      <w:r w:rsidR="00AE0B4B">
        <w:t>at</w:t>
      </w:r>
      <w:r w:rsidR="00711652">
        <w:t xml:space="preserve"> HK$410,000 (net of EC</w:t>
      </w:r>
      <w:r w:rsidR="00273433">
        <w:t xml:space="preserve"> </w:t>
      </w:r>
      <w:r w:rsidR="00E455C6">
        <w:t>payment</w:t>
      </w:r>
      <w:r w:rsidR="00273433">
        <w:t xml:space="preserve">) was unreasonable and too low. </w:t>
      </w:r>
      <w:r w:rsidR="00AE0B4B">
        <w:t>She was advised not to accept it.</w:t>
      </w:r>
      <w:r w:rsidR="00273433">
        <w:t xml:space="preserve"> </w:t>
      </w:r>
    </w:p>
    <w:p w:rsidR="00273433" w:rsidRDefault="00273433" w:rsidP="00273433">
      <w:pPr>
        <w:pStyle w:val="ListParagraph"/>
        <w:spacing w:line="360" w:lineRule="auto"/>
        <w:ind w:left="0"/>
        <w:jc w:val="both"/>
      </w:pPr>
    </w:p>
    <w:p w:rsidR="003F10D6" w:rsidRDefault="00AE0B4B" w:rsidP="00525B9E">
      <w:pPr>
        <w:pStyle w:val="ListParagraph"/>
        <w:numPr>
          <w:ilvl w:val="0"/>
          <w:numId w:val="17"/>
        </w:numPr>
        <w:spacing w:line="360" w:lineRule="auto"/>
        <w:ind w:left="0" w:firstLine="0"/>
        <w:jc w:val="both"/>
      </w:pPr>
      <w:r>
        <w:t>I f</w:t>
      </w:r>
      <w:r w:rsidR="00273433">
        <w:t>urther accept her explanation that the unexplained delay of the defendant in exchanging the witness statement</w:t>
      </w:r>
      <w:r>
        <w:t xml:space="preserve"> and the late</w:t>
      </w:r>
      <w:r w:rsidR="00273433">
        <w:t xml:space="preserve"> specific discovery</w:t>
      </w:r>
      <w:r w:rsidR="009F1A8F">
        <w:t xml:space="preserve"> </w:t>
      </w:r>
      <w:r>
        <w:t xml:space="preserve">requests made </w:t>
      </w:r>
      <w:r w:rsidR="009F1A8F">
        <w:t xml:space="preserve">against </w:t>
      </w:r>
      <w:r w:rsidR="004162A1">
        <w:t xml:space="preserve">her </w:t>
      </w:r>
      <w:r w:rsidR="00273433">
        <w:t xml:space="preserve">on her bank statement details had </w:t>
      </w:r>
      <w:r>
        <w:t xml:space="preserve">all </w:t>
      </w:r>
      <w:r w:rsidR="00273433">
        <w:t>caused unnecessary stress</w:t>
      </w:r>
      <w:r w:rsidR="00C53641">
        <w:t xml:space="preserve"> and pressure on her.  According to the </w:t>
      </w:r>
      <w:r>
        <w:t>O</w:t>
      </w:r>
      <w:r w:rsidR="00C53641">
        <w:t xml:space="preserve">rder of Master Grace Chan on 28 January 2019, the parties </w:t>
      </w:r>
      <w:r>
        <w:t>were</w:t>
      </w:r>
      <w:r w:rsidR="00C53641">
        <w:t xml:space="preserve"> supposed to exchange the respective witness statement</w:t>
      </w:r>
      <w:r w:rsidR="004162A1">
        <w:t>s</w:t>
      </w:r>
      <w:r w:rsidR="00C53641">
        <w:t xml:space="preserve"> </w:t>
      </w:r>
      <w:r w:rsidR="004162A1">
        <w:t>on or</w:t>
      </w:r>
      <w:r w:rsidR="00C53641">
        <w:t xml:space="preserve"> before </w:t>
      </w:r>
      <w:r w:rsidR="004162A1">
        <w:t xml:space="preserve">25 </w:t>
      </w:r>
      <w:r w:rsidR="00C53641">
        <w:t xml:space="preserve">April 2019.  While the plaintiff’s witness statement was ready to </w:t>
      </w:r>
      <w:r>
        <w:t xml:space="preserve">be </w:t>
      </w:r>
      <w:r w:rsidR="00C53641">
        <w:t>exchange</w:t>
      </w:r>
      <w:r>
        <w:t>d</w:t>
      </w:r>
      <w:r w:rsidR="00C53641">
        <w:t xml:space="preserve"> on that day, the defendant’s solicitors had</w:t>
      </w:r>
      <w:r w:rsidR="004A6292">
        <w:t>,</w:t>
      </w:r>
      <w:r w:rsidR="00C53641">
        <w:t xml:space="preserve"> by letter dated 24 April 2019</w:t>
      </w:r>
      <w:r w:rsidR="004A6292">
        <w:t>,</w:t>
      </w:r>
      <w:r w:rsidR="00C53641">
        <w:t xml:space="preserve"> asked for</w:t>
      </w:r>
      <w:r w:rsidR="00E455C6">
        <w:t xml:space="preserve"> time</w:t>
      </w:r>
      <w:r w:rsidR="00C53641">
        <w:t xml:space="preserve"> extension to exchange its witness statement.  </w:t>
      </w:r>
    </w:p>
    <w:p w:rsidR="003F10D6" w:rsidRDefault="003F10D6" w:rsidP="003F10D6">
      <w:pPr>
        <w:pStyle w:val="ListParagraph"/>
        <w:spacing w:line="360" w:lineRule="auto"/>
        <w:ind w:left="0"/>
        <w:jc w:val="both"/>
      </w:pPr>
    </w:p>
    <w:p w:rsidR="002303E1" w:rsidRDefault="00E455C6" w:rsidP="00525B9E">
      <w:pPr>
        <w:pStyle w:val="ListParagraph"/>
        <w:numPr>
          <w:ilvl w:val="0"/>
          <w:numId w:val="17"/>
        </w:numPr>
        <w:spacing w:line="360" w:lineRule="auto"/>
        <w:ind w:left="0" w:firstLine="0"/>
        <w:jc w:val="both"/>
      </w:pPr>
      <w:r>
        <w:t>Af</w:t>
      </w:r>
      <w:r w:rsidR="00AE0B4B">
        <w:t>ter a couple of reminders, t</w:t>
      </w:r>
      <w:r w:rsidR="00F05D15">
        <w:t>he plaintiff did not wait for the defendant and filed her witness statement o</w:t>
      </w:r>
      <w:r>
        <w:t xml:space="preserve">n 9 July 2019.  In breach of </w:t>
      </w:r>
      <w:r w:rsidR="00F05D15">
        <w:t xml:space="preserve">Master Grace Chan’s </w:t>
      </w:r>
      <w:r w:rsidR="00C21D7F">
        <w:t>O</w:t>
      </w:r>
      <w:r w:rsidR="00F05D15">
        <w:t xml:space="preserve">rder, the defendant only served the witness statement of </w:t>
      </w:r>
      <w:proofErr w:type="spellStart"/>
      <w:r w:rsidR="00F05D15">
        <w:t>Ms</w:t>
      </w:r>
      <w:proofErr w:type="spellEnd"/>
      <w:r w:rsidR="00F05D15">
        <w:t xml:space="preserve"> Dream Hui on 2 October 2019, without any good explanation and with an unacceptable delay of 6 months</w:t>
      </w:r>
      <w:r w:rsidR="00136982">
        <w:t>.</w:t>
      </w:r>
    </w:p>
    <w:p w:rsidR="00136982" w:rsidRDefault="00136982" w:rsidP="00C21D7F">
      <w:pPr>
        <w:pStyle w:val="ListParagraph"/>
        <w:spacing w:line="360" w:lineRule="auto"/>
        <w:ind w:left="0"/>
        <w:jc w:val="both"/>
      </w:pPr>
    </w:p>
    <w:p w:rsidR="00B433D2" w:rsidRDefault="00136982" w:rsidP="00AE0B4B">
      <w:pPr>
        <w:pStyle w:val="ListParagraph"/>
        <w:numPr>
          <w:ilvl w:val="0"/>
          <w:numId w:val="17"/>
        </w:numPr>
        <w:spacing w:line="360" w:lineRule="auto"/>
        <w:ind w:left="0" w:firstLine="0"/>
        <w:jc w:val="both"/>
      </w:pPr>
      <w:r>
        <w:t xml:space="preserve">As I </w:t>
      </w:r>
      <w:r w:rsidR="00AE0B4B">
        <w:t xml:space="preserve">have </w:t>
      </w:r>
      <w:r>
        <w:t xml:space="preserve">found in </w:t>
      </w:r>
      <w:r w:rsidR="00AE0B4B">
        <w:t>the J</w:t>
      </w:r>
      <w:r>
        <w:t>udgment, the information</w:t>
      </w:r>
      <w:r w:rsidR="00AE0B4B">
        <w:t xml:space="preserve"> in relation to the purported comparable workers’ would be earnings</w:t>
      </w:r>
      <w:r>
        <w:t xml:space="preserve"> provided by </w:t>
      </w:r>
      <w:proofErr w:type="spellStart"/>
      <w:r>
        <w:t>Ms</w:t>
      </w:r>
      <w:proofErr w:type="spellEnd"/>
      <w:r w:rsidR="00C21D7F">
        <w:t> </w:t>
      </w:r>
      <w:r>
        <w:t xml:space="preserve">Hui in her witness statement was </w:t>
      </w:r>
      <w:r w:rsidR="00AE0B4B">
        <w:t>extremely unhelpful</w:t>
      </w:r>
      <w:r>
        <w:t xml:space="preserve"> if no</w:t>
      </w:r>
      <w:r w:rsidR="00AE0B4B">
        <w:t>t misleading.</w:t>
      </w:r>
    </w:p>
    <w:p w:rsidR="00AE0B4B" w:rsidRDefault="00AE0B4B" w:rsidP="00AE0B4B">
      <w:pPr>
        <w:pStyle w:val="ListParagraph"/>
        <w:spacing w:line="360" w:lineRule="auto"/>
        <w:ind w:left="0"/>
        <w:jc w:val="both"/>
      </w:pPr>
    </w:p>
    <w:p w:rsidR="00B433D2" w:rsidRDefault="00E455C6" w:rsidP="00525B9E">
      <w:pPr>
        <w:pStyle w:val="ListParagraph"/>
        <w:numPr>
          <w:ilvl w:val="0"/>
          <w:numId w:val="17"/>
        </w:numPr>
        <w:spacing w:line="360" w:lineRule="auto"/>
        <w:ind w:left="0" w:firstLine="0"/>
        <w:jc w:val="both"/>
      </w:pPr>
      <w:r>
        <w:t>However, o</w:t>
      </w:r>
      <w:r w:rsidR="00AE0B4B">
        <w:t>nly</w:t>
      </w:r>
      <w:r w:rsidR="00B433D2">
        <w:t xml:space="preserve"> 2 days after </w:t>
      </w:r>
      <w:r w:rsidR="001F727B">
        <w:t xml:space="preserve">they </w:t>
      </w:r>
      <w:r w:rsidR="00AE0B4B">
        <w:t xml:space="preserve">had belatedly </w:t>
      </w:r>
      <w:r w:rsidR="001F727B">
        <w:t xml:space="preserve">filed the witness statement of </w:t>
      </w:r>
      <w:proofErr w:type="spellStart"/>
      <w:r w:rsidR="001F727B">
        <w:t>Ms</w:t>
      </w:r>
      <w:proofErr w:type="spellEnd"/>
      <w:r w:rsidR="00C21D7F">
        <w:t> </w:t>
      </w:r>
      <w:r w:rsidR="001F727B">
        <w:t>Dream Hui, the defendant’s solicitor</w:t>
      </w:r>
      <w:r w:rsidR="00C21D7F">
        <w:t>s</w:t>
      </w:r>
      <w:r w:rsidR="001F727B">
        <w:t xml:space="preserve"> re</w:t>
      </w:r>
      <w:r w:rsidR="00AE0B4B">
        <w:t>-</w:t>
      </w:r>
      <w:r w:rsidR="001F727B">
        <w:t>opened the offer of HK$410,000 on 4 October 2019, which is inclusive of interest but with no order as to cost</w:t>
      </w:r>
      <w:r w:rsidR="00AE0B4B">
        <w:t>s</w:t>
      </w:r>
      <w:r w:rsidR="001F727B">
        <w:t xml:space="preserve"> after 9 January 2019</w:t>
      </w:r>
      <w:r w:rsidR="00AE0B4B">
        <w:t xml:space="preserve">, </w:t>
      </w:r>
      <w:r w:rsidR="001F727B">
        <w:t xml:space="preserve">the last day which the </w:t>
      </w:r>
      <w:r w:rsidR="001F727B">
        <w:lastRenderedPageBreak/>
        <w:t xml:space="preserve">plaintiff could have accepted the last </w:t>
      </w:r>
      <w:r w:rsidR="00AE0B4B">
        <w:t>s</w:t>
      </w:r>
      <w:r w:rsidR="001F727B">
        <w:t xml:space="preserve">anctioned </w:t>
      </w:r>
      <w:r w:rsidR="00AE0B4B">
        <w:t>p</w:t>
      </w:r>
      <w:r w:rsidR="001F727B">
        <w:t xml:space="preserve">ayment made in </w:t>
      </w:r>
      <w:r w:rsidR="00C21D7F">
        <w:t>C</w:t>
      </w:r>
      <w:r w:rsidR="001F727B">
        <w:t>ourt on 12</w:t>
      </w:r>
      <w:r w:rsidR="00C21D7F">
        <w:t> </w:t>
      </w:r>
      <w:r w:rsidR="001F727B">
        <w:t>December 2018.</w:t>
      </w:r>
    </w:p>
    <w:p w:rsidR="001F727B" w:rsidRDefault="001F727B" w:rsidP="003D3185">
      <w:pPr>
        <w:pStyle w:val="ListParagraph"/>
        <w:spacing w:line="360" w:lineRule="auto"/>
        <w:ind w:left="0"/>
        <w:jc w:val="both"/>
      </w:pPr>
    </w:p>
    <w:p w:rsidR="001F727B" w:rsidRDefault="001F727B" w:rsidP="00525B9E">
      <w:pPr>
        <w:pStyle w:val="ListParagraph"/>
        <w:numPr>
          <w:ilvl w:val="0"/>
          <w:numId w:val="17"/>
        </w:numPr>
        <w:spacing w:line="360" w:lineRule="auto"/>
        <w:ind w:left="0" w:firstLine="0"/>
        <w:jc w:val="both"/>
      </w:pPr>
      <w:r>
        <w:t>The plaintiff also stated</w:t>
      </w:r>
      <w:r w:rsidR="00517B60">
        <w:t xml:space="preserve"> in her affirmation of the extreme </w:t>
      </w:r>
      <w:r w:rsidR="002F79F8">
        <w:t xml:space="preserve">exhaustion </w:t>
      </w:r>
      <w:r w:rsidR="00517B60">
        <w:t>and pressure</w:t>
      </w:r>
      <w:r w:rsidR="002F79F8">
        <w:t xml:space="preserve"> brought by the litigation after the unsuccessful mediation on 17 April 2020.  By this time, this case had </w:t>
      </w:r>
      <w:r w:rsidR="001250A7">
        <w:t xml:space="preserve">been </w:t>
      </w:r>
      <w:r w:rsidR="002F79F8">
        <w:t xml:space="preserve">dragged </w:t>
      </w:r>
      <w:r w:rsidR="00AE0B4B">
        <w:t xml:space="preserve">on </w:t>
      </w:r>
      <w:r w:rsidR="002F79F8">
        <w:t xml:space="preserve">for more than 3 years.  Due to those pressure and the fact that the plaintiff just wanted to settle </w:t>
      </w:r>
      <w:r w:rsidR="003608E9">
        <w:t>the dispute in order to avoid the trial, she instructed her lawyers to make the 1</w:t>
      </w:r>
      <w:r w:rsidR="003608E9" w:rsidRPr="003608E9">
        <w:rPr>
          <w:vertAlign w:val="superscript"/>
        </w:rPr>
        <w:t>st</w:t>
      </w:r>
      <w:r w:rsidR="00AE0B4B">
        <w:t xml:space="preserve"> sanctioned o</w:t>
      </w:r>
      <w:r w:rsidR="003608E9">
        <w:t xml:space="preserve">ffer of HK$500,000 on 5 May 2020.  However, as mentioned by her, the defendant did not make any </w:t>
      </w:r>
      <w:r w:rsidR="00AE0B4B">
        <w:t>reply or</w:t>
      </w:r>
      <w:r w:rsidR="009F1A8F">
        <w:t xml:space="preserve"> response to that </w:t>
      </w:r>
      <w:r w:rsidR="00AE0B4B">
        <w:t xml:space="preserve">offer </w:t>
      </w:r>
      <w:r w:rsidR="002163DD">
        <w:t>at all.  In other words,</w:t>
      </w:r>
      <w:r w:rsidR="009F1A8F">
        <w:t xml:space="preserve"> </w:t>
      </w:r>
      <w:r w:rsidR="002163DD">
        <w:t>that sanctioned o</w:t>
      </w:r>
      <w:r w:rsidR="009F1A8F">
        <w:t xml:space="preserve">ffer was simply </w:t>
      </w:r>
      <w:r w:rsidR="008947D9">
        <w:t xml:space="preserve">ignored </w:t>
      </w:r>
      <w:r w:rsidR="009F1A8F">
        <w:t xml:space="preserve">by the defendant.  Instead, the defendant went on an </w:t>
      </w:r>
      <w:r w:rsidR="000E2A0E">
        <w:t>elaborate</w:t>
      </w:r>
      <w:r w:rsidR="009F1A8F">
        <w:t xml:space="preserve"> exercise of s</w:t>
      </w:r>
      <w:r w:rsidR="00C55BC1">
        <w:t>pecif</w:t>
      </w:r>
      <w:r w:rsidR="009F1A8F">
        <w:t xml:space="preserve">ic </w:t>
      </w:r>
      <w:r w:rsidR="00C55BC1">
        <w:t xml:space="preserve">discovery against plaintiff on her bank </w:t>
      </w:r>
      <w:r w:rsidR="002163DD">
        <w:t xml:space="preserve">statements </w:t>
      </w:r>
      <w:r w:rsidR="00C55BC1">
        <w:t xml:space="preserve">and </w:t>
      </w:r>
      <w:r w:rsidR="002163DD">
        <w:t>sought</w:t>
      </w:r>
      <w:r w:rsidR="00C55BC1">
        <w:t xml:space="preserve"> further </w:t>
      </w:r>
      <w:r w:rsidR="000E2A0E">
        <w:t>particulars</w:t>
      </w:r>
      <w:r w:rsidR="002163DD">
        <w:t xml:space="preserve"> on</w:t>
      </w:r>
      <w:r w:rsidR="00C55BC1">
        <w:t xml:space="preserve"> 17</w:t>
      </w:r>
      <w:r w:rsidR="002163DD">
        <w:t xml:space="preserve"> separate</w:t>
      </w:r>
      <w:r w:rsidR="00C55BC1">
        <w:t xml:space="preserve"> transactions in her bank statement</w:t>
      </w:r>
      <w:r w:rsidR="002163DD">
        <w:t>s</w:t>
      </w:r>
      <w:r w:rsidR="00C55BC1">
        <w:t xml:space="preserve">.  </w:t>
      </w:r>
      <w:r w:rsidR="00E455C6">
        <w:t>At</w:t>
      </w:r>
      <w:r w:rsidR="00C55BC1">
        <w:t xml:space="preserve"> the same time, the plaintiff was not able to resume her work as a salesperson </w:t>
      </w:r>
      <w:r w:rsidR="008B37CF">
        <w:t xml:space="preserve">and </w:t>
      </w:r>
      <w:r w:rsidR="002163DD">
        <w:t>could</w:t>
      </w:r>
      <w:r w:rsidR="008B37CF">
        <w:t xml:space="preserve"> only work as clerk as mentioned in the </w:t>
      </w:r>
      <w:r w:rsidR="001250A7">
        <w:t>J</w:t>
      </w:r>
      <w:r w:rsidR="008B37CF">
        <w:t>udgment.  Not surprisingly, the le</w:t>
      </w:r>
      <w:r w:rsidR="002163DD">
        <w:t>ngthy litigation process took its toll</w:t>
      </w:r>
      <w:r w:rsidR="008B37CF">
        <w:t xml:space="preserve"> and the plaintiff became </w:t>
      </w:r>
      <w:r w:rsidR="008947D9">
        <w:t>despair</w:t>
      </w:r>
      <w:r w:rsidR="008B37CF">
        <w:t xml:space="preserve"> </w:t>
      </w:r>
      <w:r w:rsidR="002163DD">
        <w:t xml:space="preserve">and </w:t>
      </w:r>
      <w:r w:rsidR="008947D9">
        <w:t>im</w:t>
      </w:r>
      <w:r w:rsidR="008B37CF">
        <w:t>patient.  Hence, according to her, as a last attempt</w:t>
      </w:r>
      <w:r w:rsidR="00646329">
        <w:t xml:space="preserve"> to settle the case, she had</w:t>
      </w:r>
      <w:r w:rsidR="002163DD">
        <w:t>,</w:t>
      </w:r>
      <w:r w:rsidR="00646329">
        <w:t xml:space="preserve"> on 23 June 2020</w:t>
      </w:r>
      <w:r w:rsidR="002163DD">
        <w:t>,</w:t>
      </w:r>
      <w:r w:rsidR="00646329">
        <w:t xml:space="preserve"> made the 2</w:t>
      </w:r>
      <w:r w:rsidR="00646329" w:rsidRPr="00646329">
        <w:rPr>
          <w:vertAlign w:val="superscript"/>
        </w:rPr>
        <w:t>nd</w:t>
      </w:r>
      <w:r w:rsidR="00646329">
        <w:t xml:space="preserve"> </w:t>
      </w:r>
      <w:r w:rsidR="002163DD">
        <w:t>s</w:t>
      </w:r>
      <w:r w:rsidR="00646329">
        <w:t xml:space="preserve">anctioned </w:t>
      </w:r>
      <w:r w:rsidR="002163DD">
        <w:t>o</w:t>
      </w:r>
      <w:r w:rsidR="00646329">
        <w:t xml:space="preserve">ffer in the sum of HK$415,000.  She did so of course with the aim to settle the matter </w:t>
      </w:r>
      <w:r w:rsidR="002163DD">
        <w:t>without</w:t>
      </w:r>
      <w:r w:rsidR="00646329">
        <w:t xml:space="preserve"> </w:t>
      </w:r>
      <w:r w:rsidR="00E455C6">
        <w:t xml:space="preserve">going </w:t>
      </w:r>
      <w:r w:rsidR="00646329">
        <w:t>to trial.</w:t>
      </w:r>
    </w:p>
    <w:p w:rsidR="00511CA8" w:rsidRDefault="00511CA8" w:rsidP="00511CA8">
      <w:pPr>
        <w:pStyle w:val="ListParagraph"/>
        <w:spacing w:line="360" w:lineRule="auto"/>
        <w:ind w:left="0"/>
        <w:jc w:val="both"/>
      </w:pPr>
    </w:p>
    <w:p w:rsidR="00531391" w:rsidRDefault="000E2A0E" w:rsidP="006B26B3">
      <w:pPr>
        <w:pStyle w:val="ListParagraph"/>
        <w:numPr>
          <w:ilvl w:val="0"/>
          <w:numId w:val="17"/>
        </w:numPr>
        <w:spacing w:line="360" w:lineRule="auto"/>
        <w:ind w:left="0" w:firstLine="0"/>
        <w:jc w:val="both"/>
      </w:pPr>
      <w:r>
        <w:t>I</w:t>
      </w:r>
      <w:r w:rsidR="00646329">
        <w:t>n the li</w:t>
      </w:r>
      <w:r>
        <w:t>ght of the above facts, I can</w:t>
      </w:r>
      <w:r w:rsidR="00646329">
        <w:t xml:space="preserve">not see </w:t>
      </w:r>
      <w:r>
        <w:t xml:space="preserve">how by </w:t>
      </w:r>
      <w:r w:rsidR="00646329">
        <w:t>making</w:t>
      </w:r>
      <w:r>
        <w:t xml:space="preserve"> a</w:t>
      </w:r>
      <w:r w:rsidR="00646329">
        <w:t xml:space="preserve"> </w:t>
      </w:r>
      <w:r w:rsidR="002163DD">
        <w:t xml:space="preserve">sanctioned offer at </w:t>
      </w:r>
      <w:r>
        <w:t>a substantially reduced</w:t>
      </w:r>
      <w:r w:rsidR="00646329">
        <w:t xml:space="preserve"> amount at HK$415,000 </w:t>
      </w:r>
      <w:r w:rsidR="004A6292">
        <w:t>could be said</w:t>
      </w:r>
      <w:r>
        <w:t xml:space="preserve"> to</w:t>
      </w:r>
      <w:r w:rsidR="004A6292">
        <w:t xml:space="preserve"> be</w:t>
      </w:r>
      <w:r w:rsidR="00646329">
        <w:t xml:space="preserve"> a </w:t>
      </w:r>
      <w:r w:rsidR="00F72149">
        <w:t>“</w:t>
      </w:r>
      <w:r w:rsidR="00646329">
        <w:t>t</w:t>
      </w:r>
      <w:r w:rsidR="00E455C6">
        <w:t>actical plo</w:t>
      </w:r>
      <w:r w:rsidR="00F72149">
        <w:t xml:space="preserve">y” </w:t>
      </w:r>
      <w:r>
        <w:t>or</w:t>
      </w:r>
      <w:r w:rsidR="00F72149">
        <w:t xml:space="preserve"> an improper move on the part of</w:t>
      </w:r>
      <w:r w:rsidR="002163DD">
        <w:t xml:space="preserve"> the</w:t>
      </w:r>
      <w:r w:rsidR="00F72149">
        <w:t xml:space="preserve"> plaintiff</w:t>
      </w:r>
      <w:r w:rsidR="002163DD">
        <w:t xml:space="preserve"> or her legal advisors</w:t>
      </w:r>
      <w:r w:rsidR="00F72149">
        <w:t xml:space="preserve">.  In my opinion, this </w:t>
      </w:r>
      <w:r w:rsidR="00857999">
        <w:t>is exactly</w:t>
      </w:r>
      <w:r w:rsidR="008947D9">
        <w:t xml:space="preserve"> </w:t>
      </w:r>
      <w:r w:rsidR="00E455C6">
        <w:t>what</w:t>
      </w:r>
      <w:r w:rsidR="00F72149">
        <w:t xml:space="preserve"> </w:t>
      </w:r>
      <w:r>
        <w:t xml:space="preserve">the </w:t>
      </w:r>
      <w:r w:rsidR="00F72149">
        <w:t>O</w:t>
      </w:r>
      <w:r w:rsidR="002163DD">
        <w:t xml:space="preserve">rder </w:t>
      </w:r>
      <w:r w:rsidR="00F72149">
        <w:t xml:space="preserve">22 regime is designed </w:t>
      </w:r>
      <w:r w:rsidR="002163DD">
        <w:t>for</w:t>
      </w:r>
      <w:r w:rsidR="00072182">
        <w:t xml:space="preserve">, </w:t>
      </w:r>
      <w:proofErr w:type="spellStart"/>
      <w:r w:rsidR="00072182">
        <w:t>ie</w:t>
      </w:r>
      <w:proofErr w:type="spellEnd"/>
      <w:r w:rsidR="00072182">
        <w:t xml:space="preserve"> to facilitate</w:t>
      </w:r>
      <w:r w:rsidR="002163DD">
        <w:t xml:space="preserve"> early and reasonable</w:t>
      </w:r>
      <w:r w:rsidR="00072182">
        <w:t xml:space="preserve"> settlement.  In my view, making </w:t>
      </w:r>
      <w:r w:rsidR="004503A7">
        <w:t>a</w:t>
      </w:r>
      <w:r w:rsidR="00072182">
        <w:t xml:space="preserve"> </w:t>
      </w:r>
      <w:r w:rsidR="00857999">
        <w:t>well</w:t>
      </w:r>
      <w:r w:rsidR="00072182">
        <w:t xml:space="preserve"> </w:t>
      </w:r>
      <w:r w:rsidR="002163DD">
        <w:t>conceded</w:t>
      </w:r>
      <w:r w:rsidR="00072182">
        <w:t xml:space="preserve"> offer in order to prompt </w:t>
      </w:r>
      <w:r w:rsidR="002163DD">
        <w:t>the other side</w:t>
      </w:r>
      <w:r w:rsidR="00072182">
        <w:t xml:space="preserve"> to settle the case must be within the spirit of </w:t>
      </w:r>
      <w:r w:rsidR="008920E9">
        <w:t xml:space="preserve">the </w:t>
      </w:r>
      <w:r w:rsidR="00072182">
        <w:t>rule</w:t>
      </w:r>
      <w:r w:rsidR="008920E9">
        <w:t>s</w:t>
      </w:r>
      <w:r w:rsidR="00072182">
        <w:t xml:space="preserve"> </w:t>
      </w:r>
      <w:r w:rsidR="00857999">
        <w:t>to promote</w:t>
      </w:r>
      <w:r w:rsidR="00072182">
        <w:t xml:space="preserve"> settlement.  </w:t>
      </w:r>
      <w:r w:rsidR="00072182">
        <w:lastRenderedPageBreak/>
        <w:t>This cannot be described</w:t>
      </w:r>
      <w:r w:rsidR="00487B54">
        <w:t xml:space="preserve"> as a </w:t>
      </w:r>
      <w:r w:rsidR="002163DD">
        <w:t>“</w:t>
      </w:r>
      <w:r w:rsidR="00E455C6">
        <w:t>tactical plo</w:t>
      </w:r>
      <w:r w:rsidR="00487B54">
        <w:t>y</w:t>
      </w:r>
      <w:r w:rsidR="002163DD">
        <w:t>”</w:t>
      </w:r>
      <w:r w:rsidR="00487B54">
        <w:t xml:space="preserve"> in the same v</w:t>
      </w:r>
      <w:r w:rsidR="002163DD">
        <w:t>ein as in the case f</w:t>
      </w:r>
      <w:r w:rsidR="00487B54">
        <w:t xml:space="preserve">ound by the </w:t>
      </w:r>
      <w:r w:rsidR="00857999">
        <w:t>learned</w:t>
      </w:r>
      <w:r w:rsidR="00487B54">
        <w:t xml:space="preserve"> judge in </w:t>
      </w:r>
      <w:r w:rsidR="00487B54" w:rsidRPr="001B6562">
        <w:rPr>
          <w:i/>
        </w:rPr>
        <w:t xml:space="preserve">Gill Ajmer Singh, </w:t>
      </w:r>
      <w:r w:rsidR="00E455C6">
        <w:rPr>
          <w:i/>
        </w:rPr>
        <w:t>s</w:t>
      </w:r>
      <w:r w:rsidR="00487B54" w:rsidRPr="001B6562">
        <w:rPr>
          <w:i/>
        </w:rPr>
        <w:t>upra</w:t>
      </w:r>
      <w:r w:rsidR="00487B54" w:rsidRPr="00487B54">
        <w:t>, cited by the defendant.</w:t>
      </w:r>
      <w:r w:rsidR="00487B54" w:rsidRPr="001B6562">
        <w:rPr>
          <w:i/>
        </w:rPr>
        <w:t xml:space="preserve"> </w:t>
      </w:r>
      <w:r w:rsidR="00487B54">
        <w:t xml:space="preserve"> Of course, </w:t>
      </w:r>
      <w:r w:rsidR="002163DD">
        <w:t xml:space="preserve">in </w:t>
      </w:r>
      <w:r w:rsidR="00487B54">
        <w:t xml:space="preserve">each PI </w:t>
      </w:r>
      <w:r w:rsidR="002163DD">
        <w:t>case</w:t>
      </w:r>
      <w:r w:rsidR="00E455C6">
        <w:t>,</w:t>
      </w:r>
      <w:r w:rsidR="002163DD">
        <w:t xml:space="preserve"> </w:t>
      </w:r>
      <w:r w:rsidR="00E455C6">
        <w:t xml:space="preserve">like any civil case, </w:t>
      </w:r>
      <w:r w:rsidR="002163DD">
        <w:t>it</w:t>
      </w:r>
      <w:r w:rsidR="00487B54">
        <w:t xml:space="preserve"> involve</w:t>
      </w:r>
      <w:r w:rsidR="004503A7">
        <w:t>s</w:t>
      </w:r>
      <w:r w:rsidR="00487B54">
        <w:t xml:space="preserve"> tactical move</w:t>
      </w:r>
      <w:r w:rsidR="002163DD">
        <w:t>s</w:t>
      </w:r>
      <w:r w:rsidR="00487B54">
        <w:t xml:space="preserve"> </w:t>
      </w:r>
      <w:r w:rsidR="00E455C6">
        <w:t xml:space="preserve">made </w:t>
      </w:r>
      <w:r w:rsidR="006F7490">
        <w:t>by opposing parties.</w:t>
      </w:r>
      <w:r w:rsidR="00487B54">
        <w:t xml:space="preserve"> </w:t>
      </w:r>
      <w:r>
        <w:t>This is what</w:t>
      </w:r>
      <w:r w:rsidR="002163DD">
        <w:t xml:space="preserve"> litigation is about. </w:t>
      </w:r>
      <w:r w:rsidR="006F7490">
        <w:t xml:space="preserve">It is an art of compromise. </w:t>
      </w:r>
      <w:r w:rsidR="002163DD">
        <w:t>In my view, a</w:t>
      </w:r>
      <w:r w:rsidR="00487B54">
        <w:t xml:space="preserve">s long as they </w:t>
      </w:r>
      <w:r w:rsidR="002163DD">
        <w:t>are</w:t>
      </w:r>
      <w:r w:rsidR="00487B54">
        <w:t xml:space="preserve"> </w:t>
      </w:r>
      <w:r w:rsidR="00942AFB">
        <w:t>gen</w:t>
      </w:r>
      <w:r w:rsidR="001B6562">
        <w:t>uine</w:t>
      </w:r>
      <w:r w:rsidR="00942AFB">
        <w:t xml:space="preserve"> </w:t>
      </w:r>
      <w:r w:rsidR="00487B54">
        <w:t>atte</w:t>
      </w:r>
      <w:r w:rsidR="001B6562">
        <w:t>mpts</w:t>
      </w:r>
      <w:r w:rsidR="006F7490">
        <w:t xml:space="preserve"> for the parties</w:t>
      </w:r>
      <w:r w:rsidR="00487B54">
        <w:t xml:space="preserve"> to achieve settlement</w:t>
      </w:r>
      <w:r w:rsidR="00942AFB">
        <w:t xml:space="preserve"> without go</w:t>
      </w:r>
      <w:r w:rsidR="004503A7">
        <w:t>ing</w:t>
      </w:r>
      <w:r w:rsidR="00942AFB">
        <w:t xml:space="preserve"> to trial, I do not see anything </w:t>
      </w:r>
      <w:r w:rsidR="001B6562">
        <w:t xml:space="preserve">wrong </w:t>
      </w:r>
      <w:r w:rsidR="00942AFB">
        <w:t xml:space="preserve">with that.  In fact, having had the benefit of seeing the plaintiff </w:t>
      </w:r>
      <w:r w:rsidR="0061653B">
        <w:t>in person when she gave</w:t>
      </w:r>
      <w:r w:rsidR="00942AFB">
        <w:t xml:space="preserve"> </w:t>
      </w:r>
      <w:r w:rsidR="001B6562">
        <w:t>e</w:t>
      </w:r>
      <w:r w:rsidR="00942AFB">
        <w:t xml:space="preserve">vidence in court and </w:t>
      </w:r>
      <w:r w:rsidR="002163DD">
        <w:t>saw how she reacted towards</w:t>
      </w:r>
      <w:r w:rsidR="00942AFB">
        <w:t xml:space="preserve"> </w:t>
      </w:r>
      <w:r w:rsidR="002163DD">
        <w:t>the lengthy cross-</w:t>
      </w:r>
      <w:r w:rsidR="00942AFB">
        <w:t>examination</w:t>
      </w:r>
      <w:r w:rsidR="002163DD">
        <w:t xml:space="preserve"> undertaken</w:t>
      </w:r>
      <w:r w:rsidR="00942AFB">
        <w:t xml:space="preserve"> by the defendant’s counsel</w:t>
      </w:r>
      <w:r w:rsidR="002163DD">
        <w:t xml:space="preserve"> who </w:t>
      </w:r>
      <w:r w:rsidR="006F7490">
        <w:t>represented the defendant</w:t>
      </w:r>
      <w:r w:rsidR="002163DD">
        <w:t xml:space="preserve"> at the assessment</w:t>
      </w:r>
      <w:r w:rsidR="00942AFB">
        <w:t xml:space="preserve">, I could see </w:t>
      </w:r>
      <w:r w:rsidR="00511CA8">
        <w:t xml:space="preserve">that </w:t>
      </w:r>
      <w:r w:rsidR="00942AFB">
        <w:t xml:space="preserve">she was </w:t>
      </w:r>
      <w:r w:rsidR="00511CA8">
        <w:t>a lady of nervous composition</w:t>
      </w:r>
      <w:r w:rsidR="006F7490">
        <w:t xml:space="preserve"> and full of anxieties</w:t>
      </w:r>
      <w:r w:rsidR="00511CA8">
        <w:t>.  The fact</w:t>
      </w:r>
      <w:r w:rsidR="001B6562">
        <w:t xml:space="preserve"> that</w:t>
      </w:r>
      <w:r w:rsidR="002163DD">
        <w:t xml:space="preserve"> she</w:t>
      </w:r>
      <w:r w:rsidR="001B6562">
        <w:t xml:space="preserve"> was willing to compromise</w:t>
      </w:r>
      <w:r w:rsidR="00511CA8">
        <w:t xml:space="preserve"> her claim substantially </w:t>
      </w:r>
      <w:r w:rsidR="001B6562">
        <w:t>(</w:t>
      </w:r>
      <w:r w:rsidR="006F7490">
        <w:t xml:space="preserve">which was against </w:t>
      </w:r>
      <w:r w:rsidR="002163DD">
        <w:t>her</w:t>
      </w:r>
      <w:r w:rsidR="006F7490">
        <w:t xml:space="preserve"> </w:t>
      </w:r>
      <w:r w:rsidR="00211962">
        <w:t>c</w:t>
      </w:r>
      <w:r w:rsidR="001B6562">
        <w:t xml:space="preserve">ounsel’s </w:t>
      </w:r>
      <w:r w:rsidR="002163DD">
        <w:t>advice</w:t>
      </w:r>
      <w:r w:rsidR="006F7490">
        <w:t>)</w:t>
      </w:r>
      <w:r w:rsidR="0061653B">
        <w:t xml:space="preserve"> </w:t>
      </w:r>
      <w:r w:rsidR="006E4AF2">
        <w:t>should not</w:t>
      </w:r>
      <w:r w:rsidR="006F7490">
        <w:t xml:space="preserve"> </w:t>
      </w:r>
      <w:r>
        <w:t xml:space="preserve">in my view </w:t>
      </w:r>
      <w:r w:rsidR="006F7490">
        <w:t>be</w:t>
      </w:r>
      <w:r w:rsidR="0061653B">
        <w:t xml:space="preserve"> treated as</w:t>
      </w:r>
      <w:r w:rsidR="006F7490">
        <w:t xml:space="preserve"> something deplorable </w:t>
      </w:r>
      <w:r w:rsidR="002163DD">
        <w:t>or labelled as a “tactical ploy”</w:t>
      </w:r>
      <w:r w:rsidR="002175DE">
        <w:t xml:space="preserve">.  </w:t>
      </w:r>
    </w:p>
    <w:p w:rsidR="002175DE" w:rsidRDefault="002175DE" w:rsidP="002175DE">
      <w:pPr>
        <w:pStyle w:val="ListParagraph"/>
        <w:spacing w:line="360" w:lineRule="auto"/>
        <w:ind w:left="0"/>
        <w:jc w:val="both"/>
      </w:pPr>
    </w:p>
    <w:p w:rsidR="00465DC5" w:rsidRDefault="002175DE" w:rsidP="006B26B3">
      <w:pPr>
        <w:pStyle w:val="ListParagraph"/>
        <w:numPr>
          <w:ilvl w:val="0"/>
          <w:numId w:val="17"/>
        </w:numPr>
        <w:spacing w:line="360" w:lineRule="auto"/>
        <w:ind w:left="0" w:firstLine="0"/>
        <w:jc w:val="both"/>
      </w:pPr>
      <w:r>
        <w:t xml:space="preserve">On the other hand, the defendant, who </w:t>
      </w:r>
      <w:r w:rsidR="002163DD">
        <w:t>was</w:t>
      </w:r>
      <w:r>
        <w:t xml:space="preserve"> armed with all the relevant </w:t>
      </w:r>
      <w:r w:rsidR="0061653B">
        <w:t>data</w:t>
      </w:r>
      <w:r>
        <w:t xml:space="preserve"> as to the </w:t>
      </w:r>
      <w:r w:rsidR="006F7490">
        <w:t xml:space="preserve">more </w:t>
      </w:r>
      <w:r>
        <w:t xml:space="preserve">accurate </w:t>
      </w:r>
      <w:r w:rsidR="006F7490">
        <w:t>sum</w:t>
      </w:r>
      <w:r w:rsidR="002163DD">
        <w:t xml:space="preserve"> which a </w:t>
      </w:r>
      <w:r>
        <w:t>shopkeeper</w:t>
      </w:r>
      <w:r w:rsidR="006F7490">
        <w:t xml:space="preserve"> with </w:t>
      </w:r>
      <w:r w:rsidR="002163DD">
        <w:t>similar background/experience as the plaintiff</w:t>
      </w:r>
      <w:r>
        <w:t xml:space="preserve"> working at the</w:t>
      </w:r>
      <w:r w:rsidR="006F7490">
        <w:t xml:space="preserve"> defendant’s shop in </w:t>
      </w:r>
      <w:proofErr w:type="spellStart"/>
      <w:r w:rsidR="006F7490">
        <w:t>Tseung</w:t>
      </w:r>
      <w:proofErr w:type="spellEnd"/>
      <w:r w:rsidR="006F7490">
        <w:t xml:space="preserve"> Kwan O</w:t>
      </w:r>
      <w:r>
        <w:t xml:space="preserve"> was able to make, chose not to disclose those evidence.  It also chose not to call </w:t>
      </w:r>
      <w:proofErr w:type="spellStart"/>
      <w:r w:rsidR="00CE06A4">
        <w:t>Ms</w:t>
      </w:r>
      <w:proofErr w:type="spellEnd"/>
      <w:r w:rsidR="00CE06A4">
        <w:t xml:space="preserve"> Dream Hui to </w:t>
      </w:r>
      <w:r w:rsidR="00595BB9">
        <w:t>give</w:t>
      </w:r>
      <w:r w:rsidR="00CE06A4">
        <w:t xml:space="preserve"> evidence </w:t>
      </w:r>
      <w:r w:rsidR="00595BB9">
        <w:t xml:space="preserve">at the assessment hearing </w:t>
      </w:r>
      <w:r w:rsidR="00CE06A4">
        <w:t>on the purported reason that she had already left the</w:t>
      </w:r>
      <w:r w:rsidR="00595BB9">
        <w:t xml:space="preserve"> defendant’s</w:t>
      </w:r>
      <w:r w:rsidR="00CE06A4">
        <w:t xml:space="preserve"> employment.  No explanation was provided by the defendant as to why she could not be </w:t>
      </w:r>
      <w:r w:rsidR="00595BB9" w:rsidRPr="006F7490">
        <w:t>subpoenaed</w:t>
      </w:r>
      <w:r w:rsidR="00CE06A4">
        <w:t xml:space="preserve"> to </w:t>
      </w:r>
      <w:r w:rsidR="00595BB9">
        <w:t xml:space="preserve">the </w:t>
      </w:r>
      <w:r w:rsidR="00211962">
        <w:t>C</w:t>
      </w:r>
      <w:r w:rsidR="00CE06A4">
        <w:t xml:space="preserve">ourt to </w:t>
      </w:r>
      <w:r w:rsidR="00595BB9">
        <w:t>give</w:t>
      </w:r>
      <w:r w:rsidR="00CE06A4">
        <w:t xml:space="preserve"> evidence.  Nor was there any reason why </w:t>
      </w:r>
      <w:r w:rsidR="00057F3A">
        <w:t>a</w:t>
      </w:r>
      <w:r w:rsidR="007C7A45">
        <w:t xml:space="preserve"> </w:t>
      </w:r>
      <w:r w:rsidR="00465DC5">
        <w:t xml:space="preserve">more senior officer from the </w:t>
      </w:r>
      <w:r w:rsidR="00595BB9">
        <w:t>h</w:t>
      </w:r>
      <w:r w:rsidR="00465DC5">
        <w:t xml:space="preserve">uman </w:t>
      </w:r>
      <w:r w:rsidR="00595BB9">
        <w:t>r</w:t>
      </w:r>
      <w:r w:rsidR="00465DC5">
        <w:t xml:space="preserve">esources </w:t>
      </w:r>
      <w:r w:rsidR="00595BB9">
        <w:t>d</w:t>
      </w:r>
      <w:r w:rsidR="00465DC5">
        <w:t>epartment</w:t>
      </w:r>
      <w:r w:rsidR="00595BB9">
        <w:t xml:space="preserve"> of the defendant</w:t>
      </w:r>
      <w:r w:rsidR="00465DC5">
        <w:t xml:space="preserve"> </w:t>
      </w:r>
      <w:r w:rsidR="00595BB9">
        <w:t xml:space="preserve">was not arranged </w:t>
      </w:r>
      <w:r w:rsidR="00465DC5">
        <w:t xml:space="preserve">to come to give evidence in place of the </w:t>
      </w:r>
      <w:r w:rsidR="00595BB9">
        <w:t>relatively junior staff</w:t>
      </w:r>
      <w:r w:rsidR="00465DC5">
        <w:t xml:space="preserve"> who g</w:t>
      </w:r>
      <w:r w:rsidR="007C7A45">
        <w:t>a</w:t>
      </w:r>
      <w:r w:rsidR="00465DC5">
        <w:t>ve evidence</w:t>
      </w:r>
      <w:r w:rsidR="00595BB9">
        <w:t xml:space="preserve"> on behalf of the defendant</w:t>
      </w:r>
      <w:r w:rsidR="00465DC5">
        <w:t xml:space="preserve"> at the assessment hearing.</w:t>
      </w:r>
    </w:p>
    <w:p w:rsidR="00465DC5" w:rsidRDefault="00465DC5" w:rsidP="00465DC5">
      <w:pPr>
        <w:pStyle w:val="ListParagraph"/>
        <w:spacing w:line="360" w:lineRule="auto"/>
        <w:ind w:left="0"/>
        <w:jc w:val="both"/>
      </w:pPr>
    </w:p>
    <w:p w:rsidR="00465DC5" w:rsidRDefault="00465DC5" w:rsidP="00465DC5">
      <w:pPr>
        <w:pStyle w:val="ListParagraph"/>
        <w:numPr>
          <w:ilvl w:val="0"/>
          <w:numId w:val="17"/>
        </w:numPr>
        <w:spacing w:line="360" w:lineRule="auto"/>
        <w:ind w:left="0" w:firstLine="0"/>
        <w:jc w:val="both"/>
      </w:pPr>
      <w:r>
        <w:lastRenderedPageBreak/>
        <w:t>In my judgment, the defendant must have been well aware of the r</w:t>
      </w:r>
      <w:r w:rsidR="0005456C">
        <w:t>isk that</w:t>
      </w:r>
      <w:r w:rsidR="006F7490">
        <w:t>,</w:t>
      </w:r>
      <w:r w:rsidR="0005456C">
        <w:t xml:space="preserve"> </w:t>
      </w:r>
      <w:r w:rsidR="00595BB9">
        <w:t>if</w:t>
      </w:r>
      <w:r>
        <w:t xml:space="preserve"> the plaintiff</w:t>
      </w:r>
      <w:r w:rsidR="00595BB9">
        <w:t>’s</w:t>
      </w:r>
      <w:r>
        <w:t xml:space="preserve"> evidence (on her inability to return to</w:t>
      </w:r>
      <w:r w:rsidR="00595BB9">
        <w:t xml:space="preserve"> her pre-accident employment) w</w:t>
      </w:r>
      <w:r>
        <w:t xml:space="preserve">ere to be accepted by the </w:t>
      </w:r>
      <w:r w:rsidR="00D40FBD">
        <w:t>C</w:t>
      </w:r>
      <w:r>
        <w:t>ourt (</w:t>
      </w:r>
      <w:r w:rsidR="00595BB9">
        <w:t xml:space="preserve">in </w:t>
      </w:r>
      <w:r>
        <w:t>contrary to the joint</w:t>
      </w:r>
      <w:r w:rsidR="0005456C">
        <w:t xml:space="preserve"> </w:t>
      </w:r>
      <w:r>
        <w:t xml:space="preserve">opinion of the </w:t>
      </w:r>
      <w:proofErr w:type="spellStart"/>
      <w:r>
        <w:t>orthopaedic</w:t>
      </w:r>
      <w:proofErr w:type="spellEnd"/>
      <w:r>
        <w:t xml:space="preserve"> experts), the eventual damages</w:t>
      </w:r>
      <w:r w:rsidR="00595BB9">
        <w:t xml:space="preserve"> awar</w:t>
      </w:r>
      <w:r w:rsidR="000E2A0E">
        <w:t>d</w:t>
      </w:r>
      <w:r w:rsidR="00595BB9">
        <w:t>ed by the Court</w:t>
      </w:r>
      <w:r>
        <w:t xml:space="preserve"> would be much higher than the </w:t>
      </w:r>
      <w:r w:rsidR="00595BB9">
        <w:t>s</w:t>
      </w:r>
      <w:r>
        <w:t xml:space="preserve">anctioned </w:t>
      </w:r>
      <w:r w:rsidR="00595BB9">
        <w:t>p</w:t>
      </w:r>
      <w:r>
        <w:t>ayment</w:t>
      </w:r>
      <w:r w:rsidR="0005456C">
        <w:t>s</w:t>
      </w:r>
      <w:r>
        <w:t xml:space="preserve"> made by it or the </w:t>
      </w:r>
      <w:r w:rsidR="00595BB9">
        <w:t>s</w:t>
      </w:r>
      <w:r>
        <w:t xml:space="preserve">anctioned </w:t>
      </w:r>
      <w:r w:rsidR="00595BB9">
        <w:t>o</w:t>
      </w:r>
      <w:r>
        <w:t>ffer</w:t>
      </w:r>
      <w:r w:rsidR="00595BB9">
        <w:t>s</w:t>
      </w:r>
      <w:r>
        <w:t xml:space="preserve"> made by the plaintiff.  After undertaking the </w:t>
      </w:r>
      <w:r w:rsidR="00595BB9">
        <w:t>rather</w:t>
      </w:r>
      <w:r>
        <w:t xml:space="preserve"> elaborate</w:t>
      </w:r>
      <w:r w:rsidR="0005456C">
        <w:t>d</w:t>
      </w:r>
      <w:r>
        <w:t xml:space="preserve"> specific discovery exer</w:t>
      </w:r>
      <w:r w:rsidR="00595BB9">
        <w:t>cise, the defendant</w:t>
      </w:r>
      <w:r w:rsidR="006F7490">
        <w:t>’s</w:t>
      </w:r>
      <w:r w:rsidR="00595BB9">
        <w:t xml:space="preserve"> </w:t>
      </w:r>
      <w:r w:rsidR="006F7490">
        <w:t xml:space="preserve">legal advisors </w:t>
      </w:r>
      <w:r w:rsidR="00595BB9">
        <w:t>obviously w</w:t>
      </w:r>
      <w:r>
        <w:t xml:space="preserve">ere </w:t>
      </w:r>
      <w:r w:rsidR="00595BB9">
        <w:t>contended with taking</w:t>
      </w:r>
      <w:r>
        <w:t xml:space="preserve"> that </w:t>
      </w:r>
      <w:r w:rsidR="0005456C">
        <w:t>risk</w:t>
      </w:r>
      <w:r w:rsidR="006F7490">
        <w:t xml:space="preserve"> and</w:t>
      </w:r>
      <w:r>
        <w:t xml:space="preserve"> proce</w:t>
      </w:r>
      <w:r w:rsidR="00595BB9">
        <w:t>ed</w:t>
      </w:r>
      <w:r w:rsidR="006F7490">
        <w:t>ed</w:t>
      </w:r>
      <w:r w:rsidR="00595BB9">
        <w:t xml:space="preserve"> to the assessment.  Now that</w:t>
      </w:r>
      <w:r>
        <w:t xml:space="preserve"> the </w:t>
      </w:r>
      <w:r w:rsidR="00D40FBD">
        <w:t>C</w:t>
      </w:r>
      <w:r w:rsidR="00595BB9">
        <w:t>ourt has</w:t>
      </w:r>
      <w:r>
        <w:t xml:space="preserve"> found the damages was more than double than what the plaintiff had offer</w:t>
      </w:r>
      <w:r w:rsidR="0005456C">
        <w:t>ed</w:t>
      </w:r>
      <w:r>
        <w:t xml:space="preserve"> to settle the case, it </w:t>
      </w:r>
      <w:r w:rsidR="00595BB9">
        <w:t>is</w:t>
      </w:r>
      <w:r>
        <w:t xml:space="preserve"> </w:t>
      </w:r>
      <w:r w:rsidR="006F7490">
        <w:t xml:space="preserve">in my opinion </w:t>
      </w:r>
      <w:r w:rsidR="0061653B">
        <w:t>“</w:t>
      </w:r>
      <w:r>
        <w:t xml:space="preserve">no </w:t>
      </w:r>
      <w:r w:rsidR="000E2A0E">
        <w:t>use crying</w:t>
      </w:r>
      <w:r>
        <w:t xml:space="preserve"> over </w:t>
      </w:r>
      <w:r w:rsidR="006F7490">
        <w:t>spilled milk</w:t>
      </w:r>
      <w:r w:rsidR="0061653B">
        <w:t>”</w:t>
      </w:r>
      <w:r>
        <w:t>.</w:t>
      </w:r>
    </w:p>
    <w:p w:rsidR="00465DC5" w:rsidRDefault="00465DC5" w:rsidP="00465DC5">
      <w:pPr>
        <w:spacing w:line="360" w:lineRule="auto"/>
        <w:jc w:val="both"/>
      </w:pPr>
    </w:p>
    <w:p w:rsidR="006A2063" w:rsidRDefault="00465DC5" w:rsidP="00465DC5">
      <w:pPr>
        <w:pStyle w:val="ListParagraph"/>
        <w:numPr>
          <w:ilvl w:val="0"/>
          <w:numId w:val="17"/>
        </w:numPr>
        <w:spacing w:line="360" w:lineRule="auto"/>
        <w:ind w:left="0" w:firstLine="0"/>
        <w:jc w:val="both"/>
      </w:pPr>
      <w:r>
        <w:t xml:space="preserve">The defendant </w:t>
      </w:r>
      <w:r w:rsidR="00C51E94">
        <w:t xml:space="preserve">in its solicitor’s affirmation also mentioned the fact that </w:t>
      </w:r>
      <w:r w:rsidR="00595BB9">
        <w:t>it had</w:t>
      </w:r>
      <w:r>
        <w:t xml:space="preserve"> admitted liability</w:t>
      </w:r>
      <w:r w:rsidR="00595BB9">
        <w:t xml:space="preserve"> early in the proceedings</w:t>
      </w:r>
      <w:r w:rsidR="00A43383">
        <w:t>;</w:t>
      </w:r>
      <w:r>
        <w:t xml:space="preserve"> made genuine attempt</w:t>
      </w:r>
      <w:r w:rsidR="00C51E94">
        <w:t>s</w:t>
      </w:r>
      <w:r>
        <w:t xml:space="preserve"> to negotiate; and seeking the advice of counsel </w:t>
      </w:r>
      <w:r w:rsidR="00595BB9">
        <w:t>to offer or make sanctioned payment.</w:t>
      </w:r>
      <w:r>
        <w:t xml:space="preserve"> </w:t>
      </w:r>
      <w:r w:rsidR="00595BB9">
        <w:t>They say these are all</w:t>
      </w:r>
      <w:r w:rsidR="00C51E94">
        <w:t xml:space="preserve"> </w:t>
      </w:r>
      <w:r>
        <w:t>sensible and reasonable steps for</w:t>
      </w:r>
      <w:r w:rsidR="006A2063">
        <w:t xml:space="preserve"> a defendant to take.</w:t>
      </w:r>
    </w:p>
    <w:p w:rsidR="006A2063" w:rsidRDefault="006A2063" w:rsidP="006A2063">
      <w:pPr>
        <w:pStyle w:val="ListParagraph"/>
      </w:pPr>
    </w:p>
    <w:p w:rsidR="006A2063" w:rsidRDefault="006A2063" w:rsidP="00465DC5">
      <w:pPr>
        <w:pStyle w:val="ListParagraph"/>
        <w:numPr>
          <w:ilvl w:val="0"/>
          <w:numId w:val="17"/>
        </w:numPr>
        <w:spacing w:line="360" w:lineRule="auto"/>
        <w:ind w:left="0" w:firstLine="0"/>
        <w:jc w:val="both"/>
      </w:pPr>
      <w:r>
        <w:t xml:space="preserve">I do not dispute with that. However, </w:t>
      </w:r>
      <w:r w:rsidR="00465DC5">
        <w:t xml:space="preserve">the fact </w:t>
      </w:r>
      <w:r w:rsidR="00C51E94">
        <w:t>remains that</w:t>
      </w:r>
      <w:r>
        <w:t>,</w:t>
      </w:r>
      <w:r w:rsidR="00C51E94">
        <w:t xml:space="preserve"> </w:t>
      </w:r>
      <w:r w:rsidR="00465DC5">
        <w:t xml:space="preserve">after </w:t>
      </w:r>
      <w:r>
        <w:t>a 2-day assessment hearing</w:t>
      </w:r>
      <w:r w:rsidR="00465DC5">
        <w:t>, the defendant was found liable</w:t>
      </w:r>
      <w:r>
        <w:t xml:space="preserve"> to pay</w:t>
      </w:r>
      <w:r w:rsidR="00465DC5">
        <w:t xml:space="preserve"> more than double of the plaintiff’s </w:t>
      </w:r>
      <w:r>
        <w:t>s</w:t>
      </w:r>
      <w:r w:rsidR="00465DC5">
        <w:t xml:space="preserve">anctioned </w:t>
      </w:r>
      <w:r>
        <w:t>o</w:t>
      </w:r>
      <w:r w:rsidR="00465DC5">
        <w:t xml:space="preserve">ffer.  </w:t>
      </w:r>
      <w:r>
        <w:t xml:space="preserve">And there was no appeal to the Judgment. </w:t>
      </w:r>
      <w:r w:rsidR="00465DC5">
        <w:t xml:space="preserve">I agree with </w:t>
      </w:r>
      <w:proofErr w:type="spellStart"/>
      <w:r w:rsidR="00465DC5">
        <w:t>Mr</w:t>
      </w:r>
      <w:proofErr w:type="spellEnd"/>
      <w:r w:rsidR="00465DC5">
        <w:t xml:space="preserve"> Wong for the plaintiff that a genuine but wrong assessment of the claim does not make it unjust for the Court to impose the orders </w:t>
      </w:r>
      <w:r w:rsidR="00A43383">
        <w:t xml:space="preserve">set out </w:t>
      </w:r>
      <w:r w:rsidR="00465DC5">
        <w:t>under O</w:t>
      </w:r>
      <w:r w:rsidR="006F7490">
        <w:t xml:space="preserve">rder </w:t>
      </w:r>
      <w:r w:rsidR="00465DC5">
        <w:t>22 r</w:t>
      </w:r>
      <w:r w:rsidR="006F7490">
        <w:t xml:space="preserve">ule </w:t>
      </w:r>
      <w:r w:rsidR="00465DC5">
        <w:t xml:space="preserve">24.  </w:t>
      </w:r>
    </w:p>
    <w:p w:rsidR="006A2063" w:rsidRDefault="006A2063" w:rsidP="006A2063">
      <w:pPr>
        <w:pStyle w:val="ListParagraph"/>
      </w:pPr>
    </w:p>
    <w:p w:rsidR="00465DC5" w:rsidRDefault="006A2063" w:rsidP="00465DC5">
      <w:pPr>
        <w:pStyle w:val="ListParagraph"/>
        <w:numPr>
          <w:ilvl w:val="0"/>
          <w:numId w:val="17"/>
        </w:numPr>
        <w:spacing w:line="360" w:lineRule="auto"/>
        <w:ind w:left="0" w:firstLine="0"/>
        <w:jc w:val="both"/>
      </w:pPr>
      <w:r>
        <w:t>In the context of this case, I fi</w:t>
      </w:r>
      <w:r w:rsidR="00465DC5">
        <w:t>nd that had the defendant acted reasonably in accepting the plaintiff’s 1</w:t>
      </w:r>
      <w:r w:rsidR="00465DC5" w:rsidRPr="005E292C">
        <w:rPr>
          <w:vertAlign w:val="superscript"/>
        </w:rPr>
        <w:t>st</w:t>
      </w:r>
      <w:r w:rsidR="00A43383">
        <w:t> </w:t>
      </w:r>
      <w:r>
        <w:t>sanctioned o</w:t>
      </w:r>
      <w:r w:rsidR="00465DC5">
        <w:t>ffer, th</w:t>
      </w:r>
      <w:r w:rsidR="00A43383">
        <w:t>is</w:t>
      </w:r>
      <w:r w:rsidR="00465DC5">
        <w:t xml:space="preserve"> case </w:t>
      </w:r>
      <w:r>
        <w:t>would have been</w:t>
      </w:r>
      <w:r w:rsidR="00465DC5">
        <w:t xml:space="preserve"> ended much earlier and a lot of unnecessary costs could have been </w:t>
      </w:r>
      <w:r>
        <w:t>avoided.  T</w:t>
      </w:r>
      <w:r w:rsidR="00465DC5">
        <w:t xml:space="preserve">he assessment of damages hearing did not need to take </w:t>
      </w:r>
      <w:r w:rsidR="00465DC5">
        <w:lastRenderedPageBreak/>
        <w:t xml:space="preserve">place.  Given the defendant’s refusal to settle at </w:t>
      </w:r>
      <w:r w:rsidR="00C51E94">
        <w:t>the</w:t>
      </w:r>
      <w:r w:rsidR="00465DC5">
        <w:t xml:space="preserve"> much more </w:t>
      </w:r>
      <w:proofErr w:type="spellStart"/>
      <w:r w:rsidR="00465DC5">
        <w:t>favourable</w:t>
      </w:r>
      <w:proofErr w:type="spellEnd"/>
      <w:r w:rsidR="00465DC5">
        <w:t xml:space="preserve"> term</w:t>
      </w:r>
      <w:r w:rsidR="00C51E94">
        <w:t>s</w:t>
      </w:r>
      <w:r>
        <w:t xml:space="preserve"> offered to it by the plaintiff back in May 2020</w:t>
      </w:r>
      <w:r w:rsidR="00465DC5">
        <w:t>, the plaintiff was forced to undergo a stressful trial process which</w:t>
      </w:r>
      <w:r w:rsidR="006F7490">
        <w:t xml:space="preserve"> had</w:t>
      </w:r>
      <w:r w:rsidR="00465DC5">
        <w:t xml:space="preserve"> a</w:t>
      </w:r>
      <w:r w:rsidR="009B2475">
        <w:t>dd</w:t>
      </w:r>
      <w:r w:rsidR="00465DC5">
        <w:t>ed to</w:t>
      </w:r>
      <w:r>
        <w:t xml:space="preserve"> the</w:t>
      </w:r>
      <w:r w:rsidR="00465DC5">
        <w:t xml:space="preserve"> already heavy emotional and financial burden placed on top of her physical sufferings resulting from the accident.</w:t>
      </w:r>
    </w:p>
    <w:p w:rsidR="00465DC5" w:rsidRDefault="00465DC5" w:rsidP="00465DC5">
      <w:pPr>
        <w:pStyle w:val="ListParagraph"/>
        <w:spacing w:line="360" w:lineRule="auto"/>
        <w:ind w:left="0"/>
        <w:jc w:val="both"/>
      </w:pPr>
    </w:p>
    <w:p w:rsidR="00465DC5" w:rsidRDefault="006A2063" w:rsidP="00465DC5">
      <w:pPr>
        <w:pStyle w:val="ListParagraph"/>
        <w:numPr>
          <w:ilvl w:val="0"/>
          <w:numId w:val="17"/>
        </w:numPr>
        <w:spacing w:line="360" w:lineRule="auto"/>
        <w:ind w:left="0" w:firstLine="0"/>
        <w:jc w:val="both"/>
      </w:pPr>
      <w:r>
        <w:t xml:space="preserve">In the </w:t>
      </w:r>
      <w:proofErr w:type="spellStart"/>
      <w:r>
        <w:t>abovestated</w:t>
      </w:r>
      <w:proofErr w:type="spellEnd"/>
      <w:r>
        <w:t xml:space="preserve"> circumstances, I fi</w:t>
      </w:r>
      <w:r w:rsidR="00465DC5">
        <w:t>nd there is no injustice caused to the defendant in this case at all.  As a result, I shall make the following orders.</w:t>
      </w:r>
    </w:p>
    <w:p w:rsidR="00465DC5" w:rsidRDefault="00465DC5" w:rsidP="00465DC5">
      <w:pPr>
        <w:pStyle w:val="ListParagraph"/>
        <w:spacing w:line="360" w:lineRule="auto"/>
        <w:ind w:left="0"/>
        <w:jc w:val="both"/>
      </w:pPr>
    </w:p>
    <w:p w:rsidR="00465DC5" w:rsidRPr="00187838" w:rsidRDefault="00465DC5" w:rsidP="00465DC5">
      <w:pPr>
        <w:pStyle w:val="ListParagraph"/>
        <w:keepNext/>
        <w:keepLines/>
        <w:widowControl w:val="0"/>
        <w:numPr>
          <w:ilvl w:val="0"/>
          <w:numId w:val="24"/>
        </w:numPr>
        <w:tabs>
          <w:tab w:val="clear" w:pos="1440"/>
          <w:tab w:val="clear" w:pos="9072"/>
        </w:tabs>
        <w:spacing w:line="360" w:lineRule="auto"/>
        <w:ind w:hanging="720"/>
        <w:jc w:val="both"/>
        <w:rPr>
          <w:i/>
        </w:rPr>
      </w:pPr>
      <w:r w:rsidRPr="00187838">
        <w:rPr>
          <w:i/>
        </w:rPr>
        <w:t>Enhance</w:t>
      </w:r>
      <w:r>
        <w:rPr>
          <w:i/>
        </w:rPr>
        <w:t xml:space="preserve">d interest on </w:t>
      </w:r>
      <w:r w:rsidRPr="00187838">
        <w:rPr>
          <w:i/>
        </w:rPr>
        <w:t>d</w:t>
      </w:r>
      <w:r>
        <w:rPr>
          <w:i/>
        </w:rPr>
        <w:t>amages</w:t>
      </w:r>
    </w:p>
    <w:p w:rsidR="00465DC5" w:rsidRDefault="00465DC5" w:rsidP="00465DC5">
      <w:pPr>
        <w:pStyle w:val="ListParagraph"/>
        <w:spacing w:line="360" w:lineRule="auto"/>
        <w:ind w:left="0"/>
        <w:jc w:val="both"/>
      </w:pPr>
    </w:p>
    <w:p w:rsidR="00465DC5" w:rsidRDefault="00465DC5" w:rsidP="00465DC5">
      <w:pPr>
        <w:pStyle w:val="ListParagraph"/>
        <w:numPr>
          <w:ilvl w:val="0"/>
          <w:numId w:val="17"/>
        </w:numPr>
        <w:spacing w:line="360" w:lineRule="auto"/>
        <w:ind w:left="0" w:firstLine="0"/>
        <w:jc w:val="both"/>
      </w:pPr>
      <w:r>
        <w:t>O</w:t>
      </w:r>
      <w:r w:rsidR="006F7490">
        <w:t xml:space="preserve">rder </w:t>
      </w:r>
      <w:r>
        <w:t>22 r</w:t>
      </w:r>
      <w:r w:rsidR="006F7490">
        <w:t xml:space="preserve">ule </w:t>
      </w:r>
      <w:r>
        <w:t xml:space="preserve">24 allows the Court to award enhanced interest at a rate up to 10% above judgment rate.  The rationale behind this </w:t>
      </w:r>
      <w:r w:rsidR="004D2CC2">
        <w:t xml:space="preserve">is to </w:t>
      </w:r>
      <w:r>
        <w:t>encourage settlement and discourage unreasonable refusal to accept reasonab</w:t>
      </w:r>
      <w:r w:rsidR="006F7490">
        <w:t>le offers made by the plaintiff</w:t>
      </w:r>
      <w:r>
        <w:t>.</w:t>
      </w:r>
    </w:p>
    <w:p w:rsidR="00465DC5" w:rsidRDefault="00465DC5" w:rsidP="00465DC5">
      <w:pPr>
        <w:pStyle w:val="ListParagraph"/>
        <w:spacing w:line="360" w:lineRule="auto"/>
        <w:ind w:left="0"/>
        <w:jc w:val="both"/>
      </w:pPr>
    </w:p>
    <w:p w:rsidR="00465DC5" w:rsidRDefault="00465DC5" w:rsidP="00465DC5">
      <w:pPr>
        <w:pStyle w:val="ListParagraph"/>
        <w:numPr>
          <w:ilvl w:val="0"/>
          <w:numId w:val="17"/>
        </w:numPr>
        <w:spacing w:line="360" w:lineRule="auto"/>
        <w:ind w:left="0" w:firstLine="0"/>
        <w:jc w:val="both"/>
      </w:pPr>
      <w:r>
        <w:t>The provision under O</w:t>
      </w:r>
      <w:r w:rsidR="006F7490">
        <w:t xml:space="preserve">rder </w:t>
      </w:r>
      <w:r>
        <w:t>22 r</w:t>
      </w:r>
      <w:r w:rsidR="006F7490">
        <w:t xml:space="preserve">ule </w:t>
      </w:r>
      <w:r>
        <w:t xml:space="preserve">24 is </w:t>
      </w:r>
      <w:r w:rsidRPr="00C13FCA">
        <w:t>not</w:t>
      </w:r>
      <w:r>
        <w:t xml:space="preserve"> compensatory.  As </w:t>
      </w:r>
      <w:r w:rsidR="00C13FCA">
        <w:t xml:space="preserve">stated </w:t>
      </w:r>
      <w:r>
        <w:t xml:space="preserve">by </w:t>
      </w:r>
      <w:r w:rsidR="006F7490">
        <w:t xml:space="preserve">Hon </w:t>
      </w:r>
      <w:r>
        <w:t xml:space="preserve">Au-Yeung J in </w:t>
      </w:r>
      <w:r w:rsidRPr="0016257A">
        <w:rPr>
          <w:i/>
        </w:rPr>
        <w:t xml:space="preserve">Chow How </w:t>
      </w:r>
      <w:proofErr w:type="spellStart"/>
      <w:r w:rsidRPr="0016257A">
        <w:rPr>
          <w:i/>
        </w:rPr>
        <w:t>Yeen</w:t>
      </w:r>
      <w:proofErr w:type="spellEnd"/>
      <w:r w:rsidRPr="0016257A">
        <w:rPr>
          <w:i/>
        </w:rPr>
        <w:t xml:space="preserve"> Margaret &amp; Others v </w:t>
      </w:r>
      <w:proofErr w:type="spellStart"/>
      <w:r w:rsidRPr="0016257A">
        <w:rPr>
          <w:i/>
        </w:rPr>
        <w:t>Wex</w:t>
      </w:r>
      <w:proofErr w:type="spellEnd"/>
      <w:r w:rsidRPr="0016257A">
        <w:rPr>
          <w:i/>
        </w:rPr>
        <w:t xml:space="preserve"> Pharmaceuticals </w:t>
      </w:r>
      <w:proofErr w:type="spellStart"/>
      <w:r w:rsidRPr="0016257A">
        <w:rPr>
          <w:i/>
        </w:rPr>
        <w:t>Inc</w:t>
      </w:r>
      <w:proofErr w:type="spellEnd"/>
      <w:r w:rsidRPr="0016257A">
        <w:rPr>
          <w:i/>
        </w:rPr>
        <w:t xml:space="preserve"> &amp; Anor</w:t>
      </w:r>
      <w:r w:rsidR="006F7490">
        <w:t xml:space="preserve"> (unreported, HCA 537/2013, 5 September </w:t>
      </w:r>
      <w:r>
        <w:t>2017) at §33, the power to award interest at an enhanced rate is:</w:t>
      </w:r>
    </w:p>
    <w:p w:rsidR="00465DC5" w:rsidRDefault="00465DC5" w:rsidP="00465DC5">
      <w:pPr>
        <w:pStyle w:val="ListParagraph"/>
      </w:pPr>
    </w:p>
    <w:p w:rsidR="00465DC5" w:rsidRPr="0016257A" w:rsidRDefault="00465DC5" w:rsidP="00465DC5">
      <w:pPr>
        <w:tabs>
          <w:tab w:val="clear" w:pos="1440"/>
          <w:tab w:val="clear" w:pos="9072"/>
        </w:tabs>
        <w:ind w:left="1440" w:right="746"/>
        <w:jc w:val="both"/>
        <w:rPr>
          <w:sz w:val="24"/>
          <w:szCs w:val="24"/>
        </w:rPr>
      </w:pPr>
      <w:r w:rsidRPr="0016257A">
        <w:rPr>
          <w:sz w:val="24"/>
          <w:szCs w:val="24"/>
        </w:rPr>
        <w:t>“to redress the element of perceived unfairness, otherwise inherent in the legal process, which arises from the fact that damages, costs (even on an indemnity basis) and statutory interest will not compensate the successful claimant for the inconvenience, anxiety and distress of having resort to and pursue proceedings…”</w:t>
      </w:r>
    </w:p>
    <w:p w:rsidR="00465DC5" w:rsidRDefault="00465DC5" w:rsidP="00465DC5">
      <w:pPr>
        <w:pStyle w:val="ListParagraph"/>
        <w:spacing w:line="360" w:lineRule="auto"/>
        <w:ind w:left="0"/>
        <w:jc w:val="both"/>
      </w:pPr>
    </w:p>
    <w:p w:rsidR="00465DC5" w:rsidRDefault="00465DC5" w:rsidP="00465DC5">
      <w:pPr>
        <w:pStyle w:val="ListParagraph"/>
        <w:numPr>
          <w:ilvl w:val="0"/>
          <w:numId w:val="17"/>
        </w:numPr>
        <w:spacing w:line="360" w:lineRule="auto"/>
        <w:ind w:left="0" w:firstLine="0"/>
        <w:jc w:val="both"/>
      </w:pPr>
      <w:r>
        <w:t xml:space="preserve">In </w:t>
      </w:r>
      <w:r w:rsidRPr="0016257A">
        <w:rPr>
          <w:i/>
        </w:rPr>
        <w:t xml:space="preserve">Chow How </w:t>
      </w:r>
      <w:proofErr w:type="spellStart"/>
      <w:r w:rsidRPr="0016257A">
        <w:rPr>
          <w:i/>
        </w:rPr>
        <w:t>Yeen</w:t>
      </w:r>
      <w:proofErr w:type="spellEnd"/>
      <w:r w:rsidRPr="0016257A">
        <w:rPr>
          <w:i/>
        </w:rPr>
        <w:t xml:space="preserve"> Margaret</w:t>
      </w:r>
      <w:r w:rsidRPr="006F7490">
        <w:rPr>
          <w:i/>
        </w:rPr>
        <w:t>,</w:t>
      </w:r>
      <w:r w:rsidR="006F7490">
        <w:rPr>
          <w:i/>
        </w:rPr>
        <w:t xml:space="preserve"> supra,</w:t>
      </w:r>
      <w:r>
        <w:t xml:space="preserve"> despite the defendant’s purported reasons to explain why the offer was not accepted there and then, </w:t>
      </w:r>
      <w:r>
        <w:lastRenderedPageBreak/>
        <w:t>Au-Yeung J found no reason to reduce the enhanced rate and ordered 10% above judgment rate on judgment.</w:t>
      </w:r>
    </w:p>
    <w:p w:rsidR="00465DC5" w:rsidRDefault="00465DC5" w:rsidP="00465DC5">
      <w:pPr>
        <w:pStyle w:val="ListParagraph"/>
        <w:spacing w:line="360" w:lineRule="auto"/>
        <w:ind w:left="0"/>
        <w:jc w:val="both"/>
      </w:pPr>
    </w:p>
    <w:p w:rsidR="00465DC5" w:rsidRDefault="00465DC5" w:rsidP="00465DC5">
      <w:pPr>
        <w:pStyle w:val="ListParagraph"/>
        <w:numPr>
          <w:ilvl w:val="0"/>
          <w:numId w:val="17"/>
        </w:numPr>
        <w:spacing w:line="360" w:lineRule="auto"/>
        <w:ind w:left="0" w:firstLine="0"/>
        <w:jc w:val="both"/>
      </w:pPr>
      <w:r>
        <w:t xml:space="preserve">The same rate was also adopted in </w:t>
      </w:r>
      <w:proofErr w:type="spellStart"/>
      <w:r w:rsidRPr="00837E2C">
        <w:rPr>
          <w:i/>
        </w:rPr>
        <w:t>Grupo</w:t>
      </w:r>
      <w:proofErr w:type="spellEnd"/>
      <w:r w:rsidRPr="00837E2C">
        <w:rPr>
          <w:i/>
        </w:rPr>
        <w:t xml:space="preserve"> Pacifica </w:t>
      </w:r>
      <w:proofErr w:type="spellStart"/>
      <w:r w:rsidRPr="00837E2C">
        <w:rPr>
          <w:i/>
        </w:rPr>
        <w:t>Incorpor</w:t>
      </w:r>
      <w:r w:rsidR="006F7490">
        <w:rPr>
          <w:i/>
        </w:rPr>
        <w:t>ada</w:t>
      </w:r>
      <w:proofErr w:type="spellEnd"/>
      <w:r w:rsidR="006F7490">
        <w:rPr>
          <w:i/>
        </w:rPr>
        <w:t xml:space="preserve"> v Worldwide Marine Product</w:t>
      </w:r>
      <w:r w:rsidRPr="00837E2C">
        <w:rPr>
          <w:i/>
        </w:rPr>
        <w:t xml:space="preserve"> L</w:t>
      </w:r>
      <w:r w:rsidR="006F7490">
        <w:rPr>
          <w:i/>
        </w:rPr>
        <w:t>imi</w:t>
      </w:r>
      <w:r w:rsidRPr="00837E2C">
        <w:rPr>
          <w:i/>
        </w:rPr>
        <w:t>t</w:t>
      </w:r>
      <w:r w:rsidR="006F7490">
        <w:rPr>
          <w:i/>
        </w:rPr>
        <w:t>e</w:t>
      </w:r>
      <w:r w:rsidRPr="00837E2C">
        <w:rPr>
          <w:i/>
        </w:rPr>
        <w:t>d &amp; Others</w:t>
      </w:r>
      <w:r>
        <w:t xml:space="preserve"> [2018] HKCFI 2584 (u</w:t>
      </w:r>
      <w:r w:rsidR="006F7490">
        <w:t xml:space="preserve">nreported, HCA 2640/2014, 22 November </w:t>
      </w:r>
      <w:r>
        <w:t>2018).</w:t>
      </w:r>
    </w:p>
    <w:p w:rsidR="00465DC5" w:rsidRDefault="00465DC5" w:rsidP="00465DC5">
      <w:pPr>
        <w:pStyle w:val="ListParagraph"/>
        <w:spacing w:line="360" w:lineRule="auto"/>
        <w:ind w:left="0"/>
        <w:jc w:val="both"/>
      </w:pPr>
    </w:p>
    <w:p w:rsidR="00465DC5" w:rsidRDefault="00465DC5" w:rsidP="00465DC5">
      <w:pPr>
        <w:pStyle w:val="ListParagraph"/>
        <w:numPr>
          <w:ilvl w:val="0"/>
          <w:numId w:val="17"/>
        </w:numPr>
        <w:spacing w:line="360" w:lineRule="auto"/>
        <w:ind w:left="0" w:firstLine="0"/>
        <w:jc w:val="both"/>
      </w:pPr>
      <w:r>
        <w:t xml:space="preserve">In </w:t>
      </w:r>
      <w:r w:rsidR="006F7490">
        <w:t xml:space="preserve">the </w:t>
      </w:r>
      <w:r w:rsidR="00C13FCA">
        <w:t>PI</w:t>
      </w:r>
      <w:r w:rsidR="006F7490">
        <w:t xml:space="preserve"> contex</w:t>
      </w:r>
      <w:r>
        <w:t xml:space="preserve">t, in </w:t>
      </w:r>
      <w:r w:rsidRPr="00837E2C">
        <w:rPr>
          <w:i/>
        </w:rPr>
        <w:t xml:space="preserve">Xu </w:t>
      </w:r>
      <w:proofErr w:type="spellStart"/>
      <w:r w:rsidRPr="00837E2C">
        <w:rPr>
          <w:i/>
        </w:rPr>
        <w:t>Xinhong</w:t>
      </w:r>
      <w:proofErr w:type="spellEnd"/>
      <w:r w:rsidRPr="00837E2C">
        <w:rPr>
          <w:i/>
        </w:rPr>
        <w:t xml:space="preserve"> v Cheung Chu Lau</w:t>
      </w:r>
      <w:r>
        <w:t xml:space="preserve"> [2019] HKCFI 1691 where similarly the defendant was held liable for more than the plaintiff’s </w:t>
      </w:r>
      <w:r w:rsidR="00C13FCA">
        <w:t>s</w:t>
      </w:r>
      <w:r>
        <w:t xml:space="preserve">anctioned </w:t>
      </w:r>
      <w:r w:rsidR="00C13FCA">
        <w:t>o</w:t>
      </w:r>
      <w:r>
        <w:t xml:space="preserve">ffer, Master J Wong rejected the defendant’s submission that an enhanced interest rate should only apply to PSLA and pre-trial losses.  The </w:t>
      </w:r>
      <w:r w:rsidR="00C13FCA">
        <w:t>c</w:t>
      </w:r>
      <w:r>
        <w:t>ourt adopted 10% above judgment rate as the interest rate on the plaintiff’s damages.</w:t>
      </w:r>
    </w:p>
    <w:p w:rsidR="00465DC5" w:rsidRDefault="00465DC5" w:rsidP="00465DC5">
      <w:pPr>
        <w:pStyle w:val="ListParagraph"/>
        <w:spacing w:line="360" w:lineRule="auto"/>
        <w:ind w:left="0"/>
        <w:jc w:val="both"/>
      </w:pPr>
    </w:p>
    <w:p w:rsidR="00C13FCA" w:rsidRDefault="00465DC5" w:rsidP="00465DC5">
      <w:pPr>
        <w:pStyle w:val="ListParagraph"/>
        <w:numPr>
          <w:ilvl w:val="0"/>
          <w:numId w:val="17"/>
        </w:numPr>
        <w:spacing w:line="360" w:lineRule="auto"/>
        <w:ind w:left="0" w:firstLine="0"/>
        <w:jc w:val="both"/>
      </w:pPr>
      <w:r>
        <w:t xml:space="preserve">In my judgment, the 10% above judgment rate in the non-PI cases </w:t>
      </w:r>
      <w:r w:rsidR="00C13FCA">
        <w:t xml:space="preserve">cited by </w:t>
      </w:r>
      <w:proofErr w:type="spellStart"/>
      <w:r w:rsidR="00C13FCA">
        <w:t>Mr</w:t>
      </w:r>
      <w:proofErr w:type="spellEnd"/>
      <w:r w:rsidR="00C13FCA">
        <w:t xml:space="preserve"> Wong </w:t>
      </w:r>
      <w:r>
        <w:t xml:space="preserve">involve the defendant of extremely unreasonable </w:t>
      </w:r>
      <w:proofErr w:type="spellStart"/>
      <w:r>
        <w:t>behavio</w:t>
      </w:r>
      <w:r w:rsidR="004A6292">
        <w:t>u</w:t>
      </w:r>
      <w:r>
        <w:t>r</w:t>
      </w:r>
      <w:proofErr w:type="spellEnd"/>
      <w:r>
        <w:t>.  They do not apply in the present case</w:t>
      </w:r>
      <w:r w:rsidR="00EB5BC4">
        <w:t>.</w:t>
      </w:r>
      <w:r>
        <w:t xml:space="preserve">  </w:t>
      </w:r>
      <w:r w:rsidR="00C13FCA">
        <w:t>With</w:t>
      </w:r>
      <w:r w:rsidR="00EB5BC4">
        <w:t xml:space="preserve"> respect to the learned </w:t>
      </w:r>
      <w:r w:rsidR="00C13FCA">
        <w:t>m</w:t>
      </w:r>
      <w:r w:rsidR="00EB5BC4">
        <w:t>aster</w:t>
      </w:r>
      <w:r w:rsidR="00C13FCA">
        <w:t xml:space="preserve"> in </w:t>
      </w:r>
      <w:r w:rsidR="00C13FCA" w:rsidRPr="00C13FCA">
        <w:rPr>
          <w:i/>
        </w:rPr>
        <w:t xml:space="preserve">Xu </w:t>
      </w:r>
      <w:proofErr w:type="spellStart"/>
      <w:r w:rsidR="00C13FCA" w:rsidRPr="00C13FCA">
        <w:rPr>
          <w:i/>
        </w:rPr>
        <w:t>Xinhong</w:t>
      </w:r>
      <w:proofErr w:type="spellEnd"/>
      <w:r w:rsidR="006F7490">
        <w:rPr>
          <w:i/>
        </w:rPr>
        <w:t>, supra</w:t>
      </w:r>
      <w:r>
        <w:t xml:space="preserve">, </w:t>
      </w:r>
      <w:r w:rsidR="0061653B">
        <w:t>I</w:t>
      </w:r>
      <w:r>
        <w:t xml:space="preserve"> do not find </w:t>
      </w:r>
      <w:r w:rsidR="00EB5BC4">
        <w:t xml:space="preserve">there was any </w:t>
      </w:r>
      <w:r>
        <w:t xml:space="preserve">good reason to impose </w:t>
      </w:r>
      <w:r w:rsidR="001F69FA">
        <w:t xml:space="preserve">the 10% above </w:t>
      </w:r>
      <w:r>
        <w:t>judgment rate</w:t>
      </w:r>
      <w:r w:rsidR="0061653B">
        <w:t xml:space="preserve"> interest</w:t>
      </w:r>
      <w:r>
        <w:t xml:space="preserve"> in </w:t>
      </w:r>
      <w:r w:rsidR="00C13FCA">
        <w:t>that</w:t>
      </w:r>
      <w:r>
        <w:t xml:space="preserve"> case.  </w:t>
      </w:r>
    </w:p>
    <w:p w:rsidR="00C13FCA" w:rsidRDefault="00C13FCA" w:rsidP="00C13FCA">
      <w:pPr>
        <w:pStyle w:val="ListParagraph"/>
      </w:pPr>
    </w:p>
    <w:p w:rsidR="00465DC5" w:rsidRDefault="00465DC5" w:rsidP="00465DC5">
      <w:pPr>
        <w:pStyle w:val="ListParagraph"/>
        <w:numPr>
          <w:ilvl w:val="0"/>
          <w:numId w:val="17"/>
        </w:numPr>
        <w:spacing w:line="360" w:lineRule="auto"/>
        <w:ind w:left="0" w:firstLine="0"/>
        <w:jc w:val="both"/>
      </w:pPr>
      <w:r>
        <w:t xml:space="preserve">I do not consider that this is an extreme case where 10% above judgment </w:t>
      </w:r>
      <w:r w:rsidR="001F69FA">
        <w:t xml:space="preserve">rate </w:t>
      </w:r>
      <w:r>
        <w:t>interest should be impose</w:t>
      </w:r>
      <w:r w:rsidR="003C6203">
        <w:t>d</w:t>
      </w:r>
      <w:r>
        <w:t xml:space="preserve"> on the damages.  Instead, as in line with most of the decided PI case</w:t>
      </w:r>
      <w:r w:rsidR="00C13FCA">
        <w:t>s</w:t>
      </w:r>
      <w:r>
        <w:t xml:space="preserve">, I consider that a 2% above judgment rate as enhanced interest on damages is reasonable and the same should run from </w:t>
      </w:r>
      <w:r w:rsidR="00E634C2">
        <w:t>the</w:t>
      </w:r>
      <w:r>
        <w:t xml:space="preserve"> date of deadline of accepting the </w:t>
      </w:r>
      <w:r w:rsidR="00E634C2">
        <w:t>s</w:t>
      </w:r>
      <w:r>
        <w:t xml:space="preserve">anctioned </w:t>
      </w:r>
      <w:r w:rsidR="00E634C2">
        <w:t>o</w:t>
      </w:r>
      <w:r>
        <w:t>ffer without leave (</w:t>
      </w:r>
      <w:proofErr w:type="spellStart"/>
      <w:r>
        <w:t>ie</w:t>
      </w:r>
      <w:proofErr w:type="spellEnd"/>
      <w:r>
        <w:t xml:space="preserve"> on 2</w:t>
      </w:r>
      <w:r>
        <w:rPr>
          <w:vertAlign w:val="superscript"/>
        </w:rPr>
        <w:t xml:space="preserve"> </w:t>
      </w:r>
      <w:r>
        <w:t xml:space="preserve">June 2020 up to the date of </w:t>
      </w:r>
      <w:r w:rsidR="001F69FA">
        <w:t>J</w:t>
      </w:r>
      <w:r>
        <w:t>udgment and thereafter at judgment rate).</w:t>
      </w:r>
    </w:p>
    <w:p w:rsidR="00465DC5" w:rsidRDefault="00465DC5" w:rsidP="00465DC5">
      <w:pPr>
        <w:pStyle w:val="ListParagraph"/>
        <w:spacing w:line="360" w:lineRule="auto"/>
        <w:ind w:left="0"/>
        <w:jc w:val="both"/>
      </w:pPr>
    </w:p>
    <w:p w:rsidR="00465DC5" w:rsidRPr="00187838" w:rsidRDefault="00465DC5" w:rsidP="00465DC5">
      <w:pPr>
        <w:pStyle w:val="ListParagraph"/>
        <w:keepNext/>
        <w:keepLines/>
        <w:widowControl w:val="0"/>
        <w:numPr>
          <w:ilvl w:val="0"/>
          <w:numId w:val="24"/>
        </w:numPr>
        <w:tabs>
          <w:tab w:val="clear" w:pos="1440"/>
          <w:tab w:val="clear" w:pos="9072"/>
        </w:tabs>
        <w:spacing w:line="360" w:lineRule="auto"/>
        <w:ind w:hanging="720"/>
        <w:jc w:val="both"/>
        <w:rPr>
          <w:i/>
        </w:rPr>
      </w:pPr>
      <w:r>
        <w:rPr>
          <w:i/>
        </w:rPr>
        <w:lastRenderedPageBreak/>
        <w:t xml:space="preserve">Indemnity costs and </w:t>
      </w:r>
      <w:r w:rsidR="00E634C2">
        <w:rPr>
          <w:i/>
        </w:rPr>
        <w:t>i</w:t>
      </w:r>
      <w:r>
        <w:rPr>
          <w:i/>
        </w:rPr>
        <w:t xml:space="preserve">nterest on costs </w:t>
      </w:r>
    </w:p>
    <w:p w:rsidR="00465DC5" w:rsidRDefault="00465DC5" w:rsidP="001F69FA">
      <w:pPr>
        <w:pStyle w:val="ListParagraph"/>
        <w:keepNext/>
        <w:keepLines/>
        <w:widowControl w:val="0"/>
        <w:tabs>
          <w:tab w:val="clear" w:pos="1440"/>
          <w:tab w:val="clear" w:pos="9072"/>
        </w:tabs>
        <w:spacing w:line="360" w:lineRule="auto"/>
        <w:jc w:val="both"/>
      </w:pPr>
    </w:p>
    <w:p w:rsidR="00465DC5" w:rsidRDefault="00465DC5" w:rsidP="00465DC5">
      <w:pPr>
        <w:pStyle w:val="ListParagraph"/>
        <w:numPr>
          <w:ilvl w:val="0"/>
          <w:numId w:val="17"/>
        </w:numPr>
        <w:spacing w:line="360" w:lineRule="auto"/>
        <w:ind w:left="0" w:firstLine="0"/>
        <w:jc w:val="both"/>
      </w:pPr>
      <w:r>
        <w:t xml:space="preserve">Given the above, </w:t>
      </w:r>
      <w:r w:rsidR="00C13FCA">
        <w:t>I also fi</w:t>
      </w:r>
      <w:r>
        <w:t xml:space="preserve">nd that the plaintiff is entitled to costs to be taxed on indemnity basis </w:t>
      </w:r>
      <w:r w:rsidR="00E634C2">
        <w:t>from</w:t>
      </w:r>
      <w:r>
        <w:t xml:space="preserve"> 3 June 2020</w:t>
      </w:r>
      <w:r w:rsidR="0061653B">
        <w:t xml:space="preserve"> onwards</w:t>
      </w:r>
      <w:r>
        <w:t xml:space="preserve">.  </w:t>
      </w:r>
    </w:p>
    <w:p w:rsidR="00465DC5" w:rsidRDefault="00465DC5" w:rsidP="00465DC5">
      <w:pPr>
        <w:pStyle w:val="ListParagraph"/>
        <w:spacing w:line="360" w:lineRule="auto"/>
        <w:ind w:left="0"/>
        <w:jc w:val="both"/>
      </w:pPr>
    </w:p>
    <w:p w:rsidR="00465DC5" w:rsidRDefault="00465DC5" w:rsidP="00465DC5">
      <w:pPr>
        <w:pStyle w:val="ListParagraph"/>
        <w:numPr>
          <w:ilvl w:val="0"/>
          <w:numId w:val="17"/>
        </w:numPr>
        <w:spacing w:line="360" w:lineRule="auto"/>
        <w:ind w:left="0" w:firstLine="0"/>
        <w:jc w:val="both"/>
      </w:pPr>
      <w:r>
        <w:t xml:space="preserve">As to interest on costs, the </w:t>
      </w:r>
      <w:r w:rsidR="00B20637">
        <w:t>C</w:t>
      </w:r>
      <w:r>
        <w:t xml:space="preserve">ourt </w:t>
      </w:r>
      <w:r w:rsidRPr="00C13FCA">
        <w:rPr>
          <w:i/>
        </w:rPr>
        <w:t>may</w:t>
      </w:r>
      <w:r>
        <w:t xml:space="preserve"> award at a rate not exceeding 10% above judgement rate.  The enhanced interest on costs is meant to compensate the party who offers settlement for the costs incurred before judgment: see Chu JA in </w:t>
      </w:r>
      <w:r w:rsidRPr="001553A9">
        <w:rPr>
          <w:i/>
        </w:rPr>
        <w:t>Wong Tang Keung</w:t>
      </w:r>
      <w:r w:rsidR="00E634C2">
        <w:rPr>
          <w:i/>
        </w:rPr>
        <w:t xml:space="preserve"> (</w:t>
      </w:r>
      <w:r w:rsidR="00E634C2" w:rsidRPr="00E634C2">
        <w:rPr>
          <w:rFonts w:ascii="PMingLiU" w:eastAsia="PMingLiU" w:hAnsi="PMingLiU" w:hint="eastAsia"/>
          <w:i/>
        </w:rPr>
        <w:t>黃登強</w:t>
      </w:r>
      <w:r w:rsidR="00E634C2">
        <w:rPr>
          <w:i/>
        </w:rPr>
        <w:t>)</w:t>
      </w:r>
      <w:r w:rsidRPr="001553A9">
        <w:rPr>
          <w:i/>
        </w:rPr>
        <w:t xml:space="preserve"> v Lee </w:t>
      </w:r>
      <w:proofErr w:type="spellStart"/>
      <w:r w:rsidRPr="001553A9">
        <w:rPr>
          <w:i/>
        </w:rPr>
        <w:t>Wai</w:t>
      </w:r>
      <w:proofErr w:type="spellEnd"/>
      <w:r w:rsidRPr="001553A9">
        <w:rPr>
          <w:i/>
        </w:rPr>
        <w:t xml:space="preserve"> Engineering Co Ltd</w:t>
      </w:r>
      <w:r w:rsidR="00E634C2">
        <w:rPr>
          <w:i/>
        </w:rPr>
        <w:t xml:space="preserve"> (</w:t>
      </w:r>
      <w:r w:rsidR="00E634C2" w:rsidRPr="00E634C2">
        <w:rPr>
          <w:rFonts w:ascii="PMingLiU" w:eastAsia="PMingLiU" w:hAnsi="PMingLiU" w:hint="eastAsia"/>
          <w:i/>
        </w:rPr>
        <w:t>利維工程有限公司</w:t>
      </w:r>
      <w:r w:rsidR="00E634C2">
        <w:rPr>
          <w:rFonts w:hint="eastAsia"/>
          <w:i/>
        </w:rPr>
        <w:t>)</w:t>
      </w:r>
      <w:r w:rsidR="00E634C2">
        <w:rPr>
          <w:i/>
        </w:rPr>
        <w:t xml:space="preserve"> &amp; Anor</w:t>
      </w:r>
      <w:r w:rsidRPr="001553A9">
        <w:rPr>
          <w:i/>
        </w:rPr>
        <w:t xml:space="preserve"> </w:t>
      </w:r>
      <w:r>
        <w:t>[2014] 1 HKLRD 409 at §18.</w:t>
      </w:r>
    </w:p>
    <w:p w:rsidR="00465DC5" w:rsidRDefault="00465DC5" w:rsidP="00B20637">
      <w:pPr>
        <w:pStyle w:val="ListParagraph"/>
        <w:spacing w:line="360" w:lineRule="auto"/>
        <w:ind w:left="0"/>
        <w:jc w:val="both"/>
      </w:pPr>
    </w:p>
    <w:p w:rsidR="00465DC5" w:rsidRDefault="00C13FCA" w:rsidP="00465DC5">
      <w:pPr>
        <w:pStyle w:val="ListParagraph"/>
        <w:numPr>
          <w:ilvl w:val="0"/>
          <w:numId w:val="17"/>
        </w:numPr>
        <w:spacing w:line="360" w:lineRule="auto"/>
        <w:ind w:left="0" w:firstLine="0"/>
        <w:jc w:val="both"/>
      </w:pPr>
      <w:r>
        <w:t xml:space="preserve">Contrary to the 10% </w:t>
      </w:r>
      <w:r w:rsidR="00E634C2">
        <w:t xml:space="preserve">above judgment rate </w:t>
      </w:r>
      <w:r>
        <w:t>they sought in the summons, t</w:t>
      </w:r>
      <w:r w:rsidR="00465DC5">
        <w:t>he plaintiff now seeks interest at 2% above judgment rate by rel</w:t>
      </w:r>
      <w:r w:rsidR="00E634C2">
        <w:t>ying</w:t>
      </w:r>
      <w:r w:rsidR="00465DC5">
        <w:t xml:space="preserve"> on the following PI </w:t>
      </w:r>
      <w:proofErr w:type="gramStart"/>
      <w:r w:rsidR="00465DC5">
        <w:t>cases:</w:t>
      </w:r>
      <w:r w:rsidR="00211962">
        <w:t>-</w:t>
      </w:r>
      <w:proofErr w:type="gramEnd"/>
    </w:p>
    <w:p w:rsidR="00C13FCA" w:rsidRDefault="00C13FCA" w:rsidP="00C13FCA">
      <w:pPr>
        <w:pStyle w:val="ListParagraph"/>
      </w:pPr>
    </w:p>
    <w:p w:rsidR="00C13FCA" w:rsidRDefault="00C13FCA" w:rsidP="00C13FCA">
      <w:pPr>
        <w:pStyle w:val="ListParagraph"/>
        <w:numPr>
          <w:ilvl w:val="0"/>
          <w:numId w:val="31"/>
        </w:numPr>
        <w:spacing w:line="360" w:lineRule="auto"/>
        <w:ind w:left="2160" w:hanging="720"/>
        <w:jc w:val="both"/>
      </w:pPr>
      <w:r w:rsidRPr="00376862">
        <w:rPr>
          <w:i/>
        </w:rPr>
        <w:t xml:space="preserve">Au Man Ming v </w:t>
      </w:r>
      <w:proofErr w:type="spellStart"/>
      <w:r w:rsidRPr="00376862">
        <w:rPr>
          <w:i/>
        </w:rPr>
        <w:t>Goldwell</w:t>
      </w:r>
      <w:proofErr w:type="spellEnd"/>
      <w:r w:rsidRPr="00376862">
        <w:rPr>
          <w:i/>
        </w:rPr>
        <w:t xml:space="preserve"> Property Management Limited</w:t>
      </w:r>
      <w:r>
        <w:t xml:space="preserve"> (</w:t>
      </w:r>
      <w:r w:rsidR="00E634C2">
        <w:t xml:space="preserve">unreported, DCPI 636/2010, 28 September </w:t>
      </w:r>
      <w:r>
        <w:t>2011)</w:t>
      </w:r>
      <w:r w:rsidR="00E634C2">
        <w:t xml:space="preserve"> at </w:t>
      </w:r>
      <w:r>
        <w:t>1% above judgment rate;</w:t>
      </w:r>
    </w:p>
    <w:p w:rsidR="00C13FCA" w:rsidRDefault="00C13FCA" w:rsidP="00C13FCA">
      <w:pPr>
        <w:pStyle w:val="ListParagraph"/>
        <w:spacing w:line="360" w:lineRule="auto"/>
        <w:ind w:left="2160"/>
        <w:jc w:val="both"/>
      </w:pPr>
    </w:p>
    <w:p w:rsidR="00C13FCA" w:rsidRDefault="00C13FCA" w:rsidP="00C13FCA">
      <w:pPr>
        <w:pStyle w:val="ListParagraph"/>
        <w:numPr>
          <w:ilvl w:val="0"/>
          <w:numId w:val="31"/>
        </w:numPr>
        <w:spacing w:line="360" w:lineRule="auto"/>
        <w:ind w:left="2160" w:hanging="720"/>
        <w:jc w:val="both"/>
      </w:pPr>
      <w:r w:rsidRPr="00376862">
        <w:rPr>
          <w:i/>
        </w:rPr>
        <w:t xml:space="preserve">Chan Lap Kwan v </w:t>
      </w:r>
      <w:proofErr w:type="spellStart"/>
      <w:r w:rsidRPr="00376862">
        <w:rPr>
          <w:i/>
        </w:rPr>
        <w:t>Skypy</w:t>
      </w:r>
      <w:proofErr w:type="spellEnd"/>
      <w:r w:rsidRPr="00376862">
        <w:rPr>
          <w:i/>
        </w:rPr>
        <w:t xml:space="preserve"> Limited &amp; Anor</w:t>
      </w:r>
      <w:r>
        <w:t xml:space="preserve"> </w:t>
      </w:r>
      <w:r w:rsidR="00E634C2">
        <w:t>(unreported, HCPI 258/2012, 7 September 2016) at</w:t>
      </w:r>
      <w:r>
        <w:t xml:space="preserve"> 2% above judgment rate;</w:t>
      </w:r>
    </w:p>
    <w:p w:rsidR="00C13FCA" w:rsidRDefault="00C13FCA" w:rsidP="00C13FCA">
      <w:pPr>
        <w:pStyle w:val="ListParagraph"/>
      </w:pPr>
    </w:p>
    <w:p w:rsidR="00C13FCA" w:rsidRDefault="00C13FCA" w:rsidP="00C13FCA">
      <w:pPr>
        <w:pStyle w:val="ListParagraph"/>
        <w:numPr>
          <w:ilvl w:val="0"/>
          <w:numId w:val="31"/>
        </w:numPr>
        <w:spacing w:line="360" w:lineRule="auto"/>
        <w:ind w:left="2160" w:hanging="720"/>
        <w:jc w:val="both"/>
      </w:pPr>
      <w:proofErr w:type="spellStart"/>
      <w:r w:rsidRPr="00376862">
        <w:rPr>
          <w:i/>
        </w:rPr>
        <w:t>Maysun</w:t>
      </w:r>
      <w:proofErr w:type="spellEnd"/>
      <w:r w:rsidRPr="00376862">
        <w:rPr>
          <w:i/>
        </w:rPr>
        <w:t xml:space="preserve"> Engineering Co</w:t>
      </w:r>
      <w:r w:rsidR="00E634C2">
        <w:rPr>
          <w:i/>
        </w:rPr>
        <w:t>mpany</w:t>
      </w:r>
      <w:r w:rsidRPr="00376862">
        <w:rPr>
          <w:i/>
        </w:rPr>
        <w:t xml:space="preserve"> L</w:t>
      </w:r>
      <w:r w:rsidR="00E634C2">
        <w:rPr>
          <w:i/>
        </w:rPr>
        <w:t>imi</w:t>
      </w:r>
      <w:r w:rsidRPr="00376862">
        <w:rPr>
          <w:i/>
        </w:rPr>
        <w:t>t</w:t>
      </w:r>
      <w:r w:rsidR="00E634C2">
        <w:rPr>
          <w:i/>
        </w:rPr>
        <w:t>e</w:t>
      </w:r>
      <w:r w:rsidRPr="00376862">
        <w:rPr>
          <w:i/>
        </w:rPr>
        <w:t>d v International Education and Academic Exchanges Foundation Co</w:t>
      </w:r>
      <w:r w:rsidR="00E634C2">
        <w:rPr>
          <w:i/>
        </w:rPr>
        <w:t>mpany</w:t>
      </w:r>
      <w:r w:rsidRPr="00376862">
        <w:rPr>
          <w:i/>
        </w:rPr>
        <w:t xml:space="preserve"> L</w:t>
      </w:r>
      <w:r w:rsidR="00E634C2">
        <w:rPr>
          <w:i/>
        </w:rPr>
        <w:t>imi</w:t>
      </w:r>
      <w:r w:rsidRPr="00376862">
        <w:rPr>
          <w:i/>
        </w:rPr>
        <w:t>t</w:t>
      </w:r>
      <w:r w:rsidR="00E634C2">
        <w:rPr>
          <w:i/>
        </w:rPr>
        <w:t>e</w:t>
      </w:r>
      <w:r w:rsidRPr="00376862">
        <w:rPr>
          <w:i/>
        </w:rPr>
        <w:t>d</w:t>
      </w:r>
      <w:r w:rsidR="00E634C2">
        <w:rPr>
          <w:i/>
        </w:rPr>
        <w:t xml:space="preserve"> trading as Hong Kong Institute of Technology</w:t>
      </w:r>
      <w:r w:rsidRPr="00376862">
        <w:rPr>
          <w:i/>
        </w:rPr>
        <w:t xml:space="preserve"> </w:t>
      </w:r>
      <w:r>
        <w:t>[2011] 2 HKLRD 844</w:t>
      </w:r>
      <w:r w:rsidR="00E634C2">
        <w:t xml:space="preserve"> at</w:t>
      </w:r>
      <w:r>
        <w:t xml:space="preserve"> 2% above judgment rate;</w:t>
      </w:r>
    </w:p>
    <w:p w:rsidR="00C13FCA" w:rsidRDefault="00C13FCA" w:rsidP="00C13FCA">
      <w:pPr>
        <w:pStyle w:val="ListParagraph"/>
      </w:pPr>
    </w:p>
    <w:p w:rsidR="00C13FCA" w:rsidRDefault="00C13FCA" w:rsidP="00C13FCA">
      <w:pPr>
        <w:pStyle w:val="ListParagraph"/>
        <w:numPr>
          <w:ilvl w:val="0"/>
          <w:numId w:val="31"/>
        </w:numPr>
        <w:spacing w:line="360" w:lineRule="auto"/>
        <w:ind w:left="2160" w:hanging="720"/>
        <w:jc w:val="both"/>
      </w:pPr>
      <w:r w:rsidRPr="00376862">
        <w:rPr>
          <w:i/>
        </w:rPr>
        <w:t xml:space="preserve">Union Glory Finance </w:t>
      </w:r>
      <w:proofErr w:type="spellStart"/>
      <w:r w:rsidRPr="00376862">
        <w:rPr>
          <w:i/>
        </w:rPr>
        <w:t>Inc</w:t>
      </w:r>
      <w:proofErr w:type="spellEnd"/>
      <w:r w:rsidRPr="00376862">
        <w:rPr>
          <w:i/>
        </w:rPr>
        <w:t xml:space="preserve"> &amp; Others v Merrill Lynch International Bank Limited &amp; Anor</w:t>
      </w:r>
      <w:r w:rsidR="00E634C2">
        <w:t xml:space="preserve"> (unreported, HCA 2494/2013, 13 December </w:t>
      </w:r>
      <w:r>
        <w:t>2016)</w:t>
      </w:r>
      <w:r w:rsidR="00E634C2">
        <w:t xml:space="preserve"> at</w:t>
      </w:r>
      <w:r>
        <w:t xml:space="preserve"> 2.5% above judgment rate;</w:t>
      </w:r>
    </w:p>
    <w:p w:rsidR="00C13FCA" w:rsidRDefault="00C13FCA" w:rsidP="00C13FCA">
      <w:pPr>
        <w:pStyle w:val="ListParagraph"/>
      </w:pPr>
    </w:p>
    <w:p w:rsidR="00C13FCA" w:rsidRDefault="00C13FCA" w:rsidP="00C13FCA">
      <w:pPr>
        <w:pStyle w:val="ListParagraph"/>
        <w:numPr>
          <w:ilvl w:val="0"/>
          <w:numId w:val="31"/>
        </w:numPr>
        <w:spacing w:line="360" w:lineRule="auto"/>
        <w:ind w:left="2160" w:hanging="720"/>
        <w:jc w:val="both"/>
      </w:pPr>
      <w:r w:rsidRPr="00376862">
        <w:rPr>
          <w:i/>
        </w:rPr>
        <w:t xml:space="preserve">Tsang Chiu Yip </w:t>
      </w:r>
      <w:proofErr w:type="gramStart"/>
      <w:r w:rsidRPr="00376862">
        <w:rPr>
          <w:i/>
        </w:rPr>
        <w:t>v</w:t>
      </w:r>
      <w:proofErr w:type="gramEnd"/>
      <w:r w:rsidRPr="00376862">
        <w:rPr>
          <w:i/>
        </w:rPr>
        <w:t xml:space="preserve"> Ho Kwok Leung</w:t>
      </w:r>
      <w:r>
        <w:t xml:space="preserve"> </w:t>
      </w:r>
      <w:r w:rsidR="00E634C2">
        <w:t>(unreported, HCPI 305/2013, 8 August 2016) at</w:t>
      </w:r>
      <w:r>
        <w:t xml:space="preserve"> 3% above judgment rate;</w:t>
      </w:r>
      <w:r w:rsidR="00DC75FE">
        <w:t xml:space="preserve"> and</w:t>
      </w:r>
    </w:p>
    <w:p w:rsidR="00C13FCA" w:rsidRDefault="00C13FCA" w:rsidP="00C13FCA">
      <w:pPr>
        <w:pStyle w:val="ListParagraph"/>
        <w:tabs>
          <w:tab w:val="clear" w:pos="9072"/>
        </w:tabs>
      </w:pPr>
    </w:p>
    <w:p w:rsidR="00465DC5" w:rsidRDefault="00C13FCA" w:rsidP="00C13FCA">
      <w:pPr>
        <w:pStyle w:val="ListParagraph"/>
        <w:numPr>
          <w:ilvl w:val="0"/>
          <w:numId w:val="31"/>
        </w:numPr>
        <w:tabs>
          <w:tab w:val="clear" w:pos="9072"/>
        </w:tabs>
        <w:spacing w:line="360" w:lineRule="auto"/>
        <w:ind w:left="2160" w:right="26" w:hanging="720"/>
        <w:jc w:val="both"/>
      </w:pPr>
      <w:r w:rsidRPr="00664FB6">
        <w:rPr>
          <w:i/>
        </w:rPr>
        <w:t xml:space="preserve">Xu </w:t>
      </w:r>
      <w:proofErr w:type="spellStart"/>
      <w:r w:rsidRPr="00664FB6">
        <w:rPr>
          <w:i/>
        </w:rPr>
        <w:t>Xinhong</w:t>
      </w:r>
      <w:proofErr w:type="spellEnd"/>
      <w:r w:rsidRPr="00664FB6">
        <w:rPr>
          <w:i/>
        </w:rPr>
        <w:t xml:space="preserve"> v Cheung Chu Lau</w:t>
      </w:r>
      <w:r w:rsidR="00E634C2">
        <w:t xml:space="preserve"> [2019] HKCFI 1691 at</w:t>
      </w:r>
      <w:r>
        <w:t xml:space="preserve"> 2% above judgment rate.</w:t>
      </w:r>
    </w:p>
    <w:p w:rsidR="00465DC5" w:rsidRDefault="00465DC5" w:rsidP="00465DC5">
      <w:pPr>
        <w:pStyle w:val="ListParagraph"/>
        <w:spacing w:line="360" w:lineRule="auto"/>
        <w:ind w:left="0"/>
        <w:jc w:val="both"/>
      </w:pPr>
    </w:p>
    <w:p w:rsidR="00465DC5" w:rsidRDefault="00465DC5" w:rsidP="00465DC5">
      <w:pPr>
        <w:pStyle w:val="ListParagraph"/>
        <w:numPr>
          <w:ilvl w:val="0"/>
          <w:numId w:val="17"/>
        </w:numPr>
        <w:spacing w:line="360" w:lineRule="auto"/>
        <w:ind w:left="0" w:firstLine="0"/>
        <w:jc w:val="both"/>
      </w:pPr>
      <w:r>
        <w:t>In the circumstance</w:t>
      </w:r>
      <w:r w:rsidR="00DC75FE">
        <w:t>s</w:t>
      </w:r>
      <w:r>
        <w:t xml:space="preserve"> of this case, </w:t>
      </w:r>
      <w:r w:rsidR="00E634C2">
        <w:t>g</w:t>
      </w:r>
      <w:r w:rsidR="0061653B">
        <w:t>iven the plaintiff’s latest conc</w:t>
      </w:r>
      <w:r w:rsidR="00E634C2">
        <w:t xml:space="preserve">ession, </w:t>
      </w:r>
      <w:r>
        <w:t xml:space="preserve">I would award enhanced interest on costs at 2% above judgment rate from 3 June 2020 until date of </w:t>
      </w:r>
      <w:r w:rsidR="008D6E74">
        <w:t>J</w:t>
      </w:r>
      <w:r>
        <w:t>udgment and thereafter</w:t>
      </w:r>
      <w:r w:rsidR="008D6E74">
        <w:t xml:space="preserve"> at</w:t>
      </w:r>
      <w:r>
        <w:t xml:space="preserve"> the usual judgment rate until payment.</w:t>
      </w:r>
    </w:p>
    <w:p w:rsidR="00465DC5" w:rsidRDefault="00465DC5" w:rsidP="00465DC5">
      <w:pPr>
        <w:spacing w:line="360" w:lineRule="auto"/>
        <w:jc w:val="both"/>
      </w:pPr>
    </w:p>
    <w:p w:rsidR="00465DC5" w:rsidRPr="00187838" w:rsidRDefault="00C13FCA" w:rsidP="00465DC5">
      <w:pPr>
        <w:pStyle w:val="ListParagraph"/>
        <w:keepNext/>
        <w:keepLines/>
        <w:widowControl w:val="0"/>
        <w:numPr>
          <w:ilvl w:val="0"/>
          <w:numId w:val="24"/>
        </w:numPr>
        <w:tabs>
          <w:tab w:val="clear" w:pos="1440"/>
          <w:tab w:val="clear" w:pos="9072"/>
        </w:tabs>
        <w:spacing w:line="360" w:lineRule="auto"/>
        <w:ind w:hanging="720"/>
        <w:jc w:val="both"/>
        <w:rPr>
          <w:i/>
        </w:rPr>
      </w:pPr>
      <w:r>
        <w:rPr>
          <w:i/>
        </w:rPr>
        <w:t>Costs to</w:t>
      </w:r>
      <w:r w:rsidR="00465DC5">
        <w:rPr>
          <w:i/>
        </w:rPr>
        <w:t xml:space="preserve"> be taxed at the High Court scale before the case was transferred to the District </w:t>
      </w:r>
    </w:p>
    <w:p w:rsidR="00465DC5" w:rsidRDefault="00465DC5" w:rsidP="00465DC5">
      <w:pPr>
        <w:spacing w:line="360" w:lineRule="auto"/>
        <w:jc w:val="both"/>
      </w:pPr>
    </w:p>
    <w:p w:rsidR="00121FA0" w:rsidRDefault="00465DC5" w:rsidP="00465DC5">
      <w:pPr>
        <w:pStyle w:val="ListParagraph"/>
        <w:numPr>
          <w:ilvl w:val="0"/>
          <w:numId w:val="17"/>
        </w:numPr>
        <w:spacing w:line="360" w:lineRule="auto"/>
        <w:ind w:left="0" w:firstLine="0"/>
        <w:jc w:val="both"/>
      </w:pPr>
      <w:r>
        <w:t>This case was commenced in t</w:t>
      </w:r>
      <w:r w:rsidR="00BD3753">
        <w:t xml:space="preserve">he High Court on 14 August 2018.  It </w:t>
      </w:r>
      <w:r>
        <w:t xml:space="preserve">was transferred to </w:t>
      </w:r>
      <w:r w:rsidR="00C13FCA">
        <w:t xml:space="preserve">the </w:t>
      </w:r>
      <w:r>
        <w:t xml:space="preserve">District Court under the </w:t>
      </w:r>
      <w:r w:rsidR="00C13FCA">
        <w:t>O</w:t>
      </w:r>
      <w:r>
        <w:t>rder of Master Grace Chan on</w:t>
      </w:r>
      <w:r w:rsidR="008D6E74">
        <w:t xml:space="preserve"> 3 October 2019.  </w:t>
      </w:r>
      <w:r w:rsidR="00C13FCA">
        <w:t>On that occasion</w:t>
      </w:r>
      <w:r w:rsidR="008D6E74">
        <w:t>,</w:t>
      </w:r>
      <w:r>
        <w:t xml:space="preserve"> Master Grace Chan ordered the scale</w:t>
      </w:r>
      <w:r w:rsidR="00E634C2">
        <w:t xml:space="preserve"> of</w:t>
      </w:r>
      <w:r>
        <w:t xml:space="preserve"> costs of action before the transfer would be at the discretion of </w:t>
      </w:r>
      <w:r w:rsidR="00121FA0">
        <w:t xml:space="preserve">the </w:t>
      </w:r>
      <w:r>
        <w:t xml:space="preserve">District Court.  </w:t>
      </w:r>
    </w:p>
    <w:p w:rsidR="00121FA0" w:rsidRDefault="00121FA0" w:rsidP="00121FA0">
      <w:pPr>
        <w:pStyle w:val="ListParagraph"/>
        <w:spacing w:line="360" w:lineRule="auto"/>
        <w:ind w:left="0"/>
        <w:jc w:val="both"/>
      </w:pPr>
    </w:p>
    <w:p w:rsidR="00465DC5" w:rsidRDefault="00465DC5" w:rsidP="00465DC5">
      <w:pPr>
        <w:pStyle w:val="ListParagraph"/>
        <w:numPr>
          <w:ilvl w:val="0"/>
          <w:numId w:val="17"/>
        </w:numPr>
        <w:spacing w:line="360" w:lineRule="auto"/>
        <w:ind w:left="0" w:firstLine="0"/>
        <w:jc w:val="both"/>
      </w:pPr>
      <w:r>
        <w:t>The case was formally transferred to the District Court on 7 November 2019.</w:t>
      </w:r>
    </w:p>
    <w:p w:rsidR="00465DC5" w:rsidRDefault="00465DC5" w:rsidP="00465DC5">
      <w:pPr>
        <w:pStyle w:val="ListParagraph"/>
        <w:spacing w:line="360" w:lineRule="auto"/>
        <w:ind w:left="0"/>
        <w:jc w:val="both"/>
      </w:pPr>
    </w:p>
    <w:p w:rsidR="00465DC5" w:rsidRDefault="00121FA0" w:rsidP="00465DC5">
      <w:pPr>
        <w:pStyle w:val="ListParagraph"/>
        <w:numPr>
          <w:ilvl w:val="0"/>
          <w:numId w:val="17"/>
        </w:numPr>
        <w:spacing w:line="360" w:lineRule="auto"/>
        <w:ind w:left="0" w:firstLine="0"/>
        <w:jc w:val="both"/>
      </w:pPr>
      <w:r>
        <w:lastRenderedPageBreak/>
        <w:t>In this case, I fi</w:t>
      </w:r>
      <w:r w:rsidR="00465DC5">
        <w:t>nd that</w:t>
      </w:r>
      <w:r>
        <w:t xml:space="preserve"> the plaintiff is entitled to </w:t>
      </w:r>
      <w:r w:rsidR="00465DC5">
        <w:t xml:space="preserve">costs to be taxed at the High Court scale prior to </w:t>
      </w:r>
      <w:r w:rsidR="00E634C2">
        <w:t>the</w:t>
      </w:r>
      <w:r w:rsidR="00BD3753">
        <w:t xml:space="preserve"> </w:t>
      </w:r>
      <w:r w:rsidR="00465DC5">
        <w:t xml:space="preserve">date of transfer on 7 November 2019.  The eventual award </w:t>
      </w:r>
      <w:r w:rsidR="0022022A">
        <w:t>of</w:t>
      </w:r>
      <w:r>
        <w:t xml:space="preserve"> HK$991,160 plus interest</w:t>
      </w:r>
      <w:r w:rsidR="00465DC5">
        <w:t xml:space="preserve"> demonstrate</w:t>
      </w:r>
      <w:r>
        <w:t>s</w:t>
      </w:r>
      <w:r w:rsidR="00465DC5">
        <w:t xml:space="preserve"> that</w:t>
      </w:r>
      <w:r>
        <w:t xml:space="preserve"> it</w:t>
      </w:r>
      <w:r w:rsidR="00465DC5">
        <w:t xml:space="preserve"> was reasonable for the plaintiff to commence this action in the High Court which then had a jurisdiction of any cases of over HK$1,000,000.</w:t>
      </w:r>
      <w:r w:rsidR="0061653B">
        <w:t xml:space="preserve"> The increase of the civil jurisdiction to HK$3,000,000 </w:t>
      </w:r>
      <w:r w:rsidR="004A6292">
        <w:t xml:space="preserve">in the District Court </w:t>
      </w:r>
      <w:r w:rsidR="0061653B">
        <w:t xml:space="preserve">took place </w:t>
      </w:r>
      <w:r w:rsidR="00DC75FE">
        <w:t>in</w:t>
      </w:r>
      <w:r w:rsidR="0061653B">
        <w:t xml:space="preserve"> </w:t>
      </w:r>
      <w:bookmarkStart w:id="0" w:name="_GoBack"/>
      <w:bookmarkEnd w:id="0"/>
      <w:r w:rsidR="0061653B">
        <w:t>December 2018.</w:t>
      </w:r>
    </w:p>
    <w:p w:rsidR="00465DC5" w:rsidRDefault="00465DC5" w:rsidP="0022022A">
      <w:pPr>
        <w:pStyle w:val="ListParagraph"/>
        <w:spacing w:line="360" w:lineRule="auto"/>
        <w:ind w:left="0"/>
        <w:jc w:val="both"/>
      </w:pPr>
    </w:p>
    <w:p w:rsidR="00121FA0" w:rsidRDefault="00121FA0" w:rsidP="00121FA0">
      <w:pPr>
        <w:pStyle w:val="ListParagraph"/>
        <w:numPr>
          <w:ilvl w:val="0"/>
          <w:numId w:val="24"/>
        </w:numPr>
        <w:spacing w:line="360" w:lineRule="auto"/>
        <w:ind w:hanging="720"/>
        <w:jc w:val="both"/>
        <w:rPr>
          <w:i/>
        </w:rPr>
      </w:pPr>
      <w:r w:rsidRPr="00121FA0">
        <w:rPr>
          <w:i/>
        </w:rPr>
        <w:t>E</w:t>
      </w:r>
      <w:r w:rsidR="00465DC5" w:rsidRPr="00121FA0">
        <w:rPr>
          <w:i/>
        </w:rPr>
        <w:t xml:space="preserve">nhanced interest on future loss </w:t>
      </w:r>
    </w:p>
    <w:p w:rsidR="00121FA0" w:rsidRDefault="00121FA0" w:rsidP="00121FA0">
      <w:pPr>
        <w:spacing w:line="360" w:lineRule="auto"/>
        <w:jc w:val="both"/>
        <w:rPr>
          <w:i/>
        </w:rPr>
      </w:pPr>
    </w:p>
    <w:p w:rsidR="00465DC5" w:rsidRPr="00121FA0" w:rsidRDefault="00121FA0" w:rsidP="00121FA0">
      <w:pPr>
        <w:pStyle w:val="ListParagraph"/>
        <w:numPr>
          <w:ilvl w:val="0"/>
          <w:numId w:val="17"/>
        </w:numPr>
        <w:spacing w:line="360" w:lineRule="auto"/>
        <w:ind w:left="0" w:firstLine="0"/>
        <w:jc w:val="both"/>
      </w:pPr>
      <w:r>
        <w:t>I</w:t>
      </w:r>
      <w:r w:rsidR="00465DC5" w:rsidRPr="00121FA0">
        <w:t xml:space="preserve">n the plaintiff’s </w:t>
      </w:r>
      <w:r>
        <w:t>summons</w:t>
      </w:r>
      <w:r w:rsidR="00465DC5" w:rsidRPr="00121FA0">
        <w:t xml:space="preserve">, </w:t>
      </w:r>
      <w:proofErr w:type="spellStart"/>
      <w:r w:rsidR="00465DC5" w:rsidRPr="00121FA0">
        <w:t>M</w:t>
      </w:r>
      <w:r w:rsidR="0022022A" w:rsidRPr="00121FA0">
        <w:t>r</w:t>
      </w:r>
      <w:proofErr w:type="spellEnd"/>
      <w:r w:rsidR="00465DC5" w:rsidRPr="00121FA0">
        <w:t xml:space="preserve"> Wong </w:t>
      </w:r>
      <w:r w:rsidR="00BD3753" w:rsidRPr="00121FA0">
        <w:t xml:space="preserve">also </w:t>
      </w:r>
      <w:r w:rsidR="00465DC5" w:rsidRPr="00121FA0">
        <w:t>seeks enhanced interest of 10% above judgment rate for her</w:t>
      </w:r>
      <w:r w:rsidRPr="00121FA0">
        <w:t xml:space="preserve"> loss of future earnings</w:t>
      </w:r>
      <w:r w:rsidR="00E634C2">
        <w:t>.</w:t>
      </w:r>
    </w:p>
    <w:p w:rsidR="00465DC5" w:rsidRDefault="00465DC5" w:rsidP="00F31710">
      <w:pPr>
        <w:pStyle w:val="ListParagraph"/>
        <w:spacing w:line="360" w:lineRule="auto"/>
        <w:ind w:left="0"/>
        <w:jc w:val="both"/>
      </w:pPr>
    </w:p>
    <w:p w:rsidR="00465DC5" w:rsidRDefault="00465DC5" w:rsidP="00121FA0">
      <w:pPr>
        <w:pStyle w:val="ListParagraph"/>
        <w:numPr>
          <w:ilvl w:val="0"/>
          <w:numId w:val="17"/>
        </w:numPr>
        <w:spacing w:line="360" w:lineRule="auto"/>
        <w:ind w:left="0" w:firstLine="0"/>
        <w:jc w:val="both"/>
      </w:pPr>
      <w:r>
        <w:t xml:space="preserve">I agree with </w:t>
      </w:r>
      <w:proofErr w:type="spellStart"/>
      <w:r>
        <w:t>Mr</w:t>
      </w:r>
      <w:proofErr w:type="spellEnd"/>
      <w:r>
        <w:t xml:space="preserve"> </w:t>
      </w:r>
      <w:proofErr w:type="spellStart"/>
      <w:r>
        <w:t>Ra</w:t>
      </w:r>
      <w:r w:rsidR="00121FA0">
        <w:t>man</w:t>
      </w:r>
      <w:r w:rsidR="00E634C2">
        <w:t>a</w:t>
      </w:r>
      <w:r w:rsidR="00121FA0">
        <w:t>than</w:t>
      </w:r>
      <w:proofErr w:type="spellEnd"/>
      <w:r w:rsidR="00121FA0">
        <w:t xml:space="preserve"> SC</w:t>
      </w:r>
      <w:r w:rsidR="00E634C2">
        <w:t>’s</w:t>
      </w:r>
      <w:r w:rsidR="00121FA0">
        <w:t xml:space="preserve"> submission that, in</w:t>
      </w:r>
      <w:r>
        <w:t xml:space="preserve"> normal </w:t>
      </w:r>
      <w:r w:rsidR="00121FA0">
        <w:t>PI cases</w:t>
      </w:r>
      <w:r>
        <w:t xml:space="preserve">, no interest is ever awarded for loss of future earnings.  I do not really see the rationale behind the claim of 10% above interest rate for the future loss of earnings.  I agree with the defendant that whatever award the Court has made under this head, the plaintiff </w:t>
      </w:r>
      <w:r w:rsidR="00121FA0">
        <w:t>will be</w:t>
      </w:r>
      <w:r>
        <w:t xml:space="preserve"> receiving this lump sum </w:t>
      </w:r>
      <w:r w:rsidR="00121FA0">
        <w:t xml:space="preserve">“in advance” </w:t>
      </w:r>
      <w:r>
        <w:t xml:space="preserve">and there is no logical reason why she is entitled to claim enhanced interest </w:t>
      </w:r>
      <w:r w:rsidR="00121FA0">
        <w:t xml:space="preserve">for </w:t>
      </w:r>
      <w:r>
        <w:t>something that</w:t>
      </w:r>
      <w:r w:rsidR="00DE0FA7">
        <w:t xml:space="preserve"> she</w:t>
      </w:r>
      <w:r>
        <w:t xml:space="preserve"> is receiving for the future.  The other factor to </w:t>
      </w:r>
      <w:r w:rsidR="00E634C2">
        <w:t xml:space="preserve">be </w:t>
      </w:r>
      <w:r>
        <w:t>take</w:t>
      </w:r>
      <w:r w:rsidR="00E634C2">
        <w:t>n</w:t>
      </w:r>
      <w:r>
        <w:t xml:space="preserve"> into account in this case of course is the fact that the plaintiff is on legal aid.  Hence, she did not have to put up any costs o</w:t>
      </w:r>
      <w:r w:rsidR="00DE0FA7">
        <w:t>n</w:t>
      </w:r>
      <w:r>
        <w:t xml:space="preserve"> account to personally finance </w:t>
      </w:r>
      <w:r w:rsidR="0022022A">
        <w:t xml:space="preserve">this </w:t>
      </w:r>
      <w:r>
        <w:t xml:space="preserve">action.  She is therefore not deprived of any money of her own in funding the litigation during the interim period.  Hence, I </w:t>
      </w:r>
      <w:r w:rsidR="00121FA0">
        <w:t>do</w:t>
      </w:r>
      <w:r>
        <w:t xml:space="preserve"> not agree that </w:t>
      </w:r>
      <w:r w:rsidR="00DE0FA7">
        <w:t>enhanced interest for future loss of earnings should be awarded.</w:t>
      </w:r>
    </w:p>
    <w:p w:rsidR="00F31710" w:rsidRDefault="00F31710" w:rsidP="00F31710">
      <w:pPr>
        <w:pStyle w:val="ListParagraph"/>
        <w:spacing w:line="360" w:lineRule="auto"/>
        <w:ind w:left="0"/>
        <w:jc w:val="both"/>
      </w:pPr>
    </w:p>
    <w:p w:rsidR="00F31710" w:rsidRPr="00121FA0" w:rsidRDefault="00F31710" w:rsidP="00121FA0">
      <w:pPr>
        <w:pStyle w:val="ListParagraph"/>
        <w:keepNext/>
        <w:keepLines/>
        <w:widowControl w:val="0"/>
        <w:numPr>
          <w:ilvl w:val="0"/>
          <w:numId w:val="24"/>
        </w:numPr>
        <w:tabs>
          <w:tab w:val="clear" w:pos="1440"/>
          <w:tab w:val="clear" w:pos="4320"/>
          <w:tab w:val="clear" w:pos="9072"/>
        </w:tabs>
        <w:spacing w:line="360" w:lineRule="auto"/>
        <w:ind w:hanging="720"/>
        <w:jc w:val="both"/>
        <w:rPr>
          <w:i/>
        </w:rPr>
      </w:pPr>
      <w:r w:rsidRPr="00121FA0">
        <w:rPr>
          <w:i/>
        </w:rPr>
        <w:t>Cost</w:t>
      </w:r>
      <w:r w:rsidR="00E634C2">
        <w:rPr>
          <w:i/>
        </w:rPr>
        <w:t>s</w:t>
      </w:r>
      <w:r w:rsidRPr="00121FA0">
        <w:rPr>
          <w:i/>
        </w:rPr>
        <w:t xml:space="preserve"> of this application</w:t>
      </w:r>
    </w:p>
    <w:p w:rsidR="00F31710" w:rsidRDefault="00F31710" w:rsidP="00F31710">
      <w:pPr>
        <w:pStyle w:val="ListParagraph"/>
        <w:spacing w:line="360" w:lineRule="auto"/>
        <w:ind w:left="0"/>
        <w:jc w:val="both"/>
      </w:pPr>
    </w:p>
    <w:p w:rsidR="00F31710" w:rsidRDefault="00F31710" w:rsidP="00121FA0">
      <w:pPr>
        <w:pStyle w:val="ListParagraph"/>
        <w:numPr>
          <w:ilvl w:val="0"/>
          <w:numId w:val="17"/>
        </w:numPr>
        <w:spacing w:line="360" w:lineRule="auto"/>
        <w:ind w:left="0" w:firstLine="0"/>
        <w:jc w:val="both"/>
      </w:pPr>
      <w:proofErr w:type="spellStart"/>
      <w:r>
        <w:lastRenderedPageBreak/>
        <w:t>Mr</w:t>
      </w:r>
      <w:proofErr w:type="spellEnd"/>
      <w:r>
        <w:t xml:space="preserve"> Wong for the plaintiff ask</w:t>
      </w:r>
      <w:r w:rsidR="0068553E">
        <w:t>s</w:t>
      </w:r>
      <w:r>
        <w:t xml:space="preserve"> costs of</w:t>
      </w:r>
      <w:r w:rsidR="0068553E">
        <w:t xml:space="preserve"> and</w:t>
      </w:r>
      <w:r>
        <w:t xml:space="preserve"> incidental </w:t>
      </w:r>
      <w:r w:rsidR="0068553E">
        <w:t xml:space="preserve">to the </w:t>
      </w:r>
      <w:r>
        <w:t>application</w:t>
      </w:r>
      <w:r w:rsidR="0068553E">
        <w:t xml:space="preserve"> to be awarded on an indemnity basis.  I see</w:t>
      </w:r>
      <w:r w:rsidR="00121FA0">
        <w:t xml:space="preserve"> no reason in doing that.  I fi</w:t>
      </w:r>
      <w:r w:rsidR="0068553E">
        <w:t xml:space="preserve">nd the defendant </w:t>
      </w:r>
      <w:r w:rsidR="00CE578F">
        <w:t>was</w:t>
      </w:r>
      <w:r w:rsidR="0068553E">
        <w:t xml:space="preserve"> reasonable </w:t>
      </w:r>
      <w:r w:rsidR="004A6292">
        <w:t>in</w:t>
      </w:r>
      <w:r w:rsidR="0068553E">
        <w:t xml:space="preserve"> their opposing </w:t>
      </w:r>
      <w:r w:rsidR="004A6292">
        <w:t>of</w:t>
      </w:r>
      <w:r w:rsidR="0068553E">
        <w:t xml:space="preserve"> the </w:t>
      </w:r>
      <w:r w:rsidR="00CE578F">
        <w:t xml:space="preserve">present </w:t>
      </w:r>
      <w:r w:rsidR="0068553E">
        <w:t xml:space="preserve">application and </w:t>
      </w:r>
      <w:r w:rsidR="004A6292">
        <w:t xml:space="preserve">it </w:t>
      </w:r>
      <w:r w:rsidR="0068553E">
        <w:t>ha</w:t>
      </w:r>
      <w:r w:rsidR="00CE578F">
        <w:t>d</w:t>
      </w:r>
      <w:r w:rsidR="0068553E">
        <w:t xml:space="preserve"> successfully argued that the enhanced interest should be reduced to 2% instead of the 10% enhanced interest </w:t>
      </w:r>
      <w:r w:rsidR="0061653B">
        <w:t>the plaintiff was seeking for</w:t>
      </w:r>
      <w:r w:rsidR="000E2A0E">
        <w:t xml:space="preserve"> </w:t>
      </w:r>
      <w:r w:rsidR="0068553E">
        <w:t>under the summons.  In the circumstance</w:t>
      </w:r>
      <w:r w:rsidR="000E2A0E">
        <w:t>s</w:t>
      </w:r>
      <w:r w:rsidR="0068553E">
        <w:t xml:space="preserve">, I consider that the costs of this </w:t>
      </w:r>
      <w:r w:rsidR="00121FA0">
        <w:t>application should be taxed on the usual</w:t>
      </w:r>
      <w:r w:rsidR="0068553E">
        <w:t xml:space="preserve"> party and party basis instead. </w:t>
      </w:r>
    </w:p>
    <w:p w:rsidR="0068553E" w:rsidRDefault="0068553E" w:rsidP="0068553E">
      <w:pPr>
        <w:spacing w:line="360" w:lineRule="auto"/>
        <w:jc w:val="both"/>
      </w:pPr>
    </w:p>
    <w:p w:rsidR="0068553E" w:rsidRPr="0068553E" w:rsidRDefault="0068553E" w:rsidP="0068553E">
      <w:pPr>
        <w:keepNext/>
        <w:keepLines/>
        <w:widowControl w:val="0"/>
        <w:spacing w:line="360" w:lineRule="auto"/>
        <w:jc w:val="both"/>
        <w:rPr>
          <w:i/>
        </w:rPr>
      </w:pPr>
      <w:r w:rsidRPr="0068553E">
        <w:rPr>
          <w:i/>
        </w:rPr>
        <w:t>CONCLUSION</w:t>
      </w:r>
    </w:p>
    <w:p w:rsidR="0068553E" w:rsidRDefault="0068553E" w:rsidP="0068553E">
      <w:pPr>
        <w:spacing w:line="360" w:lineRule="auto"/>
        <w:jc w:val="both"/>
      </w:pPr>
    </w:p>
    <w:p w:rsidR="0068553E" w:rsidRDefault="00C22F09" w:rsidP="00121FA0">
      <w:pPr>
        <w:pStyle w:val="ListParagraph"/>
        <w:numPr>
          <w:ilvl w:val="0"/>
          <w:numId w:val="17"/>
        </w:numPr>
        <w:spacing w:line="360" w:lineRule="auto"/>
        <w:ind w:left="0" w:firstLine="0"/>
        <w:jc w:val="both"/>
      </w:pPr>
      <w:r>
        <w:t>In con</w:t>
      </w:r>
      <w:r w:rsidR="00121FA0">
        <w:t>clusion, base</w:t>
      </w:r>
      <w:r w:rsidR="00E634C2">
        <w:t>d</w:t>
      </w:r>
      <w:r w:rsidR="00121FA0">
        <w:t xml:space="preserve"> on the above, I woul</w:t>
      </w:r>
      <w:r>
        <w:t>d make the following order</w:t>
      </w:r>
      <w:r w:rsidR="00CE578F">
        <w:t>.</w:t>
      </w:r>
    </w:p>
    <w:p w:rsidR="00C22F09" w:rsidRDefault="00C22F09" w:rsidP="00C22F09">
      <w:pPr>
        <w:spacing w:line="360" w:lineRule="auto"/>
        <w:jc w:val="both"/>
      </w:pPr>
    </w:p>
    <w:p w:rsidR="00C22F09" w:rsidRDefault="00C22F09" w:rsidP="00121FA0">
      <w:pPr>
        <w:pStyle w:val="ListParagraph"/>
        <w:numPr>
          <w:ilvl w:val="0"/>
          <w:numId w:val="17"/>
        </w:numPr>
        <w:spacing w:line="360" w:lineRule="auto"/>
        <w:ind w:left="0" w:firstLine="0"/>
        <w:jc w:val="both"/>
      </w:pPr>
      <w:r>
        <w:t xml:space="preserve">The order on interest made by this Court </w:t>
      </w:r>
      <w:r w:rsidR="00121FA0">
        <w:t xml:space="preserve">in the Judgment </w:t>
      </w:r>
      <w:r>
        <w:t xml:space="preserve">on 26 February 2021 be varied as </w:t>
      </w:r>
      <w:proofErr w:type="gramStart"/>
      <w:r>
        <w:t>follows:</w:t>
      </w:r>
      <w:r w:rsidR="00CE578F">
        <w:t>-</w:t>
      </w:r>
      <w:proofErr w:type="gramEnd"/>
    </w:p>
    <w:p w:rsidR="00C22F09" w:rsidRDefault="00C22F09" w:rsidP="00C22F09">
      <w:pPr>
        <w:spacing w:line="360" w:lineRule="auto"/>
        <w:jc w:val="both"/>
      </w:pPr>
    </w:p>
    <w:p w:rsidR="00C22F09" w:rsidRDefault="00B86043" w:rsidP="00CE578F">
      <w:pPr>
        <w:pStyle w:val="ListParagraph"/>
        <w:numPr>
          <w:ilvl w:val="0"/>
          <w:numId w:val="26"/>
        </w:numPr>
        <w:tabs>
          <w:tab w:val="clear" w:pos="1440"/>
        </w:tabs>
        <w:spacing w:line="360" w:lineRule="auto"/>
        <w:ind w:left="2160" w:hanging="720"/>
        <w:jc w:val="both"/>
      </w:pPr>
      <w:r>
        <w:t>On the PSLA award, there be interest at 2% from the date of issue of writ</w:t>
      </w:r>
      <w:r w:rsidR="00E634C2">
        <w:t xml:space="preserve"> of summons</w:t>
      </w:r>
      <w:r>
        <w:t xml:space="preserve"> to 2 June 2020 and since 3 June 2020 at 2% above judgment rate until the date of judgment</w:t>
      </w:r>
      <w:r w:rsidR="00E634C2">
        <w:t>, and thereafter at judgment rate</w:t>
      </w:r>
      <w:r>
        <w:t>;</w:t>
      </w:r>
      <w:r w:rsidRPr="00B86043">
        <w:t xml:space="preserve"> </w:t>
      </w:r>
      <w:r>
        <w:t>and</w:t>
      </w:r>
    </w:p>
    <w:p w:rsidR="00B86043" w:rsidRDefault="00B86043" w:rsidP="00CE578F">
      <w:pPr>
        <w:pStyle w:val="ListParagraph"/>
        <w:tabs>
          <w:tab w:val="clear" w:pos="1440"/>
        </w:tabs>
        <w:spacing w:line="360" w:lineRule="auto"/>
        <w:ind w:left="2160"/>
        <w:jc w:val="both"/>
      </w:pPr>
    </w:p>
    <w:p w:rsidR="00B86043" w:rsidRDefault="00B86043" w:rsidP="00CE578F">
      <w:pPr>
        <w:pStyle w:val="ListParagraph"/>
        <w:numPr>
          <w:ilvl w:val="0"/>
          <w:numId w:val="26"/>
        </w:numPr>
        <w:tabs>
          <w:tab w:val="clear" w:pos="1440"/>
        </w:tabs>
        <w:spacing w:line="360" w:lineRule="auto"/>
        <w:ind w:left="2160" w:hanging="720"/>
        <w:jc w:val="both"/>
      </w:pPr>
      <w:r>
        <w:t xml:space="preserve">On the loss of pre-trial earnings and special damages, there be interest at half of the judgment rate from the </w:t>
      </w:r>
      <w:r w:rsidR="00E634C2">
        <w:t>d</w:t>
      </w:r>
      <w:r>
        <w:t>ate of accident to 2 June 202 and since 3 June 2020 at 2% above judgment rate until the date of judgment</w:t>
      </w:r>
      <w:r w:rsidR="00E634C2">
        <w:t>, and thereafter at judgment rate</w:t>
      </w:r>
      <w:r>
        <w:t>.</w:t>
      </w:r>
    </w:p>
    <w:p w:rsidR="00B86043" w:rsidRDefault="00B86043" w:rsidP="00C22F09">
      <w:pPr>
        <w:spacing w:line="360" w:lineRule="auto"/>
        <w:jc w:val="both"/>
      </w:pPr>
    </w:p>
    <w:p w:rsidR="00E634C2" w:rsidRDefault="00E634C2" w:rsidP="00C22F09">
      <w:pPr>
        <w:spacing w:line="360" w:lineRule="auto"/>
        <w:jc w:val="both"/>
      </w:pPr>
    </w:p>
    <w:p w:rsidR="00E634C2" w:rsidRDefault="00E634C2" w:rsidP="00C22F09">
      <w:pPr>
        <w:spacing w:line="360" w:lineRule="auto"/>
        <w:jc w:val="both"/>
      </w:pPr>
    </w:p>
    <w:p w:rsidR="00E634C2" w:rsidRDefault="00E634C2" w:rsidP="00C22F09">
      <w:pPr>
        <w:spacing w:line="360" w:lineRule="auto"/>
        <w:jc w:val="both"/>
      </w:pPr>
    </w:p>
    <w:p w:rsidR="00C22F09" w:rsidRDefault="00B86043" w:rsidP="00121FA0">
      <w:pPr>
        <w:pStyle w:val="ListParagraph"/>
        <w:numPr>
          <w:ilvl w:val="0"/>
          <w:numId w:val="17"/>
        </w:numPr>
        <w:spacing w:line="360" w:lineRule="auto"/>
        <w:ind w:left="0" w:firstLine="0"/>
        <w:jc w:val="both"/>
      </w:pPr>
      <w:r>
        <w:t xml:space="preserve">The order </w:t>
      </w:r>
      <w:r w:rsidRPr="00B86043">
        <w:rPr>
          <w:i/>
        </w:rPr>
        <w:t xml:space="preserve">nisi </w:t>
      </w:r>
      <w:r>
        <w:t>on costs made by this Court on 26</w:t>
      </w:r>
      <w:r w:rsidR="00307841">
        <w:t> </w:t>
      </w:r>
      <w:r>
        <w:t xml:space="preserve">February 2021 be varied as </w:t>
      </w:r>
      <w:proofErr w:type="gramStart"/>
      <w:r>
        <w:t>follows:</w:t>
      </w:r>
      <w:r w:rsidR="00CE578F">
        <w:t>-</w:t>
      </w:r>
      <w:proofErr w:type="gramEnd"/>
    </w:p>
    <w:p w:rsidR="00307841" w:rsidRDefault="00307841" w:rsidP="00307841">
      <w:pPr>
        <w:spacing w:line="360" w:lineRule="auto"/>
        <w:jc w:val="both"/>
      </w:pPr>
    </w:p>
    <w:p w:rsidR="00307841" w:rsidRDefault="00E634C2" w:rsidP="00CE578F">
      <w:pPr>
        <w:pStyle w:val="ListParagraph"/>
        <w:numPr>
          <w:ilvl w:val="0"/>
          <w:numId w:val="28"/>
        </w:numPr>
        <w:tabs>
          <w:tab w:val="clear" w:pos="1440"/>
          <w:tab w:val="clear" w:pos="4320"/>
        </w:tabs>
        <w:spacing w:line="360" w:lineRule="auto"/>
        <w:ind w:left="2160" w:hanging="720"/>
        <w:jc w:val="both"/>
      </w:pPr>
      <w:r>
        <w:t>T</w:t>
      </w:r>
      <w:r w:rsidR="00307841">
        <w:t xml:space="preserve">he defendant shall pay the plaintiff’s costs of the action (with </w:t>
      </w:r>
      <w:r w:rsidR="00121FA0">
        <w:t>c</w:t>
      </w:r>
      <w:r w:rsidR="00307841">
        <w:t xml:space="preserve">ertificate for </w:t>
      </w:r>
      <w:r w:rsidR="00121FA0">
        <w:t>c</w:t>
      </w:r>
      <w:r w:rsidR="00307841">
        <w:t xml:space="preserve">ounsel) on a party and </w:t>
      </w:r>
      <w:r w:rsidR="00121FA0">
        <w:t>party basis up to 2 June 2020, and from</w:t>
      </w:r>
      <w:r w:rsidR="00307841">
        <w:t xml:space="preserve"> 3 June 2020 on</w:t>
      </w:r>
      <w:r>
        <w:t xml:space="preserve"> an</w:t>
      </w:r>
      <w:r w:rsidR="00307841">
        <w:t xml:space="preserve"> indemnity basis, to be taxed if not agreed;</w:t>
      </w:r>
    </w:p>
    <w:p w:rsidR="00307841" w:rsidRDefault="00307841" w:rsidP="00CE578F">
      <w:pPr>
        <w:pStyle w:val="ListParagraph"/>
        <w:tabs>
          <w:tab w:val="clear" w:pos="1440"/>
          <w:tab w:val="clear" w:pos="4320"/>
        </w:tabs>
        <w:spacing w:line="360" w:lineRule="auto"/>
        <w:ind w:left="2160"/>
        <w:jc w:val="both"/>
      </w:pPr>
    </w:p>
    <w:p w:rsidR="00307841" w:rsidRDefault="00E634C2" w:rsidP="00CE578F">
      <w:pPr>
        <w:pStyle w:val="ListParagraph"/>
        <w:numPr>
          <w:ilvl w:val="0"/>
          <w:numId w:val="28"/>
        </w:numPr>
        <w:tabs>
          <w:tab w:val="clear" w:pos="1440"/>
          <w:tab w:val="clear" w:pos="4320"/>
        </w:tabs>
        <w:spacing w:line="360" w:lineRule="auto"/>
        <w:ind w:left="2160" w:hanging="720"/>
        <w:jc w:val="both"/>
      </w:pPr>
      <w:r>
        <w:t>T</w:t>
      </w:r>
      <w:r w:rsidR="00307841">
        <w:t>he plaintiff’s costs of the action be taxed at the High Court scale before its transfer to the District Court on 7 November 2019, and at the District Court scale thereafter;</w:t>
      </w:r>
    </w:p>
    <w:p w:rsidR="00CE578F" w:rsidRDefault="00CE578F" w:rsidP="00CE578F">
      <w:pPr>
        <w:pStyle w:val="ListParagraph"/>
        <w:tabs>
          <w:tab w:val="clear" w:pos="1440"/>
          <w:tab w:val="clear" w:pos="4320"/>
        </w:tabs>
        <w:spacing w:line="360" w:lineRule="auto"/>
        <w:ind w:left="2160"/>
        <w:jc w:val="both"/>
      </w:pPr>
    </w:p>
    <w:p w:rsidR="00307841" w:rsidRDefault="00E634C2" w:rsidP="00CE578F">
      <w:pPr>
        <w:pStyle w:val="ListParagraph"/>
        <w:numPr>
          <w:ilvl w:val="0"/>
          <w:numId w:val="28"/>
        </w:numPr>
        <w:tabs>
          <w:tab w:val="clear" w:pos="1440"/>
          <w:tab w:val="clear" w:pos="4320"/>
        </w:tabs>
        <w:spacing w:line="360" w:lineRule="auto"/>
        <w:ind w:left="2160" w:hanging="720"/>
        <w:jc w:val="both"/>
      </w:pPr>
      <w:r>
        <w:t>T</w:t>
      </w:r>
      <w:r w:rsidR="00307841">
        <w:t>he defendant shall pay to the plaintiff interest on the plaintiff’s costs incurred after 2 June 2020 at the rate of 2% above judgment rate</w:t>
      </w:r>
      <w:r>
        <w:t xml:space="preserve"> and</w:t>
      </w:r>
      <w:r w:rsidR="00307841">
        <w:t xml:space="preserve"> since 3 June </w:t>
      </w:r>
      <w:r w:rsidR="00121FA0">
        <w:t>2020 up to the date of Judgment</w:t>
      </w:r>
      <w:r>
        <w:t>, and thereafter at the judgment rate</w:t>
      </w:r>
      <w:r w:rsidR="00121FA0">
        <w:t>; and</w:t>
      </w:r>
    </w:p>
    <w:p w:rsidR="00307841" w:rsidRDefault="00307841" w:rsidP="00307841">
      <w:pPr>
        <w:pStyle w:val="ListParagraph"/>
        <w:tabs>
          <w:tab w:val="clear" w:pos="1440"/>
          <w:tab w:val="clear" w:pos="4320"/>
        </w:tabs>
        <w:spacing w:line="360" w:lineRule="auto"/>
        <w:ind w:left="2880"/>
        <w:jc w:val="both"/>
      </w:pPr>
    </w:p>
    <w:p w:rsidR="00307841" w:rsidRDefault="00E634C2" w:rsidP="00CE578F">
      <w:pPr>
        <w:pStyle w:val="ListParagraph"/>
        <w:numPr>
          <w:ilvl w:val="0"/>
          <w:numId w:val="28"/>
        </w:numPr>
        <w:tabs>
          <w:tab w:val="clear" w:pos="1440"/>
          <w:tab w:val="clear" w:pos="4320"/>
        </w:tabs>
        <w:spacing w:line="360" w:lineRule="auto"/>
        <w:ind w:left="2160" w:hanging="720"/>
        <w:jc w:val="both"/>
      </w:pPr>
      <w:r>
        <w:t>T</w:t>
      </w:r>
      <w:r w:rsidR="00307841">
        <w:t>he plaintiff’s own costs of this action be taxed in accordance with the Legal Aid Regulations.</w:t>
      </w:r>
    </w:p>
    <w:p w:rsidR="00307841" w:rsidRDefault="00307841" w:rsidP="00307841">
      <w:pPr>
        <w:spacing w:line="360" w:lineRule="auto"/>
        <w:jc w:val="both"/>
      </w:pPr>
    </w:p>
    <w:p w:rsidR="00B86043" w:rsidRDefault="00307841" w:rsidP="00121FA0">
      <w:pPr>
        <w:pStyle w:val="ListParagraph"/>
        <w:numPr>
          <w:ilvl w:val="0"/>
          <w:numId w:val="17"/>
        </w:numPr>
        <w:spacing w:line="360" w:lineRule="auto"/>
        <w:ind w:left="0" w:firstLine="0"/>
        <w:jc w:val="both"/>
      </w:pPr>
      <w:r>
        <w:t xml:space="preserve">Costs of this application with </w:t>
      </w:r>
      <w:r w:rsidR="00121FA0">
        <w:t>c</w:t>
      </w:r>
      <w:r>
        <w:t xml:space="preserve">ertificate for </w:t>
      </w:r>
      <w:r w:rsidR="00121FA0">
        <w:t>counsel</w:t>
      </w:r>
      <w:r>
        <w:t xml:space="preserve"> be </w:t>
      </w:r>
      <w:r w:rsidR="007C7A45">
        <w:t xml:space="preserve">paid by the defendant to the plaintiff on a party and party basis, to be taxed if not agreed.  The plaintiff’s own costs be taxed in accordance with the </w:t>
      </w:r>
      <w:r w:rsidR="00E634C2">
        <w:t>L</w:t>
      </w:r>
      <w:r w:rsidR="007C7A45">
        <w:t xml:space="preserve">egal </w:t>
      </w:r>
      <w:r w:rsidR="00E634C2">
        <w:t>A</w:t>
      </w:r>
      <w:r w:rsidR="007C7A45">
        <w:t xml:space="preserve">id </w:t>
      </w:r>
      <w:r w:rsidR="00E634C2">
        <w:t>R</w:t>
      </w:r>
      <w:r w:rsidR="007C7A45">
        <w:t>egulations.</w:t>
      </w:r>
    </w:p>
    <w:p w:rsidR="00C22F09" w:rsidRDefault="00C22F09" w:rsidP="00C22F09">
      <w:pPr>
        <w:spacing w:line="360" w:lineRule="auto"/>
        <w:jc w:val="both"/>
      </w:pPr>
    </w:p>
    <w:p w:rsidR="00211962" w:rsidRDefault="00C22F09" w:rsidP="00200478">
      <w:pPr>
        <w:pStyle w:val="ListParagraph"/>
        <w:numPr>
          <w:ilvl w:val="0"/>
          <w:numId w:val="17"/>
        </w:numPr>
        <w:spacing w:line="360" w:lineRule="auto"/>
        <w:ind w:left="0" w:firstLine="0"/>
        <w:jc w:val="both"/>
      </w:pPr>
      <w:r>
        <w:lastRenderedPageBreak/>
        <w:t>It remain</w:t>
      </w:r>
      <w:r w:rsidR="00D83D12">
        <w:t>s</w:t>
      </w:r>
      <w:r>
        <w:t xml:space="preserve"> for me to thank </w:t>
      </w:r>
      <w:r w:rsidR="00121FA0">
        <w:t>counsel</w:t>
      </w:r>
      <w:r w:rsidR="00D83D12">
        <w:t xml:space="preserve"> on </w:t>
      </w:r>
      <w:r>
        <w:t xml:space="preserve">both sides for their helpful submissions in this </w:t>
      </w:r>
      <w:r w:rsidR="00121FA0">
        <w:t>application</w:t>
      </w:r>
      <w:r>
        <w:t>.</w:t>
      </w:r>
    </w:p>
    <w:p w:rsidR="00211962" w:rsidRDefault="00211962" w:rsidP="00200478">
      <w:pPr>
        <w:pStyle w:val="ListParagraph"/>
        <w:spacing w:line="360" w:lineRule="auto"/>
        <w:ind w:left="0"/>
        <w:jc w:val="both"/>
      </w:pPr>
    </w:p>
    <w:p w:rsidR="00E634C2" w:rsidRDefault="00E634C2" w:rsidP="00200478">
      <w:pPr>
        <w:pStyle w:val="ListParagraph"/>
        <w:spacing w:line="360" w:lineRule="auto"/>
        <w:ind w:left="0"/>
        <w:jc w:val="both"/>
      </w:pPr>
    </w:p>
    <w:p w:rsidR="003A09E8" w:rsidRDefault="003A09E8" w:rsidP="007B1D44">
      <w:pPr>
        <w:tabs>
          <w:tab w:val="clear" w:pos="4320"/>
          <w:tab w:val="clear" w:pos="9072"/>
        </w:tabs>
        <w:spacing w:line="360" w:lineRule="auto"/>
        <w:ind w:right="-720"/>
        <w:jc w:val="both"/>
        <w:rPr>
          <w:szCs w:val="28"/>
        </w:rPr>
      </w:pPr>
    </w:p>
    <w:p w:rsidR="005964BA" w:rsidRDefault="005964BA" w:rsidP="007B1D44">
      <w:pPr>
        <w:tabs>
          <w:tab w:val="clear" w:pos="4320"/>
          <w:tab w:val="clear" w:pos="9072"/>
          <w:tab w:val="center" w:pos="6480"/>
        </w:tabs>
        <w:ind w:right="-720"/>
        <w:jc w:val="both"/>
        <w:rPr>
          <w:iCs/>
          <w:szCs w:val="28"/>
        </w:rPr>
      </w:pPr>
      <w:r>
        <w:rPr>
          <w:rFonts w:hint="eastAsia"/>
          <w:iCs/>
          <w:szCs w:val="28"/>
        </w:rPr>
        <w:tab/>
      </w:r>
      <w:r>
        <w:rPr>
          <w:iCs/>
          <w:szCs w:val="28"/>
        </w:rPr>
        <w:tab/>
      </w:r>
      <w:proofErr w:type="gramStart"/>
      <w:r w:rsidRPr="00CD6B32">
        <w:rPr>
          <w:iCs/>
          <w:szCs w:val="28"/>
        </w:rPr>
        <w:t>(</w:t>
      </w:r>
      <w:r>
        <w:rPr>
          <w:rFonts w:hint="eastAsia"/>
          <w:iCs/>
          <w:szCs w:val="28"/>
        </w:rPr>
        <w:t xml:space="preserve"> </w:t>
      </w:r>
      <w:r w:rsidR="00093758">
        <w:rPr>
          <w:rFonts w:hint="eastAsia"/>
          <w:iCs/>
          <w:szCs w:val="28"/>
        </w:rPr>
        <w:t>Andrew</w:t>
      </w:r>
      <w:proofErr w:type="gramEnd"/>
      <w:r w:rsidR="00093758">
        <w:rPr>
          <w:rFonts w:hint="eastAsia"/>
          <w:iCs/>
          <w:szCs w:val="28"/>
        </w:rPr>
        <w:t xml:space="preserve"> </w:t>
      </w:r>
      <w:r w:rsidR="007F1C9A">
        <w:rPr>
          <w:iCs/>
          <w:szCs w:val="28"/>
        </w:rPr>
        <w:t xml:space="preserve">SY </w:t>
      </w:r>
      <w:r w:rsidR="00093758">
        <w:rPr>
          <w:rFonts w:hint="eastAsia"/>
          <w:iCs/>
          <w:szCs w:val="28"/>
        </w:rPr>
        <w:t>Li</w:t>
      </w:r>
      <w:r>
        <w:rPr>
          <w:rFonts w:hint="eastAsia"/>
          <w:iCs/>
          <w:szCs w:val="28"/>
        </w:rPr>
        <w:t xml:space="preserve"> </w:t>
      </w:r>
      <w:r w:rsidRPr="00CD6B32">
        <w:rPr>
          <w:iCs/>
          <w:szCs w:val="28"/>
        </w:rPr>
        <w:t>)</w:t>
      </w:r>
    </w:p>
    <w:p w:rsidR="00B45A3B" w:rsidRPr="00121FA0" w:rsidRDefault="005964BA" w:rsidP="00121FA0">
      <w:pPr>
        <w:tabs>
          <w:tab w:val="clear" w:pos="4320"/>
          <w:tab w:val="clear" w:pos="9072"/>
          <w:tab w:val="center" w:pos="6480"/>
        </w:tabs>
        <w:ind w:right="-720"/>
        <w:jc w:val="both"/>
        <w:rPr>
          <w:szCs w:val="28"/>
          <w:lang w:eastAsia="zh-HK"/>
        </w:rPr>
      </w:pPr>
      <w:r>
        <w:rPr>
          <w:rFonts w:hint="eastAsia"/>
          <w:iCs/>
          <w:szCs w:val="28"/>
        </w:rPr>
        <w:tab/>
      </w:r>
      <w:r>
        <w:rPr>
          <w:iCs/>
          <w:szCs w:val="28"/>
        </w:rPr>
        <w:tab/>
      </w:r>
      <w:r w:rsidRPr="00CD6B32">
        <w:rPr>
          <w:iCs/>
          <w:szCs w:val="28"/>
        </w:rPr>
        <w:t>District Judge</w:t>
      </w:r>
    </w:p>
    <w:p w:rsidR="005964BA" w:rsidRPr="00D83D12" w:rsidRDefault="005964BA" w:rsidP="00D83D12">
      <w:pPr>
        <w:pStyle w:val="ListParagraph"/>
        <w:ind w:left="0"/>
        <w:jc w:val="both"/>
      </w:pPr>
    </w:p>
    <w:p w:rsidR="008A1C7A" w:rsidRPr="00D83D12" w:rsidRDefault="003A2400" w:rsidP="00D83D12">
      <w:pPr>
        <w:pStyle w:val="ListParagraph"/>
        <w:ind w:left="0"/>
        <w:jc w:val="both"/>
      </w:pPr>
      <w:proofErr w:type="spellStart"/>
      <w:r w:rsidRPr="00D83D12">
        <w:t>Mr</w:t>
      </w:r>
      <w:proofErr w:type="spellEnd"/>
      <w:r w:rsidRPr="00D83D12">
        <w:t xml:space="preserve"> Simon</w:t>
      </w:r>
      <w:r w:rsidR="000748B4" w:rsidRPr="00D83D12">
        <w:t xml:space="preserve"> Wong</w:t>
      </w:r>
      <w:r w:rsidRPr="00D83D12">
        <w:t>, instructed by Ng &amp; Co, assigned by the Director of Legal Aid,</w:t>
      </w:r>
      <w:r w:rsidR="009464D0" w:rsidRPr="00D83D12">
        <w:t xml:space="preserve"> </w:t>
      </w:r>
      <w:r w:rsidR="008A1C7A" w:rsidRPr="00D83D12">
        <w:t>for the plaintiff</w:t>
      </w:r>
    </w:p>
    <w:p w:rsidR="008A1C7A" w:rsidRPr="00D83D12" w:rsidRDefault="008A1C7A" w:rsidP="00D83D12">
      <w:pPr>
        <w:pStyle w:val="ListParagraph"/>
        <w:ind w:left="0"/>
        <w:jc w:val="both"/>
      </w:pPr>
    </w:p>
    <w:p w:rsidR="00B45A3B" w:rsidRPr="00D83D12" w:rsidRDefault="003A2400" w:rsidP="00D83D12">
      <w:pPr>
        <w:pStyle w:val="ListParagraph"/>
        <w:ind w:left="0"/>
        <w:jc w:val="both"/>
      </w:pPr>
      <w:proofErr w:type="spellStart"/>
      <w:r w:rsidRPr="00D83D12">
        <w:t>Mr</w:t>
      </w:r>
      <w:proofErr w:type="spellEnd"/>
      <w:r w:rsidRPr="00D83D12">
        <w:t xml:space="preserve"> </w:t>
      </w:r>
      <w:r w:rsidR="00E634C2" w:rsidRPr="00D83D12">
        <w:t xml:space="preserve">Kumar </w:t>
      </w:r>
      <w:proofErr w:type="spellStart"/>
      <w:r w:rsidRPr="00D83D12">
        <w:t>Ramanathan</w:t>
      </w:r>
      <w:proofErr w:type="spellEnd"/>
      <w:r w:rsidRPr="00D83D12">
        <w:t xml:space="preserve"> </w:t>
      </w:r>
      <w:r w:rsidR="00C22F09" w:rsidRPr="00D83D12">
        <w:t xml:space="preserve">SC, </w:t>
      </w:r>
      <w:r w:rsidR="00EC04D7" w:rsidRPr="00D83D12">
        <w:t>instructed by Leung &amp; Lau, Solicitors LLP,</w:t>
      </w:r>
      <w:r w:rsidR="00D87F8B" w:rsidRPr="00D83D12">
        <w:t xml:space="preserve"> for the defendant</w:t>
      </w:r>
    </w:p>
    <w:p w:rsidR="009464D0" w:rsidRPr="00D83D12" w:rsidRDefault="009464D0" w:rsidP="00D83D12">
      <w:pPr>
        <w:pStyle w:val="ListParagraph"/>
        <w:ind w:left="0"/>
        <w:jc w:val="both"/>
      </w:pPr>
    </w:p>
    <w:p w:rsidR="009464D0" w:rsidRPr="00D83D12" w:rsidRDefault="009464D0" w:rsidP="00D83D12">
      <w:pPr>
        <w:pStyle w:val="ListParagraph"/>
        <w:ind w:left="0"/>
        <w:jc w:val="both"/>
      </w:pPr>
    </w:p>
    <w:sectPr w:rsidR="009464D0" w:rsidRPr="00D83D12" w:rsidSect="00435CF0">
      <w:headerReference w:type="default" r:id="rId11"/>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5E0" w:rsidRDefault="001515E0">
      <w:r>
        <w:separator/>
      </w:r>
    </w:p>
  </w:endnote>
  <w:endnote w:type="continuationSeparator" w:id="0">
    <w:p w:rsidR="001515E0" w:rsidRDefault="00151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5E0" w:rsidRDefault="001515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515E0" w:rsidRDefault="001515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5E0" w:rsidRDefault="001515E0">
    <w:pPr>
      <w:pStyle w:val="Footer"/>
      <w:framePr w:wrap="around" w:vAnchor="text" w:hAnchor="margin" w:xAlign="right" w:y="1"/>
      <w:rPr>
        <w:rStyle w:val="PageNumber"/>
      </w:rPr>
    </w:pPr>
  </w:p>
  <w:p w:rsidR="001515E0" w:rsidRDefault="001515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5E0" w:rsidRDefault="001515E0">
      <w:r>
        <w:separator/>
      </w:r>
    </w:p>
  </w:footnote>
  <w:footnote w:type="continuationSeparator" w:id="0">
    <w:p w:rsidR="001515E0" w:rsidRDefault="001515E0">
      <w:r>
        <w:continuationSeparator/>
      </w:r>
    </w:p>
  </w:footnote>
  <w:footnote w:id="1">
    <w:p w:rsidR="001515E0" w:rsidRPr="00E41A42" w:rsidRDefault="001515E0" w:rsidP="00E41A42">
      <w:pPr>
        <w:pStyle w:val="FootnoteText"/>
        <w:rPr>
          <w:lang w:val="en-US"/>
        </w:rPr>
      </w:pPr>
      <w:r>
        <w:rPr>
          <w:rStyle w:val="FootnoteReference"/>
        </w:rPr>
        <w:footnoteRef/>
      </w:r>
      <w:r>
        <w:t xml:space="preserve"> </w:t>
      </w:r>
      <w:r>
        <w:rPr>
          <w:rFonts w:ascii="Times New Roman" w:hAnsi="Times New Roman"/>
          <w:sz w:val="20"/>
          <w:szCs w:val="20"/>
        </w:rPr>
        <w:t>Cut-</w:t>
      </w:r>
      <w:r w:rsidRPr="00E41A42">
        <w:rPr>
          <w:rFonts w:ascii="Times New Roman" w:hAnsi="Times New Roman"/>
          <w:sz w:val="20"/>
          <w:szCs w:val="20"/>
        </w:rPr>
        <w:t>off date in this case: 2 June 2020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5E0" w:rsidRDefault="001515E0">
    <w:pPr>
      <w:pStyle w:val="Header"/>
    </w:pPr>
    <w:r>
      <w:rPr>
        <w:noProof/>
        <w:sz w:val="20"/>
        <w:lang w:val="en-US" w:eastAsia="zh-CN"/>
      </w:rPr>
      <mc:AlternateContent>
        <mc:Choice Requires="wps">
          <w:drawing>
            <wp:anchor distT="0" distB="0" distL="114300" distR="114300" simplePos="0" relativeHeight="251663360" behindDoc="0" locked="0" layoutInCell="0" allowOverlap="1" wp14:anchorId="65B681AF" wp14:editId="259A132F">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15E0" w:rsidRDefault="001515E0">
                          <w:pPr>
                            <w:rPr>
                              <w:b/>
                              <w:sz w:val="20"/>
                            </w:rPr>
                          </w:pPr>
                          <w:r>
                            <w:rPr>
                              <w:rFonts w:hint="eastAsia"/>
                              <w:b/>
                              <w:sz w:val="20"/>
                            </w:rPr>
                            <w:t>A</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20"/>
                            </w:rPr>
                          </w:pPr>
                          <w:r>
                            <w:rPr>
                              <w:rFonts w:hint="eastAsia"/>
                              <w:b/>
                              <w:sz w:val="20"/>
                            </w:rPr>
                            <w:t>B</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C</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pStyle w:val="Heading2"/>
                            <w:rPr>
                              <w:sz w:val="16"/>
                            </w:rPr>
                          </w:pPr>
                          <w:r>
                            <w:rPr>
                              <w:rFonts w:hint="eastAsia"/>
                            </w:rPr>
                            <w:t>D</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E</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20"/>
                            </w:rPr>
                          </w:pPr>
                          <w:r>
                            <w:rPr>
                              <w:rFonts w:hint="eastAsia"/>
                              <w:b/>
                              <w:sz w:val="20"/>
                            </w:rPr>
                            <w:t>F</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G</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H</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I</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J</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K</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L</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M</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N</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O</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P</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Q</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R</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S</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T</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U</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681AF"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1515E0" w:rsidRDefault="001515E0">
                    <w:pPr>
                      <w:rPr>
                        <w:b/>
                        <w:sz w:val="20"/>
                      </w:rPr>
                    </w:pPr>
                    <w:r>
                      <w:rPr>
                        <w:rFonts w:hint="eastAsia"/>
                        <w:b/>
                        <w:sz w:val="20"/>
                      </w:rPr>
                      <w:t>A</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20"/>
                      </w:rPr>
                    </w:pPr>
                    <w:r>
                      <w:rPr>
                        <w:rFonts w:hint="eastAsia"/>
                        <w:b/>
                        <w:sz w:val="20"/>
                      </w:rPr>
                      <w:t>B</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C</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pStyle w:val="Heading2"/>
                      <w:rPr>
                        <w:sz w:val="16"/>
                      </w:rPr>
                    </w:pPr>
                    <w:r>
                      <w:rPr>
                        <w:rFonts w:hint="eastAsia"/>
                      </w:rPr>
                      <w:t>D</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E</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20"/>
                      </w:rPr>
                    </w:pPr>
                    <w:r>
                      <w:rPr>
                        <w:rFonts w:hint="eastAsia"/>
                        <w:b/>
                        <w:sz w:val="20"/>
                      </w:rPr>
                      <w:t>F</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G</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H</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I</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J</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K</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L</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M</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N</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O</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P</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Q</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R</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S</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T</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U</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2336" behindDoc="0" locked="0" layoutInCell="0" allowOverlap="1" wp14:anchorId="22DEA82D" wp14:editId="52E67F5E">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15E0" w:rsidRDefault="001515E0">
                          <w:pPr>
                            <w:rPr>
                              <w:b/>
                              <w:sz w:val="20"/>
                            </w:rPr>
                          </w:pPr>
                          <w:r>
                            <w:rPr>
                              <w:rFonts w:hint="eastAsia"/>
                              <w:b/>
                              <w:sz w:val="20"/>
                            </w:rPr>
                            <w:t>A</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20"/>
                            </w:rPr>
                          </w:pPr>
                          <w:r>
                            <w:rPr>
                              <w:rFonts w:hint="eastAsia"/>
                              <w:b/>
                              <w:sz w:val="20"/>
                            </w:rPr>
                            <w:t>B</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C</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pStyle w:val="Heading2"/>
                            <w:rPr>
                              <w:sz w:val="16"/>
                            </w:rPr>
                          </w:pPr>
                          <w:r>
                            <w:rPr>
                              <w:rFonts w:hint="eastAsia"/>
                            </w:rPr>
                            <w:t>D</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E</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20"/>
                            </w:rPr>
                          </w:pPr>
                          <w:r>
                            <w:rPr>
                              <w:rFonts w:hint="eastAsia"/>
                              <w:b/>
                              <w:sz w:val="20"/>
                            </w:rPr>
                            <w:t>F</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G</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H</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I</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J</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K</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L</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M</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N</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O</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P</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Q</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R</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S</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T</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U</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EA82D"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1515E0" w:rsidRDefault="001515E0">
                    <w:pPr>
                      <w:rPr>
                        <w:b/>
                        <w:sz w:val="20"/>
                      </w:rPr>
                    </w:pPr>
                    <w:r>
                      <w:rPr>
                        <w:rFonts w:hint="eastAsia"/>
                        <w:b/>
                        <w:sz w:val="20"/>
                      </w:rPr>
                      <w:t>A</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20"/>
                      </w:rPr>
                    </w:pPr>
                    <w:r>
                      <w:rPr>
                        <w:rFonts w:hint="eastAsia"/>
                        <w:b/>
                        <w:sz w:val="20"/>
                      </w:rPr>
                      <w:t>B</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C</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pStyle w:val="Heading2"/>
                      <w:rPr>
                        <w:sz w:val="16"/>
                      </w:rPr>
                    </w:pPr>
                    <w:r>
                      <w:rPr>
                        <w:rFonts w:hint="eastAsia"/>
                      </w:rPr>
                      <w:t>D</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E</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20"/>
                      </w:rPr>
                    </w:pPr>
                    <w:r>
                      <w:rPr>
                        <w:rFonts w:hint="eastAsia"/>
                        <w:b/>
                        <w:sz w:val="20"/>
                      </w:rPr>
                      <w:t>F</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G</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H</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I</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J</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K</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L</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M</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N</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O</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P</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Q</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R</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S</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T</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U</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4384" behindDoc="0" locked="0" layoutInCell="0" allowOverlap="1" wp14:anchorId="6FB11BC0" wp14:editId="78829673">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15E0" w:rsidRPr="00782869" w:rsidRDefault="001515E0"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1BC0"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1515E0" w:rsidRPr="00782869" w:rsidRDefault="001515E0"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5E0" w:rsidRDefault="001515E0">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2302C914" wp14:editId="3CE8C2AE">
              <wp:simplePos x="0" y="0"/>
              <wp:positionH relativeFrom="column">
                <wp:posOffset>5777230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15E0" w:rsidRDefault="001515E0">
                          <w:pPr>
                            <w:rPr>
                              <w:b/>
                              <w:sz w:val="20"/>
                            </w:rPr>
                          </w:pPr>
                          <w:r>
                            <w:rPr>
                              <w:rFonts w:hint="eastAsia"/>
                              <w:b/>
                              <w:sz w:val="20"/>
                            </w:rPr>
                            <w:t>A</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20"/>
                            </w:rPr>
                          </w:pPr>
                          <w:r>
                            <w:rPr>
                              <w:rFonts w:hint="eastAsia"/>
                              <w:b/>
                              <w:sz w:val="20"/>
                            </w:rPr>
                            <w:t>B</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C</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pStyle w:val="Heading2"/>
                            <w:rPr>
                              <w:sz w:val="16"/>
                            </w:rPr>
                          </w:pPr>
                          <w:r>
                            <w:rPr>
                              <w:rFonts w:hint="eastAsia"/>
                            </w:rPr>
                            <w:t>D</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E</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20"/>
                            </w:rPr>
                          </w:pPr>
                          <w:r>
                            <w:rPr>
                              <w:rFonts w:hint="eastAsia"/>
                              <w:b/>
                              <w:sz w:val="20"/>
                            </w:rPr>
                            <w:t>F</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G</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H</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I</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J</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K</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L</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M</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N</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O</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P</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Q</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R</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S</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T</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U</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2C914"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2163DD" w:rsidRDefault="002163DD">
                    <w:pPr>
                      <w:rPr>
                        <w:b/>
                        <w:sz w:val="20"/>
                      </w:rPr>
                    </w:pPr>
                    <w:r>
                      <w:rPr>
                        <w:rFonts w:hint="eastAsia"/>
                        <w:b/>
                        <w:sz w:val="20"/>
                      </w:rPr>
                      <w:t>A</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20"/>
                      </w:rPr>
                    </w:pPr>
                    <w:r>
                      <w:rPr>
                        <w:rFonts w:hint="eastAsia"/>
                        <w:b/>
                        <w:sz w:val="20"/>
                      </w:rPr>
                      <w:t>B</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C</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pStyle w:val="Heading2"/>
                      <w:rPr>
                        <w:sz w:val="16"/>
                      </w:rPr>
                    </w:pPr>
                    <w:r>
                      <w:rPr>
                        <w:rFonts w:hint="eastAsia"/>
                      </w:rPr>
                      <w:t>D</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E</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20"/>
                      </w:rPr>
                    </w:pPr>
                    <w:r>
                      <w:rPr>
                        <w:rFonts w:hint="eastAsia"/>
                        <w:b/>
                        <w:sz w:val="20"/>
                      </w:rPr>
                      <w:t>F</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G</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H</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I</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J</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K</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L</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M</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N</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O</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P</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Q</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R</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S</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T</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U</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DC75FE">
      <w:rPr>
        <w:rStyle w:val="PageNumber"/>
        <w:noProof/>
        <w:sz w:val="28"/>
      </w:rPr>
      <w:t>21</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5165715D" wp14:editId="3BBAD547">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15E0" w:rsidRDefault="001515E0">
                          <w:pPr>
                            <w:rPr>
                              <w:b/>
                              <w:sz w:val="20"/>
                            </w:rPr>
                          </w:pPr>
                          <w:r>
                            <w:rPr>
                              <w:rFonts w:hint="eastAsia"/>
                              <w:b/>
                              <w:sz w:val="20"/>
                            </w:rPr>
                            <w:t>A</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20"/>
                            </w:rPr>
                          </w:pPr>
                          <w:r>
                            <w:rPr>
                              <w:rFonts w:hint="eastAsia"/>
                              <w:b/>
                              <w:sz w:val="20"/>
                            </w:rPr>
                            <w:t>B</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C</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pStyle w:val="Heading2"/>
                            <w:rPr>
                              <w:sz w:val="16"/>
                            </w:rPr>
                          </w:pPr>
                          <w:r>
                            <w:rPr>
                              <w:rFonts w:hint="eastAsia"/>
                            </w:rPr>
                            <w:t>D</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E</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20"/>
                            </w:rPr>
                          </w:pPr>
                          <w:r>
                            <w:rPr>
                              <w:rFonts w:hint="eastAsia"/>
                              <w:b/>
                              <w:sz w:val="20"/>
                            </w:rPr>
                            <w:t>F</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G</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H</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I</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J</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K</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L</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M</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N</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O</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P</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Q</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R</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S</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T</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rPr>
                              <w:b/>
                              <w:sz w:val="16"/>
                            </w:rPr>
                          </w:pPr>
                          <w:r>
                            <w:rPr>
                              <w:rFonts w:hint="eastAsia"/>
                              <w:b/>
                              <w:sz w:val="20"/>
                            </w:rPr>
                            <w:t>U</w:t>
                          </w:r>
                        </w:p>
                        <w:p w:rsidR="001515E0" w:rsidRDefault="001515E0">
                          <w:pPr>
                            <w:rPr>
                              <w:b/>
                              <w:sz w:val="10"/>
                            </w:rPr>
                          </w:pPr>
                        </w:p>
                        <w:p w:rsidR="001515E0" w:rsidRDefault="001515E0">
                          <w:pPr>
                            <w:rPr>
                              <w:b/>
                              <w:sz w:val="16"/>
                            </w:rPr>
                          </w:pPr>
                        </w:p>
                        <w:p w:rsidR="001515E0" w:rsidRDefault="001515E0">
                          <w:pPr>
                            <w:rPr>
                              <w:b/>
                              <w:sz w:val="16"/>
                            </w:rPr>
                          </w:pPr>
                        </w:p>
                        <w:p w:rsidR="001515E0" w:rsidRDefault="001515E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5715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2163DD" w:rsidRDefault="002163DD">
                    <w:pPr>
                      <w:rPr>
                        <w:b/>
                        <w:sz w:val="20"/>
                      </w:rPr>
                    </w:pPr>
                    <w:r>
                      <w:rPr>
                        <w:rFonts w:hint="eastAsia"/>
                        <w:b/>
                        <w:sz w:val="20"/>
                      </w:rPr>
                      <w:t>A</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20"/>
                      </w:rPr>
                    </w:pPr>
                    <w:r>
                      <w:rPr>
                        <w:rFonts w:hint="eastAsia"/>
                        <w:b/>
                        <w:sz w:val="20"/>
                      </w:rPr>
                      <w:t>B</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C</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pStyle w:val="Heading2"/>
                      <w:rPr>
                        <w:sz w:val="16"/>
                      </w:rPr>
                    </w:pPr>
                    <w:r>
                      <w:rPr>
                        <w:rFonts w:hint="eastAsia"/>
                      </w:rPr>
                      <w:t>D</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E</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20"/>
                      </w:rPr>
                    </w:pPr>
                    <w:r>
                      <w:rPr>
                        <w:rFonts w:hint="eastAsia"/>
                        <w:b/>
                        <w:sz w:val="20"/>
                      </w:rPr>
                      <w:t>F</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G</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H</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I</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J</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K</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L</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M</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N</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O</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P</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Q</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R</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S</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T</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rPr>
                        <w:b/>
                        <w:sz w:val="16"/>
                      </w:rPr>
                    </w:pPr>
                    <w:r>
                      <w:rPr>
                        <w:rFonts w:hint="eastAsia"/>
                        <w:b/>
                        <w:sz w:val="20"/>
                      </w:rPr>
                      <w:t>U</w:t>
                    </w:r>
                  </w:p>
                  <w:p w:rsidR="002163DD" w:rsidRDefault="002163DD">
                    <w:pPr>
                      <w:rPr>
                        <w:b/>
                        <w:sz w:val="10"/>
                      </w:rPr>
                    </w:pPr>
                  </w:p>
                  <w:p w:rsidR="002163DD" w:rsidRDefault="002163DD">
                    <w:pPr>
                      <w:rPr>
                        <w:b/>
                        <w:sz w:val="16"/>
                      </w:rPr>
                    </w:pPr>
                  </w:p>
                  <w:p w:rsidR="002163DD" w:rsidRDefault="002163DD">
                    <w:pPr>
                      <w:rPr>
                        <w:b/>
                        <w:sz w:val="16"/>
                      </w:rPr>
                    </w:pPr>
                  </w:p>
                  <w:p w:rsidR="002163DD" w:rsidRDefault="002163DD">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0994CC21" wp14:editId="2C67BE78">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15E0" w:rsidRDefault="001515E0">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4CC21"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2163DD" w:rsidRDefault="002163DD">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7540"/>
    <w:multiLevelType w:val="hybridMultilevel"/>
    <w:tmpl w:val="B5503A80"/>
    <w:lvl w:ilvl="0" w:tplc="49C6A93E">
      <w:start w:val="1"/>
      <w:numFmt w:val="decimal"/>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83DF8"/>
    <w:multiLevelType w:val="hybridMultilevel"/>
    <w:tmpl w:val="43600C22"/>
    <w:lvl w:ilvl="0" w:tplc="46FEF44E">
      <w:start w:val="1"/>
      <w:numFmt w:val="lowerLetter"/>
      <w:lvlText w:val="(%1)"/>
      <w:lvlJc w:val="left"/>
      <w:pPr>
        <w:ind w:left="1800" w:hanging="360"/>
      </w:pPr>
      <w:rPr>
        <w:rFonts w:ascii="Times New Roman" w:eastAsia="PMingLiU"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6B0520"/>
    <w:multiLevelType w:val="hybridMultilevel"/>
    <w:tmpl w:val="463E1B6E"/>
    <w:lvl w:ilvl="0" w:tplc="54C43D5A">
      <w:start w:val="1"/>
      <w:numFmt w:val="lowerRoman"/>
      <w:lvlText w:val="(%1)"/>
      <w:lvlJc w:val="left"/>
      <w:pPr>
        <w:ind w:left="720" w:hanging="360"/>
      </w:pPr>
      <w:rPr>
        <w:rFonts w:ascii="Times New Roman" w:eastAsia="PMingLiU"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604E4"/>
    <w:multiLevelType w:val="hybridMultilevel"/>
    <w:tmpl w:val="BC081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25AF9"/>
    <w:multiLevelType w:val="hybridMultilevel"/>
    <w:tmpl w:val="A5E0F0CE"/>
    <w:lvl w:ilvl="0" w:tplc="F80223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9747F"/>
    <w:multiLevelType w:val="hybridMultilevel"/>
    <w:tmpl w:val="C24ECD9E"/>
    <w:lvl w:ilvl="0" w:tplc="EA10FAC8">
      <w:start w:val="1"/>
      <w:numFmt w:val="lowerLetter"/>
      <w:lvlText w:val="(%1)"/>
      <w:lvlJc w:val="left"/>
      <w:pPr>
        <w:ind w:left="2520" w:hanging="360"/>
      </w:pPr>
      <w:rPr>
        <w:rFonts w:ascii="Times New Roman" w:eastAsiaTheme="minorEastAsia" w:hAnsi="Times New Roman" w:cs="Times New Roman" w:hint="default"/>
        <w:b w:val="0"/>
        <w:i w:val="0"/>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16E04AD"/>
    <w:multiLevelType w:val="hybridMultilevel"/>
    <w:tmpl w:val="0A56BF04"/>
    <w:lvl w:ilvl="0" w:tplc="EA10FAC8">
      <w:start w:val="1"/>
      <w:numFmt w:val="lowerLetter"/>
      <w:lvlText w:val="(%1)"/>
      <w:lvlJc w:val="left"/>
      <w:pPr>
        <w:ind w:left="2160" w:hanging="360"/>
      </w:pPr>
      <w:rPr>
        <w:rFonts w:ascii="Times New Roman" w:eastAsiaTheme="minorEastAsia" w:hAnsi="Times New Roman" w:cs="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47729"/>
    <w:multiLevelType w:val="hybridMultilevel"/>
    <w:tmpl w:val="6A28D716"/>
    <w:lvl w:ilvl="0" w:tplc="C20601C6">
      <w:start w:val="1"/>
      <w:numFmt w:val="lowerLetter"/>
      <w:lvlText w:val="(%1)"/>
      <w:lvlJc w:val="left"/>
      <w:pPr>
        <w:ind w:left="2160" w:hanging="360"/>
      </w:pPr>
      <w:rPr>
        <w:rFonts w:ascii="Times New Roman" w:eastAsiaTheme="minorEastAsia" w:hAnsi="Times New Roman" w:cs="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23957BA"/>
    <w:multiLevelType w:val="hybridMultilevel"/>
    <w:tmpl w:val="E7BA8778"/>
    <w:lvl w:ilvl="0" w:tplc="0EA89B6A">
      <w:start w:val="1"/>
      <w:numFmt w:val="decimal"/>
      <w:lvlText w:val="(%1)"/>
      <w:lvlJc w:val="left"/>
      <w:pPr>
        <w:ind w:left="720" w:hanging="360"/>
      </w:pPr>
      <w:rPr>
        <w:rFonts w:ascii="Times New Roman" w:eastAsia="PMingLiU"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2C0078"/>
    <w:multiLevelType w:val="hybridMultilevel"/>
    <w:tmpl w:val="0BEE27D6"/>
    <w:lvl w:ilvl="0" w:tplc="288A8D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4"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3993A01"/>
    <w:multiLevelType w:val="hybridMultilevel"/>
    <w:tmpl w:val="833639D0"/>
    <w:lvl w:ilvl="0" w:tplc="49362F5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27" w15:restartNumberingAfterBreak="0">
    <w:nsid w:val="68695857"/>
    <w:multiLevelType w:val="hybridMultilevel"/>
    <w:tmpl w:val="96EEC202"/>
    <w:lvl w:ilvl="0" w:tplc="0EA89B6A">
      <w:start w:val="1"/>
      <w:numFmt w:val="decimal"/>
      <w:lvlText w:val="(%1)"/>
      <w:lvlJc w:val="left"/>
      <w:pPr>
        <w:ind w:left="2520" w:hanging="360"/>
      </w:pPr>
      <w:rPr>
        <w:rFonts w:ascii="Times New Roman" w:eastAsia="PMingLiU" w:hAnsi="Times New Roman" w:cs="Times New Roman"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9A94BE2"/>
    <w:multiLevelType w:val="hybridMultilevel"/>
    <w:tmpl w:val="B88ED6BA"/>
    <w:lvl w:ilvl="0" w:tplc="54C43D5A">
      <w:start w:val="1"/>
      <w:numFmt w:val="lowerRoman"/>
      <w:lvlText w:val="(%1)"/>
      <w:lvlJc w:val="left"/>
      <w:pPr>
        <w:ind w:left="2880" w:hanging="360"/>
      </w:pPr>
      <w:rPr>
        <w:rFonts w:ascii="Times New Roman" w:eastAsia="PMingLiU" w:hAnsi="Times New Roman" w:hint="default"/>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6F3A5BB5"/>
    <w:multiLevelType w:val="hybridMultilevel"/>
    <w:tmpl w:val="E65CF256"/>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9"/>
  </w:num>
  <w:num w:numId="2">
    <w:abstractNumId w:val="23"/>
  </w:num>
  <w:num w:numId="3">
    <w:abstractNumId w:val="7"/>
  </w:num>
  <w:num w:numId="4">
    <w:abstractNumId w:val="26"/>
  </w:num>
  <w:num w:numId="5">
    <w:abstractNumId w:val="10"/>
  </w:num>
  <w:num w:numId="6">
    <w:abstractNumId w:val="30"/>
  </w:num>
  <w:num w:numId="7">
    <w:abstractNumId w:val="22"/>
  </w:num>
  <w:num w:numId="8">
    <w:abstractNumId w:val="21"/>
  </w:num>
  <w:num w:numId="9">
    <w:abstractNumId w:val="9"/>
  </w:num>
  <w:num w:numId="10">
    <w:abstractNumId w:val="6"/>
  </w:num>
  <w:num w:numId="11">
    <w:abstractNumId w:val="13"/>
  </w:num>
  <w:num w:numId="12">
    <w:abstractNumId w:val="8"/>
  </w:num>
  <w:num w:numId="13">
    <w:abstractNumId w:val="24"/>
  </w:num>
  <w:num w:numId="14">
    <w:abstractNumId w:val="20"/>
  </w:num>
  <w:num w:numId="15">
    <w:abstractNumId w:val="12"/>
  </w:num>
  <w:num w:numId="16">
    <w:abstractNumId w:val="14"/>
  </w:num>
  <w:num w:numId="17">
    <w:abstractNumId w:val="3"/>
  </w:num>
  <w:num w:numId="18">
    <w:abstractNumId w:val="17"/>
  </w:num>
  <w:num w:numId="19">
    <w:abstractNumId w:val="0"/>
  </w:num>
  <w:num w:numId="20">
    <w:abstractNumId w:val="1"/>
  </w:num>
  <w:num w:numId="21">
    <w:abstractNumId w:val="25"/>
  </w:num>
  <w:num w:numId="22">
    <w:abstractNumId w:val="18"/>
  </w:num>
  <w:num w:numId="23">
    <w:abstractNumId w:val="15"/>
  </w:num>
  <w:num w:numId="24">
    <w:abstractNumId w:val="2"/>
  </w:num>
  <w:num w:numId="25">
    <w:abstractNumId w:val="29"/>
  </w:num>
  <w:num w:numId="26">
    <w:abstractNumId w:val="16"/>
  </w:num>
  <w:num w:numId="27">
    <w:abstractNumId w:val="28"/>
  </w:num>
  <w:num w:numId="28">
    <w:abstractNumId w:val="27"/>
  </w:num>
  <w:num w:numId="29">
    <w:abstractNumId w:val="5"/>
  </w:num>
  <w:num w:numId="30">
    <w:abstractNumId w:val="11"/>
  </w:num>
  <w:num w:numId="3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7A3"/>
    <w:rsid w:val="000018C8"/>
    <w:rsid w:val="000035DB"/>
    <w:rsid w:val="00003C12"/>
    <w:rsid w:val="000048E7"/>
    <w:rsid w:val="00004A13"/>
    <w:rsid w:val="00004CCF"/>
    <w:rsid w:val="000061A4"/>
    <w:rsid w:val="0000732A"/>
    <w:rsid w:val="0001507C"/>
    <w:rsid w:val="00016DF7"/>
    <w:rsid w:val="000172BD"/>
    <w:rsid w:val="00017BBF"/>
    <w:rsid w:val="0002479B"/>
    <w:rsid w:val="0002524E"/>
    <w:rsid w:val="000273CF"/>
    <w:rsid w:val="0003079B"/>
    <w:rsid w:val="00031E7D"/>
    <w:rsid w:val="00033D71"/>
    <w:rsid w:val="000354EE"/>
    <w:rsid w:val="00035C9E"/>
    <w:rsid w:val="00036067"/>
    <w:rsid w:val="00040291"/>
    <w:rsid w:val="000422AC"/>
    <w:rsid w:val="00046437"/>
    <w:rsid w:val="00047090"/>
    <w:rsid w:val="00050A92"/>
    <w:rsid w:val="00050BFF"/>
    <w:rsid w:val="00051382"/>
    <w:rsid w:val="00052E23"/>
    <w:rsid w:val="00053C4A"/>
    <w:rsid w:val="00053E26"/>
    <w:rsid w:val="0005456C"/>
    <w:rsid w:val="00055F9C"/>
    <w:rsid w:val="00056848"/>
    <w:rsid w:val="00057F3A"/>
    <w:rsid w:val="000600F2"/>
    <w:rsid w:val="00061710"/>
    <w:rsid w:val="0006197E"/>
    <w:rsid w:val="000629ED"/>
    <w:rsid w:val="00063AC9"/>
    <w:rsid w:val="00063B7F"/>
    <w:rsid w:val="00065986"/>
    <w:rsid w:val="00066074"/>
    <w:rsid w:val="00066208"/>
    <w:rsid w:val="0006785D"/>
    <w:rsid w:val="00067F66"/>
    <w:rsid w:val="00070353"/>
    <w:rsid w:val="00072182"/>
    <w:rsid w:val="000748B4"/>
    <w:rsid w:val="00074D59"/>
    <w:rsid w:val="0007684C"/>
    <w:rsid w:val="00076F86"/>
    <w:rsid w:val="00076FDE"/>
    <w:rsid w:val="000776CB"/>
    <w:rsid w:val="00077D0C"/>
    <w:rsid w:val="00081A74"/>
    <w:rsid w:val="00082D40"/>
    <w:rsid w:val="000831F5"/>
    <w:rsid w:val="00084060"/>
    <w:rsid w:val="0008494B"/>
    <w:rsid w:val="00085927"/>
    <w:rsid w:val="00086B0C"/>
    <w:rsid w:val="00091149"/>
    <w:rsid w:val="0009140B"/>
    <w:rsid w:val="00092922"/>
    <w:rsid w:val="00093758"/>
    <w:rsid w:val="00094227"/>
    <w:rsid w:val="000943A1"/>
    <w:rsid w:val="00094541"/>
    <w:rsid w:val="000946CF"/>
    <w:rsid w:val="00094DC3"/>
    <w:rsid w:val="000959B8"/>
    <w:rsid w:val="00096616"/>
    <w:rsid w:val="000A07BD"/>
    <w:rsid w:val="000A1DA9"/>
    <w:rsid w:val="000A48F3"/>
    <w:rsid w:val="000A7FA3"/>
    <w:rsid w:val="000B02A6"/>
    <w:rsid w:val="000B0613"/>
    <w:rsid w:val="000B1F07"/>
    <w:rsid w:val="000B28A0"/>
    <w:rsid w:val="000B30B8"/>
    <w:rsid w:val="000B4661"/>
    <w:rsid w:val="000B56E2"/>
    <w:rsid w:val="000B7DC5"/>
    <w:rsid w:val="000C0ACA"/>
    <w:rsid w:val="000C1A58"/>
    <w:rsid w:val="000C5DCF"/>
    <w:rsid w:val="000C7167"/>
    <w:rsid w:val="000D2117"/>
    <w:rsid w:val="000D5265"/>
    <w:rsid w:val="000D52B0"/>
    <w:rsid w:val="000D5DA9"/>
    <w:rsid w:val="000D763C"/>
    <w:rsid w:val="000D7829"/>
    <w:rsid w:val="000E0B3E"/>
    <w:rsid w:val="000E159C"/>
    <w:rsid w:val="000E2A0E"/>
    <w:rsid w:val="000E2BF9"/>
    <w:rsid w:val="000E4D96"/>
    <w:rsid w:val="000E5641"/>
    <w:rsid w:val="000E58F6"/>
    <w:rsid w:val="000E5A37"/>
    <w:rsid w:val="000E6969"/>
    <w:rsid w:val="000F0D04"/>
    <w:rsid w:val="000F30D3"/>
    <w:rsid w:val="000F47BA"/>
    <w:rsid w:val="000F4F65"/>
    <w:rsid w:val="000F6377"/>
    <w:rsid w:val="000F6F78"/>
    <w:rsid w:val="000F70AC"/>
    <w:rsid w:val="00105A28"/>
    <w:rsid w:val="00106CB8"/>
    <w:rsid w:val="001071F1"/>
    <w:rsid w:val="001103EC"/>
    <w:rsid w:val="00110660"/>
    <w:rsid w:val="001115A6"/>
    <w:rsid w:val="00111A4B"/>
    <w:rsid w:val="00112DA1"/>
    <w:rsid w:val="00112EDE"/>
    <w:rsid w:val="0011336B"/>
    <w:rsid w:val="001133AB"/>
    <w:rsid w:val="00114C61"/>
    <w:rsid w:val="00115768"/>
    <w:rsid w:val="00116159"/>
    <w:rsid w:val="00120422"/>
    <w:rsid w:val="00120AE8"/>
    <w:rsid w:val="001219F2"/>
    <w:rsid w:val="00121FA0"/>
    <w:rsid w:val="001225D1"/>
    <w:rsid w:val="001233B4"/>
    <w:rsid w:val="0012382C"/>
    <w:rsid w:val="00124CA8"/>
    <w:rsid w:val="001250A7"/>
    <w:rsid w:val="0012725E"/>
    <w:rsid w:val="001328F9"/>
    <w:rsid w:val="0013453B"/>
    <w:rsid w:val="00134E4F"/>
    <w:rsid w:val="001359DC"/>
    <w:rsid w:val="00136331"/>
    <w:rsid w:val="00136982"/>
    <w:rsid w:val="00136D06"/>
    <w:rsid w:val="00137AD4"/>
    <w:rsid w:val="00137EBF"/>
    <w:rsid w:val="001410BE"/>
    <w:rsid w:val="00141AD3"/>
    <w:rsid w:val="00141E3B"/>
    <w:rsid w:val="00142CEF"/>
    <w:rsid w:val="00143222"/>
    <w:rsid w:val="00144CA1"/>
    <w:rsid w:val="0014696A"/>
    <w:rsid w:val="00146D60"/>
    <w:rsid w:val="00146FAC"/>
    <w:rsid w:val="00147312"/>
    <w:rsid w:val="00150644"/>
    <w:rsid w:val="001515E0"/>
    <w:rsid w:val="00152F7E"/>
    <w:rsid w:val="001535B2"/>
    <w:rsid w:val="0015361F"/>
    <w:rsid w:val="001542B6"/>
    <w:rsid w:val="001546DC"/>
    <w:rsid w:val="00156BB6"/>
    <w:rsid w:val="001570D6"/>
    <w:rsid w:val="00162848"/>
    <w:rsid w:val="0016498E"/>
    <w:rsid w:val="001659CB"/>
    <w:rsid w:val="00167012"/>
    <w:rsid w:val="0016788D"/>
    <w:rsid w:val="00167FA5"/>
    <w:rsid w:val="00172A78"/>
    <w:rsid w:val="001741B1"/>
    <w:rsid w:val="0017441B"/>
    <w:rsid w:val="001744D0"/>
    <w:rsid w:val="0017776A"/>
    <w:rsid w:val="001778CD"/>
    <w:rsid w:val="00177F6B"/>
    <w:rsid w:val="001803E6"/>
    <w:rsid w:val="00180417"/>
    <w:rsid w:val="0018055F"/>
    <w:rsid w:val="00182B38"/>
    <w:rsid w:val="0018403A"/>
    <w:rsid w:val="00184B02"/>
    <w:rsid w:val="00187CDF"/>
    <w:rsid w:val="00192623"/>
    <w:rsid w:val="00193CAB"/>
    <w:rsid w:val="0019497C"/>
    <w:rsid w:val="00194982"/>
    <w:rsid w:val="00196940"/>
    <w:rsid w:val="00197D8B"/>
    <w:rsid w:val="001A0E94"/>
    <w:rsid w:val="001A1100"/>
    <w:rsid w:val="001A2AAA"/>
    <w:rsid w:val="001A31AB"/>
    <w:rsid w:val="001A3B25"/>
    <w:rsid w:val="001A3B7C"/>
    <w:rsid w:val="001A42C1"/>
    <w:rsid w:val="001A48E9"/>
    <w:rsid w:val="001A5240"/>
    <w:rsid w:val="001A6A94"/>
    <w:rsid w:val="001A6FEB"/>
    <w:rsid w:val="001B011E"/>
    <w:rsid w:val="001B4314"/>
    <w:rsid w:val="001B43B7"/>
    <w:rsid w:val="001B4491"/>
    <w:rsid w:val="001B5869"/>
    <w:rsid w:val="001B6562"/>
    <w:rsid w:val="001B7EC7"/>
    <w:rsid w:val="001C0113"/>
    <w:rsid w:val="001C0CAE"/>
    <w:rsid w:val="001C2130"/>
    <w:rsid w:val="001C255F"/>
    <w:rsid w:val="001C40A7"/>
    <w:rsid w:val="001C481E"/>
    <w:rsid w:val="001C54F9"/>
    <w:rsid w:val="001C5BA1"/>
    <w:rsid w:val="001C79AE"/>
    <w:rsid w:val="001D0987"/>
    <w:rsid w:val="001D1E7E"/>
    <w:rsid w:val="001D278F"/>
    <w:rsid w:val="001D3B1B"/>
    <w:rsid w:val="001D42FB"/>
    <w:rsid w:val="001D48BB"/>
    <w:rsid w:val="001D4A12"/>
    <w:rsid w:val="001D4B5D"/>
    <w:rsid w:val="001D7C28"/>
    <w:rsid w:val="001E022A"/>
    <w:rsid w:val="001E2E00"/>
    <w:rsid w:val="001E39D6"/>
    <w:rsid w:val="001E4562"/>
    <w:rsid w:val="001E5204"/>
    <w:rsid w:val="001E52D0"/>
    <w:rsid w:val="001E5C01"/>
    <w:rsid w:val="001E6690"/>
    <w:rsid w:val="001E72D7"/>
    <w:rsid w:val="001E79AC"/>
    <w:rsid w:val="001E7BA9"/>
    <w:rsid w:val="001F34CF"/>
    <w:rsid w:val="001F3B0A"/>
    <w:rsid w:val="001F48DC"/>
    <w:rsid w:val="001F4ECE"/>
    <w:rsid w:val="001F57AD"/>
    <w:rsid w:val="001F69FA"/>
    <w:rsid w:val="001F727B"/>
    <w:rsid w:val="00200478"/>
    <w:rsid w:val="002006E5"/>
    <w:rsid w:val="00200F50"/>
    <w:rsid w:val="002016FD"/>
    <w:rsid w:val="00201A3B"/>
    <w:rsid w:val="002049D9"/>
    <w:rsid w:val="00207877"/>
    <w:rsid w:val="00207B82"/>
    <w:rsid w:val="00207FD2"/>
    <w:rsid w:val="00211962"/>
    <w:rsid w:val="00212B04"/>
    <w:rsid w:val="002139AA"/>
    <w:rsid w:val="002145D6"/>
    <w:rsid w:val="002163DD"/>
    <w:rsid w:val="00216AA6"/>
    <w:rsid w:val="002175DE"/>
    <w:rsid w:val="0022022A"/>
    <w:rsid w:val="0022370A"/>
    <w:rsid w:val="00223D71"/>
    <w:rsid w:val="00224DA0"/>
    <w:rsid w:val="00224F35"/>
    <w:rsid w:val="0022510E"/>
    <w:rsid w:val="00227818"/>
    <w:rsid w:val="00227FA7"/>
    <w:rsid w:val="002303E1"/>
    <w:rsid w:val="00230979"/>
    <w:rsid w:val="00232A16"/>
    <w:rsid w:val="002354C2"/>
    <w:rsid w:val="0023788A"/>
    <w:rsid w:val="002407C3"/>
    <w:rsid w:val="002419A1"/>
    <w:rsid w:val="00242BE5"/>
    <w:rsid w:val="002441DA"/>
    <w:rsid w:val="00246689"/>
    <w:rsid w:val="00246B8D"/>
    <w:rsid w:val="002478BF"/>
    <w:rsid w:val="00250593"/>
    <w:rsid w:val="00251620"/>
    <w:rsid w:val="00251D00"/>
    <w:rsid w:val="00252C50"/>
    <w:rsid w:val="00253992"/>
    <w:rsid w:val="00253ED6"/>
    <w:rsid w:val="00255194"/>
    <w:rsid w:val="00261569"/>
    <w:rsid w:val="00262402"/>
    <w:rsid w:val="0026325B"/>
    <w:rsid w:val="00263F69"/>
    <w:rsid w:val="00265809"/>
    <w:rsid w:val="00266436"/>
    <w:rsid w:val="00271D16"/>
    <w:rsid w:val="002721E8"/>
    <w:rsid w:val="00273433"/>
    <w:rsid w:val="00275709"/>
    <w:rsid w:val="002758DD"/>
    <w:rsid w:val="00275BDB"/>
    <w:rsid w:val="00276CB5"/>
    <w:rsid w:val="00276D60"/>
    <w:rsid w:val="002774D1"/>
    <w:rsid w:val="0028486A"/>
    <w:rsid w:val="00284E0B"/>
    <w:rsid w:val="00285666"/>
    <w:rsid w:val="00286EE5"/>
    <w:rsid w:val="00287F9D"/>
    <w:rsid w:val="00290C18"/>
    <w:rsid w:val="00291B46"/>
    <w:rsid w:val="0029341F"/>
    <w:rsid w:val="002937F1"/>
    <w:rsid w:val="00294282"/>
    <w:rsid w:val="00294805"/>
    <w:rsid w:val="00294E01"/>
    <w:rsid w:val="0029712F"/>
    <w:rsid w:val="002A01DF"/>
    <w:rsid w:val="002A088A"/>
    <w:rsid w:val="002A0C16"/>
    <w:rsid w:val="002A0FCD"/>
    <w:rsid w:val="002A105C"/>
    <w:rsid w:val="002A1714"/>
    <w:rsid w:val="002A186F"/>
    <w:rsid w:val="002A7ED2"/>
    <w:rsid w:val="002B06BB"/>
    <w:rsid w:val="002B2B3D"/>
    <w:rsid w:val="002B3313"/>
    <w:rsid w:val="002B3497"/>
    <w:rsid w:val="002B3A47"/>
    <w:rsid w:val="002B6691"/>
    <w:rsid w:val="002B6B1E"/>
    <w:rsid w:val="002B6CB1"/>
    <w:rsid w:val="002C097F"/>
    <w:rsid w:val="002C1927"/>
    <w:rsid w:val="002C1FCF"/>
    <w:rsid w:val="002C2D3C"/>
    <w:rsid w:val="002C3464"/>
    <w:rsid w:val="002C3C80"/>
    <w:rsid w:val="002C3DDB"/>
    <w:rsid w:val="002C45F4"/>
    <w:rsid w:val="002C5729"/>
    <w:rsid w:val="002C5B1F"/>
    <w:rsid w:val="002C7210"/>
    <w:rsid w:val="002D05AE"/>
    <w:rsid w:val="002D08F8"/>
    <w:rsid w:val="002D0CB9"/>
    <w:rsid w:val="002D36D0"/>
    <w:rsid w:val="002D5371"/>
    <w:rsid w:val="002D5E37"/>
    <w:rsid w:val="002D629D"/>
    <w:rsid w:val="002D63E8"/>
    <w:rsid w:val="002E0453"/>
    <w:rsid w:val="002E0BE9"/>
    <w:rsid w:val="002E10F2"/>
    <w:rsid w:val="002E1533"/>
    <w:rsid w:val="002E63A0"/>
    <w:rsid w:val="002E6AD2"/>
    <w:rsid w:val="002F0EC7"/>
    <w:rsid w:val="002F148E"/>
    <w:rsid w:val="002F2F5A"/>
    <w:rsid w:val="002F42EC"/>
    <w:rsid w:val="002F62E5"/>
    <w:rsid w:val="002F6440"/>
    <w:rsid w:val="002F79F8"/>
    <w:rsid w:val="0030147E"/>
    <w:rsid w:val="00301D17"/>
    <w:rsid w:val="003023EC"/>
    <w:rsid w:val="0030424E"/>
    <w:rsid w:val="0030434E"/>
    <w:rsid w:val="00306D7B"/>
    <w:rsid w:val="0030755C"/>
    <w:rsid w:val="00307841"/>
    <w:rsid w:val="00310898"/>
    <w:rsid w:val="00311232"/>
    <w:rsid w:val="00314232"/>
    <w:rsid w:val="003164FD"/>
    <w:rsid w:val="00316C40"/>
    <w:rsid w:val="00317903"/>
    <w:rsid w:val="003215B4"/>
    <w:rsid w:val="003237D5"/>
    <w:rsid w:val="00323DD7"/>
    <w:rsid w:val="003252A3"/>
    <w:rsid w:val="00326E12"/>
    <w:rsid w:val="00327FBE"/>
    <w:rsid w:val="00330699"/>
    <w:rsid w:val="00330748"/>
    <w:rsid w:val="003307DF"/>
    <w:rsid w:val="00330FBB"/>
    <w:rsid w:val="00331814"/>
    <w:rsid w:val="003328D3"/>
    <w:rsid w:val="00332E8D"/>
    <w:rsid w:val="00332EC2"/>
    <w:rsid w:val="00337C38"/>
    <w:rsid w:val="003411D6"/>
    <w:rsid w:val="003419B7"/>
    <w:rsid w:val="00342026"/>
    <w:rsid w:val="003422D1"/>
    <w:rsid w:val="00342421"/>
    <w:rsid w:val="00342782"/>
    <w:rsid w:val="003430EB"/>
    <w:rsid w:val="003445F5"/>
    <w:rsid w:val="003445FA"/>
    <w:rsid w:val="00344A06"/>
    <w:rsid w:val="003458FA"/>
    <w:rsid w:val="00345E7F"/>
    <w:rsid w:val="00347FDD"/>
    <w:rsid w:val="003514DE"/>
    <w:rsid w:val="0035167C"/>
    <w:rsid w:val="00353409"/>
    <w:rsid w:val="00353CB7"/>
    <w:rsid w:val="003545A8"/>
    <w:rsid w:val="00354DC7"/>
    <w:rsid w:val="0035532F"/>
    <w:rsid w:val="003565FC"/>
    <w:rsid w:val="003608B3"/>
    <w:rsid w:val="003608E9"/>
    <w:rsid w:val="00361113"/>
    <w:rsid w:val="0036240B"/>
    <w:rsid w:val="003637CD"/>
    <w:rsid w:val="00365127"/>
    <w:rsid w:val="00366398"/>
    <w:rsid w:val="00370B0E"/>
    <w:rsid w:val="00373674"/>
    <w:rsid w:val="00373741"/>
    <w:rsid w:val="003745EC"/>
    <w:rsid w:val="003761AE"/>
    <w:rsid w:val="00376E5F"/>
    <w:rsid w:val="003776AF"/>
    <w:rsid w:val="00377B19"/>
    <w:rsid w:val="00377BD3"/>
    <w:rsid w:val="00380601"/>
    <w:rsid w:val="00380699"/>
    <w:rsid w:val="0038314E"/>
    <w:rsid w:val="00387360"/>
    <w:rsid w:val="00387F13"/>
    <w:rsid w:val="0039246E"/>
    <w:rsid w:val="00394F32"/>
    <w:rsid w:val="00395E1F"/>
    <w:rsid w:val="00397FC0"/>
    <w:rsid w:val="003A0306"/>
    <w:rsid w:val="003A09E8"/>
    <w:rsid w:val="003A1137"/>
    <w:rsid w:val="003A2400"/>
    <w:rsid w:val="003A2BD2"/>
    <w:rsid w:val="003A37C6"/>
    <w:rsid w:val="003A4686"/>
    <w:rsid w:val="003A5C56"/>
    <w:rsid w:val="003A6429"/>
    <w:rsid w:val="003A6A78"/>
    <w:rsid w:val="003A6AB5"/>
    <w:rsid w:val="003B14FA"/>
    <w:rsid w:val="003B1A17"/>
    <w:rsid w:val="003B2659"/>
    <w:rsid w:val="003B4AFE"/>
    <w:rsid w:val="003B5F00"/>
    <w:rsid w:val="003B63B3"/>
    <w:rsid w:val="003C0D33"/>
    <w:rsid w:val="003C1027"/>
    <w:rsid w:val="003C2243"/>
    <w:rsid w:val="003C33E4"/>
    <w:rsid w:val="003C53AD"/>
    <w:rsid w:val="003C6203"/>
    <w:rsid w:val="003C6339"/>
    <w:rsid w:val="003C73F9"/>
    <w:rsid w:val="003C7929"/>
    <w:rsid w:val="003D07B3"/>
    <w:rsid w:val="003D23D6"/>
    <w:rsid w:val="003D3185"/>
    <w:rsid w:val="003D35B3"/>
    <w:rsid w:val="003D3621"/>
    <w:rsid w:val="003D4FED"/>
    <w:rsid w:val="003D6C5D"/>
    <w:rsid w:val="003E249C"/>
    <w:rsid w:val="003E3B99"/>
    <w:rsid w:val="003E4E6E"/>
    <w:rsid w:val="003E52E0"/>
    <w:rsid w:val="003E7614"/>
    <w:rsid w:val="003E7CDF"/>
    <w:rsid w:val="003F10D6"/>
    <w:rsid w:val="003F2EA5"/>
    <w:rsid w:val="003F65B2"/>
    <w:rsid w:val="003F7ACB"/>
    <w:rsid w:val="00401C72"/>
    <w:rsid w:val="0040327B"/>
    <w:rsid w:val="00403365"/>
    <w:rsid w:val="0040350A"/>
    <w:rsid w:val="0040452D"/>
    <w:rsid w:val="0040596F"/>
    <w:rsid w:val="00407A59"/>
    <w:rsid w:val="00407DDE"/>
    <w:rsid w:val="004106BF"/>
    <w:rsid w:val="00412918"/>
    <w:rsid w:val="00414EE9"/>
    <w:rsid w:val="0041598F"/>
    <w:rsid w:val="00415DD0"/>
    <w:rsid w:val="004162A1"/>
    <w:rsid w:val="0041740E"/>
    <w:rsid w:val="00417752"/>
    <w:rsid w:val="00417ECB"/>
    <w:rsid w:val="00420D29"/>
    <w:rsid w:val="00421DB0"/>
    <w:rsid w:val="00422F09"/>
    <w:rsid w:val="004239B9"/>
    <w:rsid w:val="00425C49"/>
    <w:rsid w:val="00426003"/>
    <w:rsid w:val="004272BF"/>
    <w:rsid w:val="004303B9"/>
    <w:rsid w:val="004312CB"/>
    <w:rsid w:val="00432A86"/>
    <w:rsid w:val="004331FC"/>
    <w:rsid w:val="00435CF0"/>
    <w:rsid w:val="00436D16"/>
    <w:rsid w:val="004417E1"/>
    <w:rsid w:val="00441B83"/>
    <w:rsid w:val="00442036"/>
    <w:rsid w:val="0044210F"/>
    <w:rsid w:val="004424DA"/>
    <w:rsid w:val="004444AD"/>
    <w:rsid w:val="00445AE0"/>
    <w:rsid w:val="00445C62"/>
    <w:rsid w:val="00447225"/>
    <w:rsid w:val="00450035"/>
    <w:rsid w:val="004503A7"/>
    <w:rsid w:val="00450C59"/>
    <w:rsid w:val="00450EF0"/>
    <w:rsid w:val="004520B5"/>
    <w:rsid w:val="00452A89"/>
    <w:rsid w:val="00453945"/>
    <w:rsid w:val="00455017"/>
    <w:rsid w:val="0045668C"/>
    <w:rsid w:val="004578F0"/>
    <w:rsid w:val="0045796B"/>
    <w:rsid w:val="00457CBD"/>
    <w:rsid w:val="00461317"/>
    <w:rsid w:val="0046169D"/>
    <w:rsid w:val="0046182D"/>
    <w:rsid w:val="00461BE2"/>
    <w:rsid w:val="004620F5"/>
    <w:rsid w:val="004629E3"/>
    <w:rsid w:val="004639F1"/>
    <w:rsid w:val="00464EA8"/>
    <w:rsid w:val="00465DC5"/>
    <w:rsid w:val="00466397"/>
    <w:rsid w:val="00467F0D"/>
    <w:rsid w:val="00470016"/>
    <w:rsid w:val="004707FB"/>
    <w:rsid w:val="00470851"/>
    <w:rsid w:val="00471595"/>
    <w:rsid w:val="00472348"/>
    <w:rsid w:val="0047652C"/>
    <w:rsid w:val="004766EA"/>
    <w:rsid w:val="00481359"/>
    <w:rsid w:val="00481CCA"/>
    <w:rsid w:val="00483FAF"/>
    <w:rsid w:val="00486DAC"/>
    <w:rsid w:val="00487006"/>
    <w:rsid w:val="004872F6"/>
    <w:rsid w:val="00487B54"/>
    <w:rsid w:val="00487FF6"/>
    <w:rsid w:val="0049169A"/>
    <w:rsid w:val="0049209D"/>
    <w:rsid w:val="00493CCE"/>
    <w:rsid w:val="00493F40"/>
    <w:rsid w:val="00494889"/>
    <w:rsid w:val="00494EC7"/>
    <w:rsid w:val="004953D3"/>
    <w:rsid w:val="0049705C"/>
    <w:rsid w:val="0049768A"/>
    <w:rsid w:val="004A081C"/>
    <w:rsid w:val="004A255D"/>
    <w:rsid w:val="004A2763"/>
    <w:rsid w:val="004A296E"/>
    <w:rsid w:val="004A2BA8"/>
    <w:rsid w:val="004A32EA"/>
    <w:rsid w:val="004A3764"/>
    <w:rsid w:val="004A4ED0"/>
    <w:rsid w:val="004A6292"/>
    <w:rsid w:val="004A7AA6"/>
    <w:rsid w:val="004B0D7E"/>
    <w:rsid w:val="004B12F7"/>
    <w:rsid w:val="004B296F"/>
    <w:rsid w:val="004B2AF9"/>
    <w:rsid w:val="004B4712"/>
    <w:rsid w:val="004B77BB"/>
    <w:rsid w:val="004C1612"/>
    <w:rsid w:val="004C2858"/>
    <w:rsid w:val="004C3423"/>
    <w:rsid w:val="004C3BE1"/>
    <w:rsid w:val="004C492A"/>
    <w:rsid w:val="004C4C71"/>
    <w:rsid w:val="004C503A"/>
    <w:rsid w:val="004C5906"/>
    <w:rsid w:val="004C6012"/>
    <w:rsid w:val="004C6333"/>
    <w:rsid w:val="004D2CC2"/>
    <w:rsid w:val="004D2CCD"/>
    <w:rsid w:val="004D2EB4"/>
    <w:rsid w:val="004D348C"/>
    <w:rsid w:val="004D5230"/>
    <w:rsid w:val="004D5400"/>
    <w:rsid w:val="004D5A82"/>
    <w:rsid w:val="004D6EAB"/>
    <w:rsid w:val="004E047F"/>
    <w:rsid w:val="004E0972"/>
    <w:rsid w:val="004E1678"/>
    <w:rsid w:val="004E2D09"/>
    <w:rsid w:val="004E30DF"/>
    <w:rsid w:val="004E41B1"/>
    <w:rsid w:val="004E51A5"/>
    <w:rsid w:val="004E6F1D"/>
    <w:rsid w:val="004F0057"/>
    <w:rsid w:val="004F17F4"/>
    <w:rsid w:val="004F33B0"/>
    <w:rsid w:val="004F5DCA"/>
    <w:rsid w:val="004F5E0D"/>
    <w:rsid w:val="004F72B9"/>
    <w:rsid w:val="004F7F9D"/>
    <w:rsid w:val="005001B3"/>
    <w:rsid w:val="00500D81"/>
    <w:rsid w:val="0050196E"/>
    <w:rsid w:val="00501AB7"/>
    <w:rsid w:val="00502062"/>
    <w:rsid w:val="00502EF9"/>
    <w:rsid w:val="00504634"/>
    <w:rsid w:val="00510470"/>
    <w:rsid w:val="0051199B"/>
    <w:rsid w:val="00511CA8"/>
    <w:rsid w:val="00511E23"/>
    <w:rsid w:val="00512266"/>
    <w:rsid w:val="00512EFF"/>
    <w:rsid w:val="00514B1B"/>
    <w:rsid w:val="00517B60"/>
    <w:rsid w:val="005218DD"/>
    <w:rsid w:val="005224EE"/>
    <w:rsid w:val="0052257D"/>
    <w:rsid w:val="00524090"/>
    <w:rsid w:val="00524E54"/>
    <w:rsid w:val="00525B9E"/>
    <w:rsid w:val="00526A9A"/>
    <w:rsid w:val="00530C9B"/>
    <w:rsid w:val="00531038"/>
    <w:rsid w:val="00531391"/>
    <w:rsid w:val="0053182F"/>
    <w:rsid w:val="005320AC"/>
    <w:rsid w:val="00532540"/>
    <w:rsid w:val="00533429"/>
    <w:rsid w:val="00534A83"/>
    <w:rsid w:val="00536198"/>
    <w:rsid w:val="005363AA"/>
    <w:rsid w:val="0053647D"/>
    <w:rsid w:val="00536D80"/>
    <w:rsid w:val="00540283"/>
    <w:rsid w:val="0054058C"/>
    <w:rsid w:val="00545820"/>
    <w:rsid w:val="00550B92"/>
    <w:rsid w:val="00550D95"/>
    <w:rsid w:val="005517EC"/>
    <w:rsid w:val="00556E2C"/>
    <w:rsid w:val="00563C5F"/>
    <w:rsid w:val="00564F44"/>
    <w:rsid w:val="00566AD9"/>
    <w:rsid w:val="00570945"/>
    <w:rsid w:val="00571358"/>
    <w:rsid w:val="00572398"/>
    <w:rsid w:val="00572481"/>
    <w:rsid w:val="00573E43"/>
    <w:rsid w:val="0057568A"/>
    <w:rsid w:val="00575956"/>
    <w:rsid w:val="005763FC"/>
    <w:rsid w:val="0057676F"/>
    <w:rsid w:val="0058032C"/>
    <w:rsid w:val="005804EC"/>
    <w:rsid w:val="00580933"/>
    <w:rsid w:val="005809BC"/>
    <w:rsid w:val="0058104A"/>
    <w:rsid w:val="005814D0"/>
    <w:rsid w:val="00585A11"/>
    <w:rsid w:val="00586DB8"/>
    <w:rsid w:val="00587303"/>
    <w:rsid w:val="00587BA4"/>
    <w:rsid w:val="00591257"/>
    <w:rsid w:val="005932B9"/>
    <w:rsid w:val="00595BB9"/>
    <w:rsid w:val="00595E12"/>
    <w:rsid w:val="00595EFA"/>
    <w:rsid w:val="005964BA"/>
    <w:rsid w:val="00596F0C"/>
    <w:rsid w:val="0059750D"/>
    <w:rsid w:val="005979F7"/>
    <w:rsid w:val="005A0721"/>
    <w:rsid w:val="005A2057"/>
    <w:rsid w:val="005A3129"/>
    <w:rsid w:val="005A686F"/>
    <w:rsid w:val="005A7212"/>
    <w:rsid w:val="005A7C75"/>
    <w:rsid w:val="005B0B77"/>
    <w:rsid w:val="005B25C2"/>
    <w:rsid w:val="005B40E2"/>
    <w:rsid w:val="005B53D6"/>
    <w:rsid w:val="005B57FE"/>
    <w:rsid w:val="005B598D"/>
    <w:rsid w:val="005B6C36"/>
    <w:rsid w:val="005B7648"/>
    <w:rsid w:val="005C3130"/>
    <w:rsid w:val="005C4630"/>
    <w:rsid w:val="005C5C5E"/>
    <w:rsid w:val="005D04FE"/>
    <w:rsid w:val="005D0C1B"/>
    <w:rsid w:val="005D1F20"/>
    <w:rsid w:val="005D32B3"/>
    <w:rsid w:val="005D39A4"/>
    <w:rsid w:val="005E0587"/>
    <w:rsid w:val="005E12F3"/>
    <w:rsid w:val="005E130A"/>
    <w:rsid w:val="005E144E"/>
    <w:rsid w:val="005E245C"/>
    <w:rsid w:val="005E24D4"/>
    <w:rsid w:val="005E3A32"/>
    <w:rsid w:val="005E61E3"/>
    <w:rsid w:val="005E6520"/>
    <w:rsid w:val="005E67AE"/>
    <w:rsid w:val="005E7B91"/>
    <w:rsid w:val="005F07A9"/>
    <w:rsid w:val="005F123A"/>
    <w:rsid w:val="005F15EE"/>
    <w:rsid w:val="005F1635"/>
    <w:rsid w:val="005F1D7E"/>
    <w:rsid w:val="005F37CB"/>
    <w:rsid w:val="005F3C19"/>
    <w:rsid w:val="005F50AD"/>
    <w:rsid w:val="005F6F6A"/>
    <w:rsid w:val="006007B1"/>
    <w:rsid w:val="006017A1"/>
    <w:rsid w:val="006026DB"/>
    <w:rsid w:val="00603D68"/>
    <w:rsid w:val="006040A0"/>
    <w:rsid w:val="006049E6"/>
    <w:rsid w:val="00604AF5"/>
    <w:rsid w:val="00604CFB"/>
    <w:rsid w:val="00605232"/>
    <w:rsid w:val="0060561E"/>
    <w:rsid w:val="00605D09"/>
    <w:rsid w:val="00605F15"/>
    <w:rsid w:val="00606CB9"/>
    <w:rsid w:val="0061050B"/>
    <w:rsid w:val="00614C4F"/>
    <w:rsid w:val="0061580B"/>
    <w:rsid w:val="00616284"/>
    <w:rsid w:val="0061653B"/>
    <w:rsid w:val="00616C4D"/>
    <w:rsid w:val="0062138B"/>
    <w:rsid w:val="00622A31"/>
    <w:rsid w:val="006244B5"/>
    <w:rsid w:val="006246A2"/>
    <w:rsid w:val="00627F29"/>
    <w:rsid w:val="00630378"/>
    <w:rsid w:val="006314CC"/>
    <w:rsid w:val="00632509"/>
    <w:rsid w:val="0063408A"/>
    <w:rsid w:val="006344B9"/>
    <w:rsid w:val="00636A5F"/>
    <w:rsid w:val="006371D9"/>
    <w:rsid w:val="0064017C"/>
    <w:rsid w:val="00641BF2"/>
    <w:rsid w:val="00641F9E"/>
    <w:rsid w:val="00642AF9"/>
    <w:rsid w:val="00642DF7"/>
    <w:rsid w:val="00644DC9"/>
    <w:rsid w:val="006457FC"/>
    <w:rsid w:val="00646329"/>
    <w:rsid w:val="00646C48"/>
    <w:rsid w:val="006506E6"/>
    <w:rsid w:val="00652CCF"/>
    <w:rsid w:val="006541B6"/>
    <w:rsid w:val="0065587D"/>
    <w:rsid w:val="00657E0F"/>
    <w:rsid w:val="006601A1"/>
    <w:rsid w:val="00660E8A"/>
    <w:rsid w:val="006622C9"/>
    <w:rsid w:val="00662AF6"/>
    <w:rsid w:val="0066466E"/>
    <w:rsid w:val="006679A5"/>
    <w:rsid w:val="00672092"/>
    <w:rsid w:val="00672D13"/>
    <w:rsid w:val="00673F2D"/>
    <w:rsid w:val="00674770"/>
    <w:rsid w:val="00680039"/>
    <w:rsid w:val="00681FC6"/>
    <w:rsid w:val="00684E10"/>
    <w:rsid w:val="006850F8"/>
    <w:rsid w:val="0068553E"/>
    <w:rsid w:val="00687E96"/>
    <w:rsid w:val="006901F7"/>
    <w:rsid w:val="00690355"/>
    <w:rsid w:val="00690F78"/>
    <w:rsid w:val="006953B6"/>
    <w:rsid w:val="006957C3"/>
    <w:rsid w:val="006963B5"/>
    <w:rsid w:val="00696A1A"/>
    <w:rsid w:val="00696CE2"/>
    <w:rsid w:val="0069708E"/>
    <w:rsid w:val="0069773D"/>
    <w:rsid w:val="006A0CF4"/>
    <w:rsid w:val="006A1C1F"/>
    <w:rsid w:val="006A2063"/>
    <w:rsid w:val="006A3B40"/>
    <w:rsid w:val="006A4168"/>
    <w:rsid w:val="006A58D6"/>
    <w:rsid w:val="006A79BE"/>
    <w:rsid w:val="006A7D60"/>
    <w:rsid w:val="006B1088"/>
    <w:rsid w:val="006B199D"/>
    <w:rsid w:val="006B26B3"/>
    <w:rsid w:val="006B2E36"/>
    <w:rsid w:val="006B2E8D"/>
    <w:rsid w:val="006B3BAB"/>
    <w:rsid w:val="006B3C3D"/>
    <w:rsid w:val="006C1A71"/>
    <w:rsid w:val="006C1E87"/>
    <w:rsid w:val="006C25FC"/>
    <w:rsid w:val="006C324C"/>
    <w:rsid w:val="006C3255"/>
    <w:rsid w:val="006C4ABF"/>
    <w:rsid w:val="006C5DD2"/>
    <w:rsid w:val="006C5E94"/>
    <w:rsid w:val="006C664C"/>
    <w:rsid w:val="006C66D0"/>
    <w:rsid w:val="006D160C"/>
    <w:rsid w:val="006D4444"/>
    <w:rsid w:val="006D5D6A"/>
    <w:rsid w:val="006D62F3"/>
    <w:rsid w:val="006E010F"/>
    <w:rsid w:val="006E0E23"/>
    <w:rsid w:val="006E17FA"/>
    <w:rsid w:val="006E2198"/>
    <w:rsid w:val="006E38EF"/>
    <w:rsid w:val="006E4A15"/>
    <w:rsid w:val="006E4AF2"/>
    <w:rsid w:val="006E4C25"/>
    <w:rsid w:val="006E62DE"/>
    <w:rsid w:val="006E6721"/>
    <w:rsid w:val="006E69A2"/>
    <w:rsid w:val="006E7DC3"/>
    <w:rsid w:val="006E7E52"/>
    <w:rsid w:val="006F0666"/>
    <w:rsid w:val="006F0924"/>
    <w:rsid w:val="006F37EB"/>
    <w:rsid w:val="006F71CB"/>
    <w:rsid w:val="006F7490"/>
    <w:rsid w:val="00700A0F"/>
    <w:rsid w:val="007022B7"/>
    <w:rsid w:val="007033E4"/>
    <w:rsid w:val="00703E6A"/>
    <w:rsid w:val="00704178"/>
    <w:rsid w:val="00705815"/>
    <w:rsid w:val="0070625D"/>
    <w:rsid w:val="0070654E"/>
    <w:rsid w:val="00706C56"/>
    <w:rsid w:val="00706D8E"/>
    <w:rsid w:val="00711652"/>
    <w:rsid w:val="00711E1A"/>
    <w:rsid w:val="00711E29"/>
    <w:rsid w:val="0071253F"/>
    <w:rsid w:val="00712871"/>
    <w:rsid w:val="007129BB"/>
    <w:rsid w:val="007162FF"/>
    <w:rsid w:val="00717E87"/>
    <w:rsid w:val="00717F0A"/>
    <w:rsid w:val="00722A63"/>
    <w:rsid w:val="00722B72"/>
    <w:rsid w:val="00722C93"/>
    <w:rsid w:val="007232AB"/>
    <w:rsid w:val="00724423"/>
    <w:rsid w:val="007245EB"/>
    <w:rsid w:val="007246BB"/>
    <w:rsid w:val="00725197"/>
    <w:rsid w:val="007264D4"/>
    <w:rsid w:val="00730E9D"/>
    <w:rsid w:val="00731086"/>
    <w:rsid w:val="00733DF8"/>
    <w:rsid w:val="0073482B"/>
    <w:rsid w:val="00734AAA"/>
    <w:rsid w:val="00735DD9"/>
    <w:rsid w:val="00736572"/>
    <w:rsid w:val="00736929"/>
    <w:rsid w:val="00742434"/>
    <w:rsid w:val="00743578"/>
    <w:rsid w:val="00744886"/>
    <w:rsid w:val="007449F4"/>
    <w:rsid w:val="0074527D"/>
    <w:rsid w:val="00746144"/>
    <w:rsid w:val="00746CCB"/>
    <w:rsid w:val="00747266"/>
    <w:rsid w:val="007473C8"/>
    <w:rsid w:val="00750441"/>
    <w:rsid w:val="00750645"/>
    <w:rsid w:val="0075190F"/>
    <w:rsid w:val="007522C9"/>
    <w:rsid w:val="00754ED3"/>
    <w:rsid w:val="007558EE"/>
    <w:rsid w:val="00755F23"/>
    <w:rsid w:val="00761198"/>
    <w:rsid w:val="00762ACE"/>
    <w:rsid w:val="00763785"/>
    <w:rsid w:val="00765BEA"/>
    <w:rsid w:val="00766BAA"/>
    <w:rsid w:val="00770A8D"/>
    <w:rsid w:val="00771745"/>
    <w:rsid w:val="00771958"/>
    <w:rsid w:val="00774FAD"/>
    <w:rsid w:val="007777A3"/>
    <w:rsid w:val="0077782F"/>
    <w:rsid w:val="00783090"/>
    <w:rsid w:val="0078360F"/>
    <w:rsid w:val="00785C71"/>
    <w:rsid w:val="007862C9"/>
    <w:rsid w:val="00787681"/>
    <w:rsid w:val="00787945"/>
    <w:rsid w:val="0079039F"/>
    <w:rsid w:val="0079089D"/>
    <w:rsid w:val="00791DF0"/>
    <w:rsid w:val="0079382B"/>
    <w:rsid w:val="0079384B"/>
    <w:rsid w:val="00795F9F"/>
    <w:rsid w:val="00796408"/>
    <w:rsid w:val="00796858"/>
    <w:rsid w:val="007A1D69"/>
    <w:rsid w:val="007A250D"/>
    <w:rsid w:val="007A2AE3"/>
    <w:rsid w:val="007A4867"/>
    <w:rsid w:val="007A4D28"/>
    <w:rsid w:val="007A5B06"/>
    <w:rsid w:val="007A6CB4"/>
    <w:rsid w:val="007A725A"/>
    <w:rsid w:val="007B065B"/>
    <w:rsid w:val="007B0EB5"/>
    <w:rsid w:val="007B1217"/>
    <w:rsid w:val="007B1CDE"/>
    <w:rsid w:val="007B1D44"/>
    <w:rsid w:val="007B2194"/>
    <w:rsid w:val="007B3B87"/>
    <w:rsid w:val="007B3B88"/>
    <w:rsid w:val="007B634E"/>
    <w:rsid w:val="007C27FB"/>
    <w:rsid w:val="007C37E6"/>
    <w:rsid w:val="007C38F1"/>
    <w:rsid w:val="007C5A71"/>
    <w:rsid w:val="007C7A45"/>
    <w:rsid w:val="007D1297"/>
    <w:rsid w:val="007D1305"/>
    <w:rsid w:val="007D245E"/>
    <w:rsid w:val="007D27F3"/>
    <w:rsid w:val="007D3B78"/>
    <w:rsid w:val="007D48F6"/>
    <w:rsid w:val="007D53F8"/>
    <w:rsid w:val="007E2658"/>
    <w:rsid w:val="007E3727"/>
    <w:rsid w:val="007E38DE"/>
    <w:rsid w:val="007E65D6"/>
    <w:rsid w:val="007E79EB"/>
    <w:rsid w:val="007F1C9A"/>
    <w:rsid w:val="007F1F00"/>
    <w:rsid w:val="007F228B"/>
    <w:rsid w:val="007F2AE8"/>
    <w:rsid w:val="007F3267"/>
    <w:rsid w:val="007F4ACA"/>
    <w:rsid w:val="007F56CF"/>
    <w:rsid w:val="007F62F3"/>
    <w:rsid w:val="008013BE"/>
    <w:rsid w:val="008025CC"/>
    <w:rsid w:val="008074CF"/>
    <w:rsid w:val="00811AF6"/>
    <w:rsid w:val="008134A2"/>
    <w:rsid w:val="0081488E"/>
    <w:rsid w:val="00814F59"/>
    <w:rsid w:val="00816B7C"/>
    <w:rsid w:val="00820A8A"/>
    <w:rsid w:val="00820BE3"/>
    <w:rsid w:val="00820D62"/>
    <w:rsid w:val="00821278"/>
    <w:rsid w:val="00821EEB"/>
    <w:rsid w:val="00823060"/>
    <w:rsid w:val="008257A9"/>
    <w:rsid w:val="0082715D"/>
    <w:rsid w:val="00830FAE"/>
    <w:rsid w:val="00831813"/>
    <w:rsid w:val="008323E5"/>
    <w:rsid w:val="00834CB0"/>
    <w:rsid w:val="00836995"/>
    <w:rsid w:val="0083763A"/>
    <w:rsid w:val="00837AA2"/>
    <w:rsid w:val="00840BD6"/>
    <w:rsid w:val="0084353C"/>
    <w:rsid w:val="00843AAE"/>
    <w:rsid w:val="008451A6"/>
    <w:rsid w:val="00845925"/>
    <w:rsid w:val="00846233"/>
    <w:rsid w:val="008473A7"/>
    <w:rsid w:val="00847D6E"/>
    <w:rsid w:val="00850FC4"/>
    <w:rsid w:val="00851F86"/>
    <w:rsid w:val="0085407C"/>
    <w:rsid w:val="008555DF"/>
    <w:rsid w:val="008569FC"/>
    <w:rsid w:val="00857999"/>
    <w:rsid w:val="00857D03"/>
    <w:rsid w:val="0086053E"/>
    <w:rsid w:val="00860A88"/>
    <w:rsid w:val="00861EC0"/>
    <w:rsid w:val="00864AA7"/>
    <w:rsid w:val="00866038"/>
    <w:rsid w:val="00866D13"/>
    <w:rsid w:val="00870F3C"/>
    <w:rsid w:val="0087118D"/>
    <w:rsid w:val="00871ECF"/>
    <w:rsid w:val="0087229C"/>
    <w:rsid w:val="00873451"/>
    <w:rsid w:val="00873EF5"/>
    <w:rsid w:val="008744CA"/>
    <w:rsid w:val="00875C80"/>
    <w:rsid w:val="00876698"/>
    <w:rsid w:val="0087679B"/>
    <w:rsid w:val="0087748E"/>
    <w:rsid w:val="00884A46"/>
    <w:rsid w:val="00884B61"/>
    <w:rsid w:val="008857A5"/>
    <w:rsid w:val="00885D05"/>
    <w:rsid w:val="00885F3C"/>
    <w:rsid w:val="00886D36"/>
    <w:rsid w:val="00887B39"/>
    <w:rsid w:val="00887DD3"/>
    <w:rsid w:val="00891FF1"/>
    <w:rsid w:val="008920E9"/>
    <w:rsid w:val="0089337A"/>
    <w:rsid w:val="00894622"/>
    <w:rsid w:val="008947D9"/>
    <w:rsid w:val="00895EB2"/>
    <w:rsid w:val="008A05CF"/>
    <w:rsid w:val="008A1C7A"/>
    <w:rsid w:val="008A24DA"/>
    <w:rsid w:val="008A2644"/>
    <w:rsid w:val="008A3E29"/>
    <w:rsid w:val="008A5EBC"/>
    <w:rsid w:val="008A704A"/>
    <w:rsid w:val="008B1161"/>
    <w:rsid w:val="008B37CF"/>
    <w:rsid w:val="008B44EB"/>
    <w:rsid w:val="008B4FA9"/>
    <w:rsid w:val="008B63B9"/>
    <w:rsid w:val="008B684C"/>
    <w:rsid w:val="008C0EFC"/>
    <w:rsid w:val="008C1673"/>
    <w:rsid w:val="008C1FF3"/>
    <w:rsid w:val="008C21D7"/>
    <w:rsid w:val="008C517C"/>
    <w:rsid w:val="008C5EB6"/>
    <w:rsid w:val="008D000C"/>
    <w:rsid w:val="008D177F"/>
    <w:rsid w:val="008D24AD"/>
    <w:rsid w:val="008D2A7D"/>
    <w:rsid w:val="008D3D88"/>
    <w:rsid w:val="008D53E4"/>
    <w:rsid w:val="008D674D"/>
    <w:rsid w:val="008D6758"/>
    <w:rsid w:val="008D6AC5"/>
    <w:rsid w:val="008D6E74"/>
    <w:rsid w:val="008D7423"/>
    <w:rsid w:val="008E0AAC"/>
    <w:rsid w:val="008E25CA"/>
    <w:rsid w:val="008E2CE1"/>
    <w:rsid w:val="008E3052"/>
    <w:rsid w:val="008E4CBB"/>
    <w:rsid w:val="008E668B"/>
    <w:rsid w:val="008E6AC3"/>
    <w:rsid w:val="008F151A"/>
    <w:rsid w:val="008F1CD4"/>
    <w:rsid w:val="008F1F56"/>
    <w:rsid w:val="008F2119"/>
    <w:rsid w:val="008F2C3F"/>
    <w:rsid w:val="008F335C"/>
    <w:rsid w:val="008F57B1"/>
    <w:rsid w:val="008F5D25"/>
    <w:rsid w:val="008F6B9E"/>
    <w:rsid w:val="008F7245"/>
    <w:rsid w:val="008F7A82"/>
    <w:rsid w:val="00900905"/>
    <w:rsid w:val="00904317"/>
    <w:rsid w:val="00904D58"/>
    <w:rsid w:val="009053C0"/>
    <w:rsid w:val="00905F71"/>
    <w:rsid w:val="0090700C"/>
    <w:rsid w:val="00911390"/>
    <w:rsid w:val="0091254D"/>
    <w:rsid w:val="00912BDA"/>
    <w:rsid w:val="009133D9"/>
    <w:rsid w:val="00916886"/>
    <w:rsid w:val="00920158"/>
    <w:rsid w:val="009208C3"/>
    <w:rsid w:val="009210F6"/>
    <w:rsid w:val="00921AF3"/>
    <w:rsid w:val="00923495"/>
    <w:rsid w:val="00923B2D"/>
    <w:rsid w:val="00924370"/>
    <w:rsid w:val="0092437B"/>
    <w:rsid w:val="0092690D"/>
    <w:rsid w:val="009276C4"/>
    <w:rsid w:val="00927EF7"/>
    <w:rsid w:val="00930BB4"/>
    <w:rsid w:val="00931315"/>
    <w:rsid w:val="00931DCA"/>
    <w:rsid w:val="00932256"/>
    <w:rsid w:val="00932AF7"/>
    <w:rsid w:val="00935E21"/>
    <w:rsid w:val="00936C83"/>
    <w:rsid w:val="0093714E"/>
    <w:rsid w:val="00937AD1"/>
    <w:rsid w:val="00937F1C"/>
    <w:rsid w:val="00941FEB"/>
    <w:rsid w:val="00942AFB"/>
    <w:rsid w:val="009433BF"/>
    <w:rsid w:val="00944C6E"/>
    <w:rsid w:val="0094500A"/>
    <w:rsid w:val="00945F94"/>
    <w:rsid w:val="009464D0"/>
    <w:rsid w:val="00946F78"/>
    <w:rsid w:val="00951358"/>
    <w:rsid w:val="0095326C"/>
    <w:rsid w:val="009549E4"/>
    <w:rsid w:val="009553F0"/>
    <w:rsid w:val="00955472"/>
    <w:rsid w:val="00960AF4"/>
    <w:rsid w:val="00961207"/>
    <w:rsid w:val="0096274E"/>
    <w:rsid w:val="0096512A"/>
    <w:rsid w:val="00965715"/>
    <w:rsid w:val="0096596D"/>
    <w:rsid w:val="00965D3F"/>
    <w:rsid w:val="00965F9E"/>
    <w:rsid w:val="009707E9"/>
    <w:rsid w:val="00970F92"/>
    <w:rsid w:val="0097103D"/>
    <w:rsid w:val="00971597"/>
    <w:rsid w:val="00973A03"/>
    <w:rsid w:val="00973CF3"/>
    <w:rsid w:val="00975727"/>
    <w:rsid w:val="00976493"/>
    <w:rsid w:val="00976957"/>
    <w:rsid w:val="00980DAE"/>
    <w:rsid w:val="00981902"/>
    <w:rsid w:val="00981AA0"/>
    <w:rsid w:val="00983880"/>
    <w:rsid w:val="009847B4"/>
    <w:rsid w:val="009848F8"/>
    <w:rsid w:val="00985969"/>
    <w:rsid w:val="00986277"/>
    <w:rsid w:val="00986349"/>
    <w:rsid w:val="009875CE"/>
    <w:rsid w:val="00991221"/>
    <w:rsid w:val="00992257"/>
    <w:rsid w:val="00992E3A"/>
    <w:rsid w:val="00997411"/>
    <w:rsid w:val="009A0C8A"/>
    <w:rsid w:val="009A0DD2"/>
    <w:rsid w:val="009A1560"/>
    <w:rsid w:val="009A16E9"/>
    <w:rsid w:val="009A188E"/>
    <w:rsid w:val="009A19F6"/>
    <w:rsid w:val="009A2800"/>
    <w:rsid w:val="009A2930"/>
    <w:rsid w:val="009A45BD"/>
    <w:rsid w:val="009A5E7A"/>
    <w:rsid w:val="009A6A88"/>
    <w:rsid w:val="009A6B80"/>
    <w:rsid w:val="009B15C2"/>
    <w:rsid w:val="009B1E78"/>
    <w:rsid w:val="009B2475"/>
    <w:rsid w:val="009B2EE0"/>
    <w:rsid w:val="009B300A"/>
    <w:rsid w:val="009B3141"/>
    <w:rsid w:val="009B4DFB"/>
    <w:rsid w:val="009B55B3"/>
    <w:rsid w:val="009B5E27"/>
    <w:rsid w:val="009B6FFD"/>
    <w:rsid w:val="009B7018"/>
    <w:rsid w:val="009B79AA"/>
    <w:rsid w:val="009B7A06"/>
    <w:rsid w:val="009C00EE"/>
    <w:rsid w:val="009C1422"/>
    <w:rsid w:val="009C14E7"/>
    <w:rsid w:val="009C2BA9"/>
    <w:rsid w:val="009C2F49"/>
    <w:rsid w:val="009C38F5"/>
    <w:rsid w:val="009C3A0D"/>
    <w:rsid w:val="009C529B"/>
    <w:rsid w:val="009C5793"/>
    <w:rsid w:val="009C758F"/>
    <w:rsid w:val="009D17D0"/>
    <w:rsid w:val="009D2D82"/>
    <w:rsid w:val="009D3C37"/>
    <w:rsid w:val="009D4BAA"/>
    <w:rsid w:val="009D5B63"/>
    <w:rsid w:val="009E0E12"/>
    <w:rsid w:val="009E0F91"/>
    <w:rsid w:val="009E1068"/>
    <w:rsid w:val="009E114C"/>
    <w:rsid w:val="009E13D8"/>
    <w:rsid w:val="009E1799"/>
    <w:rsid w:val="009E1CF3"/>
    <w:rsid w:val="009E4B9E"/>
    <w:rsid w:val="009E539D"/>
    <w:rsid w:val="009E6457"/>
    <w:rsid w:val="009F1203"/>
    <w:rsid w:val="009F1A8F"/>
    <w:rsid w:val="009F231E"/>
    <w:rsid w:val="009F3387"/>
    <w:rsid w:val="009F5F3F"/>
    <w:rsid w:val="00A000E3"/>
    <w:rsid w:val="00A00A96"/>
    <w:rsid w:val="00A06B8C"/>
    <w:rsid w:val="00A106AF"/>
    <w:rsid w:val="00A10BC0"/>
    <w:rsid w:val="00A113AE"/>
    <w:rsid w:val="00A115D8"/>
    <w:rsid w:val="00A11DAD"/>
    <w:rsid w:val="00A12658"/>
    <w:rsid w:val="00A13339"/>
    <w:rsid w:val="00A1536B"/>
    <w:rsid w:val="00A173B1"/>
    <w:rsid w:val="00A1751A"/>
    <w:rsid w:val="00A20127"/>
    <w:rsid w:val="00A20727"/>
    <w:rsid w:val="00A212CF"/>
    <w:rsid w:val="00A21676"/>
    <w:rsid w:val="00A220C3"/>
    <w:rsid w:val="00A230E0"/>
    <w:rsid w:val="00A248D3"/>
    <w:rsid w:val="00A24C5B"/>
    <w:rsid w:val="00A25192"/>
    <w:rsid w:val="00A25B85"/>
    <w:rsid w:val="00A26F52"/>
    <w:rsid w:val="00A27E58"/>
    <w:rsid w:val="00A33C32"/>
    <w:rsid w:val="00A34123"/>
    <w:rsid w:val="00A3635F"/>
    <w:rsid w:val="00A36DAF"/>
    <w:rsid w:val="00A373AA"/>
    <w:rsid w:val="00A378ED"/>
    <w:rsid w:val="00A41585"/>
    <w:rsid w:val="00A43049"/>
    <w:rsid w:val="00A43383"/>
    <w:rsid w:val="00A453EE"/>
    <w:rsid w:val="00A45585"/>
    <w:rsid w:val="00A45762"/>
    <w:rsid w:val="00A457B5"/>
    <w:rsid w:val="00A45853"/>
    <w:rsid w:val="00A465BA"/>
    <w:rsid w:val="00A471F4"/>
    <w:rsid w:val="00A53FAA"/>
    <w:rsid w:val="00A54775"/>
    <w:rsid w:val="00A56240"/>
    <w:rsid w:val="00A571FB"/>
    <w:rsid w:val="00A617EE"/>
    <w:rsid w:val="00A61D5D"/>
    <w:rsid w:val="00A62A96"/>
    <w:rsid w:val="00A62F0D"/>
    <w:rsid w:val="00A63042"/>
    <w:rsid w:val="00A641EB"/>
    <w:rsid w:val="00A6486F"/>
    <w:rsid w:val="00A66399"/>
    <w:rsid w:val="00A6649E"/>
    <w:rsid w:val="00A66DCF"/>
    <w:rsid w:val="00A67900"/>
    <w:rsid w:val="00A67FDF"/>
    <w:rsid w:val="00A702C7"/>
    <w:rsid w:val="00A70AD0"/>
    <w:rsid w:val="00A71EEE"/>
    <w:rsid w:val="00A72030"/>
    <w:rsid w:val="00A75D21"/>
    <w:rsid w:val="00A76573"/>
    <w:rsid w:val="00A80C8A"/>
    <w:rsid w:val="00A80FEE"/>
    <w:rsid w:val="00A8183A"/>
    <w:rsid w:val="00A8390A"/>
    <w:rsid w:val="00A85909"/>
    <w:rsid w:val="00A86F91"/>
    <w:rsid w:val="00A91539"/>
    <w:rsid w:val="00A91919"/>
    <w:rsid w:val="00A91AC6"/>
    <w:rsid w:val="00A923C4"/>
    <w:rsid w:val="00A92602"/>
    <w:rsid w:val="00A92A2F"/>
    <w:rsid w:val="00A93BA6"/>
    <w:rsid w:val="00AA0ED7"/>
    <w:rsid w:val="00AA3A69"/>
    <w:rsid w:val="00AA4564"/>
    <w:rsid w:val="00AA58F9"/>
    <w:rsid w:val="00AA5A6C"/>
    <w:rsid w:val="00AB1640"/>
    <w:rsid w:val="00AB2DB4"/>
    <w:rsid w:val="00AB2E23"/>
    <w:rsid w:val="00AB2EB6"/>
    <w:rsid w:val="00AB33AF"/>
    <w:rsid w:val="00AB36DF"/>
    <w:rsid w:val="00AB3D0E"/>
    <w:rsid w:val="00AB3E10"/>
    <w:rsid w:val="00AB41C5"/>
    <w:rsid w:val="00AB4792"/>
    <w:rsid w:val="00AB6C4E"/>
    <w:rsid w:val="00AC0B38"/>
    <w:rsid w:val="00AC1A8B"/>
    <w:rsid w:val="00AC2E91"/>
    <w:rsid w:val="00AC52D3"/>
    <w:rsid w:val="00AC5B62"/>
    <w:rsid w:val="00AC6927"/>
    <w:rsid w:val="00AC6BE6"/>
    <w:rsid w:val="00AD1F46"/>
    <w:rsid w:val="00AD2524"/>
    <w:rsid w:val="00AD4799"/>
    <w:rsid w:val="00AD4A02"/>
    <w:rsid w:val="00AD63AF"/>
    <w:rsid w:val="00AE0113"/>
    <w:rsid w:val="00AE07D3"/>
    <w:rsid w:val="00AE0B4B"/>
    <w:rsid w:val="00AE220C"/>
    <w:rsid w:val="00AE4BAC"/>
    <w:rsid w:val="00AE5A1A"/>
    <w:rsid w:val="00AE5B21"/>
    <w:rsid w:val="00AE6C99"/>
    <w:rsid w:val="00AE7786"/>
    <w:rsid w:val="00AF0A8A"/>
    <w:rsid w:val="00AF22E4"/>
    <w:rsid w:val="00AF2E9C"/>
    <w:rsid w:val="00AF30BB"/>
    <w:rsid w:val="00AF3DDE"/>
    <w:rsid w:val="00AF40AC"/>
    <w:rsid w:val="00AF41DF"/>
    <w:rsid w:val="00AF51B0"/>
    <w:rsid w:val="00AF5373"/>
    <w:rsid w:val="00AF5ED6"/>
    <w:rsid w:val="00AF6381"/>
    <w:rsid w:val="00AF63D5"/>
    <w:rsid w:val="00AF63F8"/>
    <w:rsid w:val="00AF738D"/>
    <w:rsid w:val="00B0008F"/>
    <w:rsid w:val="00B01132"/>
    <w:rsid w:val="00B023E0"/>
    <w:rsid w:val="00B0250C"/>
    <w:rsid w:val="00B04B53"/>
    <w:rsid w:val="00B06B57"/>
    <w:rsid w:val="00B0715D"/>
    <w:rsid w:val="00B07446"/>
    <w:rsid w:val="00B07B6A"/>
    <w:rsid w:val="00B114C3"/>
    <w:rsid w:val="00B1251B"/>
    <w:rsid w:val="00B12BA4"/>
    <w:rsid w:val="00B14412"/>
    <w:rsid w:val="00B14D5F"/>
    <w:rsid w:val="00B16BC1"/>
    <w:rsid w:val="00B20637"/>
    <w:rsid w:val="00B20A4D"/>
    <w:rsid w:val="00B2155E"/>
    <w:rsid w:val="00B22537"/>
    <w:rsid w:val="00B24736"/>
    <w:rsid w:val="00B24C96"/>
    <w:rsid w:val="00B2539F"/>
    <w:rsid w:val="00B25E5D"/>
    <w:rsid w:val="00B26245"/>
    <w:rsid w:val="00B26ADB"/>
    <w:rsid w:val="00B276A7"/>
    <w:rsid w:val="00B2771E"/>
    <w:rsid w:val="00B30784"/>
    <w:rsid w:val="00B31F2C"/>
    <w:rsid w:val="00B32460"/>
    <w:rsid w:val="00B33FF0"/>
    <w:rsid w:val="00B34708"/>
    <w:rsid w:val="00B352E4"/>
    <w:rsid w:val="00B35F68"/>
    <w:rsid w:val="00B364DF"/>
    <w:rsid w:val="00B418A6"/>
    <w:rsid w:val="00B41D6E"/>
    <w:rsid w:val="00B42860"/>
    <w:rsid w:val="00B433D2"/>
    <w:rsid w:val="00B4346D"/>
    <w:rsid w:val="00B436E1"/>
    <w:rsid w:val="00B4507E"/>
    <w:rsid w:val="00B454F8"/>
    <w:rsid w:val="00B45A3B"/>
    <w:rsid w:val="00B47A6F"/>
    <w:rsid w:val="00B50FA1"/>
    <w:rsid w:val="00B52267"/>
    <w:rsid w:val="00B54477"/>
    <w:rsid w:val="00B56222"/>
    <w:rsid w:val="00B57615"/>
    <w:rsid w:val="00B576CD"/>
    <w:rsid w:val="00B62C89"/>
    <w:rsid w:val="00B665AE"/>
    <w:rsid w:val="00B666CB"/>
    <w:rsid w:val="00B678EB"/>
    <w:rsid w:val="00B67CDA"/>
    <w:rsid w:val="00B71641"/>
    <w:rsid w:val="00B74262"/>
    <w:rsid w:val="00B7433E"/>
    <w:rsid w:val="00B74693"/>
    <w:rsid w:val="00B74FE1"/>
    <w:rsid w:val="00B76332"/>
    <w:rsid w:val="00B7776C"/>
    <w:rsid w:val="00B82EE5"/>
    <w:rsid w:val="00B84982"/>
    <w:rsid w:val="00B84EAD"/>
    <w:rsid w:val="00B85721"/>
    <w:rsid w:val="00B85E2E"/>
    <w:rsid w:val="00B86043"/>
    <w:rsid w:val="00B86C29"/>
    <w:rsid w:val="00B9096E"/>
    <w:rsid w:val="00B9196F"/>
    <w:rsid w:val="00B92D96"/>
    <w:rsid w:val="00B933DE"/>
    <w:rsid w:val="00B93A2D"/>
    <w:rsid w:val="00B95273"/>
    <w:rsid w:val="00B95A7A"/>
    <w:rsid w:val="00BA2052"/>
    <w:rsid w:val="00BA37ED"/>
    <w:rsid w:val="00BA449F"/>
    <w:rsid w:val="00BA55B4"/>
    <w:rsid w:val="00BA5C59"/>
    <w:rsid w:val="00BA6221"/>
    <w:rsid w:val="00BB14F6"/>
    <w:rsid w:val="00BB31BE"/>
    <w:rsid w:val="00BB770E"/>
    <w:rsid w:val="00BB7FB5"/>
    <w:rsid w:val="00BC0FB0"/>
    <w:rsid w:val="00BC25F7"/>
    <w:rsid w:val="00BC2A74"/>
    <w:rsid w:val="00BC3265"/>
    <w:rsid w:val="00BC36BB"/>
    <w:rsid w:val="00BC643B"/>
    <w:rsid w:val="00BC73A7"/>
    <w:rsid w:val="00BD09D3"/>
    <w:rsid w:val="00BD12AD"/>
    <w:rsid w:val="00BD2FCC"/>
    <w:rsid w:val="00BD3753"/>
    <w:rsid w:val="00BD44B9"/>
    <w:rsid w:val="00BD6EFA"/>
    <w:rsid w:val="00BD72D8"/>
    <w:rsid w:val="00BE0E58"/>
    <w:rsid w:val="00BE1397"/>
    <w:rsid w:val="00BE1E9D"/>
    <w:rsid w:val="00BE4182"/>
    <w:rsid w:val="00BE49B9"/>
    <w:rsid w:val="00BE4CAB"/>
    <w:rsid w:val="00BE4EF9"/>
    <w:rsid w:val="00BE62F3"/>
    <w:rsid w:val="00BE6E59"/>
    <w:rsid w:val="00BE71B1"/>
    <w:rsid w:val="00BE75A8"/>
    <w:rsid w:val="00BF11ED"/>
    <w:rsid w:val="00BF1561"/>
    <w:rsid w:val="00BF1BC0"/>
    <w:rsid w:val="00BF25E1"/>
    <w:rsid w:val="00BF33DF"/>
    <w:rsid w:val="00BF4131"/>
    <w:rsid w:val="00BF4173"/>
    <w:rsid w:val="00BF5289"/>
    <w:rsid w:val="00BF55F1"/>
    <w:rsid w:val="00BF6493"/>
    <w:rsid w:val="00BF6A0E"/>
    <w:rsid w:val="00C00470"/>
    <w:rsid w:val="00C021C7"/>
    <w:rsid w:val="00C04C4B"/>
    <w:rsid w:val="00C05887"/>
    <w:rsid w:val="00C067C4"/>
    <w:rsid w:val="00C06A02"/>
    <w:rsid w:val="00C06A44"/>
    <w:rsid w:val="00C06F41"/>
    <w:rsid w:val="00C111FA"/>
    <w:rsid w:val="00C12989"/>
    <w:rsid w:val="00C13FCA"/>
    <w:rsid w:val="00C150F2"/>
    <w:rsid w:val="00C15F88"/>
    <w:rsid w:val="00C1747B"/>
    <w:rsid w:val="00C21D7F"/>
    <w:rsid w:val="00C2232A"/>
    <w:rsid w:val="00C228CF"/>
    <w:rsid w:val="00C22D94"/>
    <w:rsid w:val="00C22F09"/>
    <w:rsid w:val="00C232B9"/>
    <w:rsid w:val="00C25157"/>
    <w:rsid w:val="00C265C5"/>
    <w:rsid w:val="00C267C7"/>
    <w:rsid w:val="00C270A1"/>
    <w:rsid w:val="00C271E9"/>
    <w:rsid w:val="00C27DC7"/>
    <w:rsid w:val="00C30230"/>
    <w:rsid w:val="00C302A7"/>
    <w:rsid w:val="00C310B9"/>
    <w:rsid w:val="00C319B5"/>
    <w:rsid w:val="00C32DC0"/>
    <w:rsid w:val="00C3356A"/>
    <w:rsid w:val="00C35052"/>
    <w:rsid w:val="00C35E6D"/>
    <w:rsid w:val="00C37DA4"/>
    <w:rsid w:val="00C4317F"/>
    <w:rsid w:val="00C44D33"/>
    <w:rsid w:val="00C450E6"/>
    <w:rsid w:val="00C45218"/>
    <w:rsid w:val="00C465E6"/>
    <w:rsid w:val="00C469A7"/>
    <w:rsid w:val="00C46DA1"/>
    <w:rsid w:val="00C47C92"/>
    <w:rsid w:val="00C51123"/>
    <w:rsid w:val="00C51E94"/>
    <w:rsid w:val="00C5200C"/>
    <w:rsid w:val="00C521D7"/>
    <w:rsid w:val="00C532A5"/>
    <w:rsid w:val="00C53641"/>
    <w:rsid w:val="00C54472"/>
    <w:rsid w:val="00C54931"/>
    <w:rsid w:val="00C54BF8"/>
    <w:rsid w:val="00C54CAE"/>
    <w:rsid w:val="00C55BC1"/>
    <w:rsid w:val="00C5618C"/>
    <w:rsid w:val="00C60690"/>
    <w:rsid w:val="00C606C2"/>
    <w:rsid w:val="00C617E8"/>
    <w:rsid w:val="00C62421"/>
    <w:rsid w:val="00C64C98"/>
    <w:rsid w:val="00C65151"/>
    <w:rsid w:val="00C6664E"/>
    <w:rsid w:val="00C6750A"/>
    <w:rsid w:val="00C7156C"/>
    <w:rsid w:val="00C7195F"/>
    <w:rsid w:val="00C71DB3"/>
    <w:rsid w:val="00C73283"/>
    <w:rsid w:val="00C737C9"/>
    <w:rsid w:val="00C73A44"/>
    <w:rsid w:val="00C73CC4"/>
    <w:rsid w:val="00C7413D"/>
    <w:rsid w:val="00C743B5"/>
    <w:rsid w:val="00C75461"/>
    <w:rsid w:val="00C761E1"/>
    <w:rsid w:val="00C82020"/>
    <w:rsid w:val="00C82092"/>
    <w:rsid w:val="00C82515"/>
    <w:rsid w:val="00C8271F"/>
    <w:rsid w:val="00C83898"/>
    <w:rsid w:val="00C842FA"/>
    <w:rsid w:val="00C84A5D"/>
    <w:rsid w:val="00C853C5"/>
    <w:rsid w:val="00C8602D"/>
    <w:rsid w:val="00C90D68"/>
    <w:rsid w:val="00C92471"/>
    <w:rsid w:val="00C9252F"/>
    <w:rsid w:val="00C941C9"/>
    <w:rsid w:val="00C94C68"/>
    <w:rsid w:val="00C95791"/>
    <w:rsid w:val="00C95793"/>
    <w:rsid w:val="00C96659"/>
    <w:rsid w:val="00C9767B"/>
    <w:rsid w:val="00C97CF5"/>
    <w:rsid w:val="00CA2AA8"/>
    <w:rsid w:val="00CA6830"/>
    <w:rsid w:val="00CA6C58"/>
    <w:rsid w:val="00CB0850"/>
    <w:rsid w:val="00CB0E66"/>
    <w:rsid w:val="00CB444F"/>
    <w:rsid w:val="00CB5519"/>
    <w:rsid w:val="00CB5BDD"/>
    <w:rsid w:val="00CB5EFF"/>
    <w:rsid w:val="00CB67DC"/>
    <w:rsid w:val="00CB709C"/>
    <w:rsid w:val="00CB71F3"/>
    <w:rsid w:val="00CB7271"/>
    <w:rsid w:val="00CC0300"/>
    <w:rsid w:val="00CC246C"/>
    <w:rsid w:val="00CC56B2"/>
    <w:rsid w:val="00CC6180"/>
    <w:rsid w:val="00CC6B5B"/>
    <w:rsid w:val="00CC6B6F"/>
    <w:rsid w:val="00CC6FF6"/>
    <w:rsid w:val="00CC733D"/>
    <w:rsid w:val="00CD3FFC"/>
    <w:rsid w:val="00CD455F"/>
    <w:rsid w:val="00CD471C"/>
    <w:rsid w:val="00CD4B07"/>
    <w:rsid w:val="00CD626B"/>
    <w:rsid w:val="00CE06A4"/>
    <w:rsid w:val="00CE06A9"/>
    <w:rsid w:val="00CE0A94"/>
    <w:rsid w:val="00CE14E7"/>
    <w:rsid w:val="00CE2001"/>
    <w:rsid w:val="00CE3AD7"/>
    <w:rsid w:val="00CE43B1"/>
    <w:rsid w:val="00CE4E14"/>
    <w:rsid w:val="00CE578F"/>
    <w:rsid w:val="00CE63B8"/>
    <w:rsid w:val="00CF0176"/>
    <w:rsid w:val="00CF0604"/>
    <w:rsid w:val="00CF0B74"/>
    <w:rsid w:val="00CF1AE4"/>
    <w:rsid w:val="00CF21B4"/>
    <w:rsid w:val="00CF2562"/>
    <w:rsid w:val="00CF5ECA"/>
    <w:rsid w:val="00CF7875"/>
    <w:rsid w:val="00D00669"/>
    <w:rsid w:val="00D0281F"/>
    <w:rsid w:val="00D02E7D"/>
    <w:rsid w:val="00D03E4C"/>
    <w:rsid w:val="00D0454A"/>
    <w:rsid w:val="00D05D64"/>
    <w:rsid w:val="00D0646E"/>
    <w:rsid w:val="00D06F11"/>
    <w:rsid w:val="00D07521"/>
    <w:rsid w:val="00D109E0"/>
    <w:rsid w:val="00D117D0"/>
    <w:rsid w:val="00D12F3A"/>
    <w:rsid w:val="00D1343E"/>
    <w:rsid w:val="00D136EC"/>
    <w:rsid w:val="00D14584"/>
    <w:rsid w:val="00D15356"/>
    <w:rsid w:val="00D156BF"/>
    <w:rsid w:val="00D16016"/>
    <w:rsid w:val="00D16D46"/>
    <w:rsid w:val="00D204D2"/>
    <w:rsid w:val="00D20BA8"/>
    <w:rsid w:val="00D21860"/>
    <w:rsid w:val="00D232B5"/>
    <w:rsid w:val="00D24890"/>
    <w:rsid w:val="00D25F0B"/>
    <w:rsid w:val="00D3100A"/>
    <w:rsid w:val="00D31ED4"/>
    <w:rsid w:val="00D328AA"/>
    <w:rsid w:val="00D32A6B"/>
    <w:rsid w:val="00D3327D"/>
    <w:rsid w:val="00D33850"/>
    <w:rsid w:val="00D33CE1"/>
    <w:rsid w:val="00D35A7A"/>
    <w:rsid w:val="00D36675"/>
    <w:rsid w:val="00D40FBD"/>
    <w:rsid w:val="00D413D9"/>
    <w:rsid w:val="00D443FD"/>
    <w:rsid w:val="00D45A9B"/>
    <w:rsid w:val="00D47CEE"/>
    <w:rsid w:val="00D50250"/>
    <w:rsid w:val="00D5141B"/>
    <w:rsid w:val="00D54FEA"/>
    <w:rsid w:val="00D55021"/>
    <w:rsid w:val="00D550DA"/>
    <w:rsid w:val="00D55C3D"/>
    <w:rsid w:val="00D57607"/>
    <w:rsid w:val="00D60FB2"/>
    <w:rsid w:val="00D627BF"/>
    <w:rsid w:val="00D637DF"/>
    <w:rsid w:val="00D63A27"/>
    <w:rsid w:val="00D64057"/>
    <w:rsid w:val="00D64B16"/>
    <w:rsid w:val="00D66F5B"/>
    <w:rsid w:val="00D67C14"/>
    <w:rsid w:val="00D7068B"/>
    <w:rsid w:val="00D71125"/>
    <w:rsid w:val="00D73A63"/>
    <w:rsid w:val="00D74808"/>
    <w:rsid w:val="00D75214"/>
    <w:rsid w:val="00D80D22"/>
    <w:rsid w:val="00D81037"/>
    <w:rsid w:val="00D81C12"/>
    <w:rsid w:val="00D82229"/>
    <w:rsid w:val="00D82362"/>
    <w:rsid w:val="00D82C4D"/>
    <w:rsid w:val="00D82FD0"/>
    <w:rsid w:val="00D83D12"/>
    <w:rsid w:val="00D85A33"/>
    <w:rsid w:val="00D87F8B"/>
    <w:rsid w:val="00D920E6"/>
    <w:rsid w:val="00D9470B"/>
    <w:rsid w:val="00D94A75"/>
    <w:rsid w:val="00D96B33"/>
    <w:rsid w:val="00DA0C2A"/>
    <w:rsid w:val="00DA0EE0"/>
    <w:rsid w:val="00DA1113"/>
    <w:rsid w:val="00DA1ABD"/>
    <w:rsid w:val="00DA3515"/>
    <w:rsid w:val="00DB07DA"/>
    <w:rsid w:val="00DB1CFA"/>
    <w:rsid w:val="00DB1D5C"/>
    <w:rsid w:val="00DB2BB2"/>
    <w:rsid w:val="00DB5CF4"/>
    <w:rsid w:val="00DB782B"/>
    <w:rsid w:val="00DB79BF"/>
    <w:rsid w:val="00DB7DCB"/>
    <w:rsid w:val="00DC08E9"/>
    <w:rsid w:val="00DC2AC6"/>
    <w:rsid w:val="00DC475D"/>
    <w:rsid w:val="00DC4FC5"/>
    <w:rsid w:val="00DC648A"/>
    <w:rsid w:val="00DC6E15"/>
    <w:rsid w:val="00DC73DE"/>
    <w:rsid w:val="00DC75FE"/>
    <w:rsid w:val="00DD0FCA"/>
    <w:rsid w:val="00DD106B"/>
    <w:rsid w:val="00DD2817"/>
    <w:rsid w:val="00DD419E"/>
    <w:rsid w:val="00DD63B5"/>
    <w:rsid w:val="00DD6F8C"/>
    <w:rsid w:val="00DE0492"/>
    <w:rsid w:val="00DE0FA7"/>
    <w:rsid w:val="00DE1494"/>
    <w:rsid w:val="00DE2926"/>
    <w:rsid w:val="00DE3199"/>
    <w:rsid w:val="00DE402D"/>
    <w:rsid w:val="00DE465A"/>
    <w:rsid w:val="00DE64A7"/>
    <w:rsid w:val="00DE67DA"/>
    <w:rsid w:val="00DF036C"/>
    <w:rsid w:val="00DF0BE3"/>
    <w:rsid w:val="00DF509F"/>
    <w:rsid w:val="00DF5295"/>
    <w:rsid w:val="00DF6131"/>
    <w:rsid w:val="00DF6222"/>
    <w:rsid w:val="00E00782"/>
    <w:rsid w:val="00E0120C"/>
    <w:rsid w:val="00E02627"/>
    <w:rsid w:val="00E03567"/>
    <w:rsid w:val="00E047A7"/>
    <w:rsid w:val="00E0504D"/>
    <w:rsid w:val="00E05084"/>
    <w:rsid w:val="00E06124"/>
    <w:rsid w:val="00E127B3"/>
    <w:rsid w:val="00E12A1B"/>
    <w:rsid w:val="00E149CC"/>
    <w:rsid w:val="00E1583B"/>
    <w:rsid w:val="00E16A8D"/>
    <w:rsid w:val="00E16D71"/>
    <w:rsid w:val="00E173B7"/>
    <w:rsid w:val="00E20448"/>
    <w:rsid w:val="00E20CE0"/>
    <w:rsid w:val="00E22E14"/>
    <w:rsid w:val="00E23469"/>
    <w:rsid w:val="00E23595"/>
    <w:rsid w:val="00E253E0"/>
    <w:rsid w:val="00E2709C"/>
    <w:rsid w:val="00E272E0"/>
    <w:rsid w:val="00E3030F"/>
    <w:rsid w:val="00E30980"/>
    <w:rsid w:val="00E32477"/>
    <w:rsid w:val="00E332B4"/>
    <w:rsid w:val="00E37A3F"/>
    <w:rsid w:val="00E4022D"/>
    <w:rsid w:val="00E41003"/>
    <w:rsid w:val="00E41A42"/>
    <w:rsid w:val="00E4367D"/>
    <w:rsid w:val="00E43B0F"/>
    <w:rsid w:val="00E43E5A"/>
    <w:rsid w:val="00E4525D"/>
    <w:rsid w:val="00E455C6"/>
    <w:rsid w:val="00E45CB2"/>
    <w:rsid w:val="00E46AF4"/>
    <w:rsid w:val="00E479F6"/>
    <w:rsid w:val="00E50578"/>
    <w:rsid w:val="00E50666"/>
    <w:rsid w:val="00E516DA"/>
    <w:rsid w:val="00E51B28"/>
    <w:rsid w:val="00E520BD"/>
    <w:rsid w:val="00E52C07"/>
    <w:rsid w:val="00E52E9D"/>
    <w:rsid w:val="00E5322E"/>
    <w:rsid w:val="00E53C14"/>
    <w:rsid w:val="00E5471D"/>
    <w:rsid w:val="00E54BF3"/>
    <w:rsid w:val="00E55CDB"/>
    <w:rsid w:val="00E57B50"/>
    <w:rsid w:val="00E60186"/>
    <w:rsid w:val="00E6140E"/>
    <w:rsid w:val="00E61D7C"/>
    <w:rsid w:val="00E634C2"/>
    <w:rsid w:val="00E648DE"/>
    <w:rsid w:val="00E64AF4"/>
    <w:rsid w:val="00E65ABF"/>
    <w:rsid w:val="00E66566"/>
    <w:rsid w:val="00E66E68"/>
    <w:rsid w:val="00E678ED"/>
    <w:rsid w:val="00E70E18"/>
    <w:rsid w:val="00E71B43"/>
    <w:rsid w:val="00E71E46"/>
    <w:rsid w:val="00E72772"/>
    <w:rsid w:val="00E72930"/>
    <w:rsid w:val="00E72C55"/>
    <w:rsid w:val="00E73DF0"/>
    <w:rsid w:val="00E741FE"/>
    <w:rsid w:val="00E75D72"/>
    <w:rsid w:val="00E76052"/>
    <w:rsid w:val="00E7727F"/>
    <w:rsid w:val="00E77E7D"/>
    <w:rsid w:val="00E80D7C"/>
    <w:rsid w:val="00E81BD3"/>
    <w:rsid w:val="00E82968"/>
    <w:rsid w:val="00E83344"/>
    <w:rsid w:val="00E83477"/>
    <w:rsid w:val="00E84231"/>
    <w:rsid w:val="00E8565D"/>
    <w:rsid w:val="00E87299"/>
    <w:rsid w:val="00E87CDC"/>
    <w:rsid w:val="00E92AF2"/>
    <w:rsid w:val="00E959C7"/>
    <w:rsid w:val="00E96B67"/>
    <w:rsid w:val="00EA27C1"/>
    <w:rsid w:val="00EA33CD"/>
    <w:rsid w:val="00EA6798"/>
    <w:rsid w:val="00EB03D9"/>
    <w:rsid w:val="00EB0655"/>
    <w:rsid w:val="00EB2271"/>
    <w:rsid w:val="00EB27BB"/>
    <w:rsid w:val="00EB4F58"/>
    <w:rsid w:val="00EB5600"/>
    <w:rsid w:val="00EB5BC4"/>
    <w:rsid w:val="00EB6C44"/>
    <w:rsid w:val="00EC04D7"/>
    <w:rsid w:val="00EC1928"/>
    <w:rsid w:val="00EC1D11"/>
    <w:rsid w:val="00EC2322"/>
    <w:rsid w:val="00EC2581"/>
    <w:rsid w:val="00EC3379"/>
    <w:rsid w:val="00EC3CCA"/>
    <w:rsid w:val="00EC419E"/>
    <w:rsid w:val="00EC5B7F"/>
    <w:rsid w:val="00EC5C4E"/>
    <w:rsid w:val="00EC6548"/>
    <w:rsid w:val="00EC675A"/>
    <w:rsid w:val="00EC6BDE"/>
    <w:rsid w:val="00EC7E07"/>
    <w:rsid w:val="00ED060E"/>
    <w:rsid w:val="00ED1916"/>
    <w:rsid w:val="00ED4CDF"/>
    <w:rsid w:val="00ED6134"/>
    <w:rsid w:val="00ED65BF"/>
    <w:rsid w:val="00EE0334"/>
    <w:rsid w:val="00EE1975"/>
    <w:rsid w:val="00EE1CE2"/>
    <w:rsid w:val="00EE25B6"/>
    <w:rsid w:val="00EE2607"/>
    <w:rsid w:val="00EE4053"/>
    <w:rsid w:val="00EE5569"/>
    <w:rsid w:val="00EE5BCF"/>
    <w:rsid w:val="00EE64DF"/>
    <w:rsid w:val="00EE696A"/>
    <w:rsid w:val="00EE7B6B"/>
    <w:rsid w:val="00EF1B2E"/>
    <w:rsid w:val="00EF2B80"/>
    <w:rsid w:val="00EF2C40"/>
    <w:rsid w:val="00EF3C98"/>
    <w:rsid w:val="00EF4E7B"/>
    <w:rsid w:val="00EF603F"/>
    <w:rsid w:val="00EF6701"/>
    <w:rsid w:val="00EF7692"/>
    <w:rsid w:val="00EF793A"/>
    <w:rsid w:val="00F019CB"/>
    <w:rsid w:val="00F01FD8"/>
    <w:rsid w:val="00F031AA"/>
    <w:rsid w:val="00F03383"/>
    <w:rsid w:val="00F03AA6"/>
    <w:rsid w:val="00F0449C"/>
    <w:rsid w:val="00F0463F"/>
    <w:rsid w:val="00F05C83"/>
    <w:rsid w:val="00F05D15"/>
    <w:rsid w:val="00F05F15"/>
    <w:rsid w:val="00F0727E"/>
    <w:rsid w:val="00F10334"/>
    <w:rsid w:val="00F10E42"/>
    <w:rsid w:val="00F1118B"/>
    <w:rsid w:val="00F127BD"/>
    <w:rsid w:val="00F12ADE"/>
    <w:rsid w:val="00F14EAA"/>
    <w:rsid w:val="00F17466"/>
    <w:rsid w:val="00F20698"/>
    <w:rsid w:val="00F2209D"/>
    <w:rsid w:val="00F2272A"/>
    <w:rsid w:val="00F2360C"/>
    <w:rsid w:val="00F24811"/>
    <w:rsid w:val="00F24A20"/>
    <w:rsid w:val="00F27081"/>
    <w:rsid w:val="00F273E6"/>
    <w:rsid w:val="00F30ADB"/>
    <w:rsid w:val="00F31710"/>
    <w:rsid w:val="00F317A7"/>
    <w:rsid w:val="00F32464"/>
    <w:rsid w:val="00F3256F"/>
    <w:rsid w:val="00F32637"/>
    <w:rsid w:val="00F33CD4"/>
    <w:rsid w:val="00F340EF"/>
    <w:rsid w:val="00F35C6E"/>
    <w:rsid w:val="00F40091"/>
    <w:rsid w:val="00F4062E"/>
    <w:rsid w:val="00F40BB2"/>
    <w:rsid w:val="00F42672"/>
    <w:rsid w:val="00F43870"/>
    <w:rsid w:val="00F43D4A"/>
    <w:rsid w:val="00F444CE"/>
    <w:rsid w:val="00F4726E"/>
    <w:rsid w:val="00F50E8F"/>
    <w:rsid w:val="00F50F92"/>
    <w:rsid w:val="00F54E50"/>
    <w:rsid w:val="00F5586C"/>
    <w:rsid w:val="00F577C6"/>
    <w:rsid w:val="00F578E9"/>
    <w:rsid w:val="00F60973"/>
    <w:rsid w:val="00F609F8"/>
    <w:rsid w:val="00F621D1"/>
    <w:rsid w:val="00F62302"/>
    <w:rsid w:val="00F62B98"/>
    <w:rsid w:val="00F62EFA"/>
    <w:rsid w:val="00F63E10"/>
    <w:rsid w:val="00F67C58"/>
    <w:rsid w:val="00F70F3D"/>
    <w:rsid w:val="00F72149"/>
    <w:rsid w:val="00F75414"/>
    <w:rsid w:val="00F75C6A"/>
    <w:rsid w:val="00F77718"/>
    <w:rsid w:val="00F80CC0"/>
    <w:rsid w:val="00F81CC3"/>
    <w:rsid w:val="00F81FA1"/>
    <w:rsid w:val="00F825FD"/>
    <w:rsid w:val="00F82FED"/>
    <w:rsid w:val="00F83A07"/>
    <w:rsid w:val="00F84351"/>
    <w:rsid w:val="00F845B6"/>
    <w:rsid w:val="00F8621E"/>
    <w:rsid w:val="00F863BA"/>
    <w:rsid w:val="00F874D8"/>
    <w:rsid w:val="00F900AB"/>
    <w:rsid w:val="00F91EA7"/>
    <w:rsid w:val="00F92FCB"/>
    <w:rsid w:val="00F950E8"/>
    <w:rsid w:val="00F96A9D"/>
    <w:rsid w:val="00FA0CE4"/>
    <w:rsid w:val="00FA0FDE"/>
    <w:rsid w:val="00FA21CC"/>
    <w:rsid w:val="00FA2615"/>
    <w:rsid w:val="00FA2890"/>
    <w:rsid w:val="00FA28FA"/>
    <w:rsid w:val="00FA3B7C"/>
    <w:rsid w:val="00FA3DA7"/>
    <w:rsid w:val="00FA43CA"/>
    <w:rsid w:val="00FA4C49"/>
    <w:rsid w:val="00FA4E75"/>
    <w:rsid w:val="00FA4EE8"/>
    <w:rsid w:val="00FA581E"/>
    <w:rsid w:val="00FA633B"/>
    <w:rsid w:val="00FA686F"/>
    <w:rsid w:val="00FA6D9D"/>
    <w:rsid w:val="00FB0089"/>
    <w:rsid w:val="00FB25A6"/>
    <w:rsid w:val="00FB2FE4"/>
    <w:rsid w:val="00FB316D"/>
    <w:rsid w:val="00FB3990"/>
    <w:rsid w:val="00FB55D2"/>
    <w:rsid w:val="00FB5861"/>
    <w:rsid w:val="00FB605C"/>
    <w:rsid w:val="00FB7769"/>
    <w:rsid w:val="00FB7992"/>
    <w:rsid w:val="00FB7B3A"/>
    <w:rsid w:val="00FC01A2"/>
    <w:rsid w:val="00FC3362"/>
    <w:rsid w:val="00FC3985"/>
    <w:rsid w:val="00FC3994"/>
    <w:rsid w:val="00FC57D2"/>
    <w:rsid w:val="00FC6426"/>
    <w:rsid w:val="00FC7081"/>
    <w:rsid w:val="00FC7D7A"/>
    <w:rsid w:val="00FD0D78"/>
    <w:rsid w:val="00FD2E2D"/>
    <w:rsid w:val="00FD485C"/>
    <w:rsid w:val="00FD5A6D"/>
    <w:rsid w:val="00FE1B47"/>
    <w:rsid w:val="00FE3D42"/>
    <w:rsid w:val="00FE6CA9"/>
    <w:rsid w:val="00FE7396"/>
    <w:rsid w:val="00FF049D"/>
    <w:rsid w:val="00FF2329"/>
    <w:rsid w:val="00FF4883"/>
    <w:rsid w:val="00FF5279"/>
    <w:rsid w:val="00FF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B9AFF42"/>
  <w15:chartTrackingRefBased/>
  <w15:docId w15:val="{EEA996B9-4E95-43E6-B8AC-AB54D65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link w:val="Heading5Char"/>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Heading5Char">
    <w:name w:val="Heading 5 Char"/>
    <w:basedOn w:val="DefaultParagraphFont"/>
    <w:link w:val="Heading5"/>
    <w:rsid w:val="003A2400"/>
    <w:rPr>
      <w:rFonts w:ascii="Courier New" w:hAnsi="Courier New"/>
      <w:b/>
      <w:sz w:val="24"/>
      <w:lang w:val="en-GB"/>
    </w:rPr>
  </w:style>
  <w:style w:type="character" w:customStyle="1" w:styleId="y2iqfc">
    <w:name w:val="y2iqfc"/>
    <w:basedOn w:val="DefaultParagraphFont"/>
    <w:rsid w:val="007E2658"/>
  </w:style>
  <w:style w:type="character" w:customStyle="1" w:styleId="Heading2Char">
    <w:name w:val="Heading 2 Char"/>
    <w:basedOn w:val="DefaultParagraphFont"/>
    <w:link w:val="Heading2"/>
    <w:rsid w:val="00927EF7"/>
    <w:rPr>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5B"/>
    <w:rsid w:val="00154C87"/>
    <w:rsid w:val="001E7917"/>
    <w:rsid w:val="00274CB9"/>
    <w:rsid w:val="0034786C"/>
    <w:rsid w:val="003C73FB"/>
    <w:rsid w:val="004045E9"/>
    <w:rsid w:val="00572C1C"/>
    <w:rsid w:val="005A16E3"/>
    <w:rsid w:val="005C655B"/>
    <w:rsid w:val="0066471D"/>
    <w:rsid w:val="006B1D91"/>
    <w:rsid w:val="008B4EBB"/>
    <w:rsid w:val="008F65A7"/>
    <w:rsid w:val="00903C67"/>
    <w:rsid w:val="00997318"/>
    <w:rsid w:val="00A029E8"/>
    <w:rsid w:val="00A87158"/>
    <w:rsid w:val="00B05795"/>
    <w:rsid w:val="00B6383D"/>
    <w:rsid w:val="00C51C51"/>
    <w:rsid w:val="00E269C5"/>
    <w:rsid w:val="00E7551C"/>
    <w:rsid w:val="00EE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3C0FA-B5BB-46A2-8C0D-DC71F563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11</TotalTime>
  <Pages>22</Pages>
  <Words>5201</Words>
  <Characters>24959</Characters>
  <Application>Microsoft Office Word</Application>
  <DocSecurity>0</DocSecurity>
  <Lines>207</Lines>
  <Paragraphs>60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cp:revision>
  <cp:lastPrinted>2021-08-11T02:02:00Z</cp:lastPrinted>
  <dcterms:created xsi:type="dcterms:W3CDTF">2021-08-11T01:54:00Z</dcterms:created>
  <dcterms:modified xsi:type="dcterms:W3CDTF">2021-08-11T02:05:00Z</dcterms:modified>
</cp:coreProperties>
</file>