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5F16" w:rsidRDefault="00F35F16">
      <w:pPr>
        <w:pStyle w:val="Heading2"/>
        <w:tabs>
          <w:tab w:val="clear" w:pos="4320"/>
          <w:tab w:val="clear" w:pos="9072"/>
        </w:tabs>
        <w:snapToGrid w:val="0"/>
        <w:spacing w:line="480" w:lineRule="auto"/>
        <w:jc w:val="right"/>
        <w:rPr>
          <w:b w:val="0"/>
          <w:sz w:val="28"/>
        </w:rPr>
      </w:pPr>
      <w:r>
        <w:rPr>
          <w:rFonts w:hint="eastAsia"/>
          <w:b w:val="0"/>
          <w:sz w:val="28"/>
        </w:rPr>
        <w:t xml:space="preserve">DCPI </w:t>
      </w:r>
      <w:r>
        <w:rPr>
          <w:b w:val="0"/>
          <w:sz w:val="28"/>
        </w:rPr>
        <w:t>73</w:t>
      </w:r>
      <w:r>
        <w:rPr>
          <w:rFonts w:hint="eastAsia"/>
          <w:b w:val="0"/>
          <w:sz w:val="28"/>
        </w:rPr>
        <w:t>0/200</w:t>
      </w:r>
      <w:r>
        <w:rPr>
          <w:b w:val="0"/>
          <w:sz w:val="28"/>
        </w:rPr>
        <w:t>9</w:t>
      </w:r>
    </w:p>
    <w:p w:rsidR="00F35F16" w:rsidRDefault="00F35F16"/>
    <w:p w:rsidR="00F35F16" w:rsidRDefault="00F35F16">
      <w:pPr>
        <w:pStyle w:val="normal3"/>
        <w:tabs>
          <w:tab w:val="clear" w:pos="4320"/>
          <w:tab w:val="clear" w:pos="4500"/>
          <w:tab w:val="clear" w:pos="9000"/>
          <w:tab w:val="clear" w:pos="9072"/>
        </w:tabs>
        <w:overflowPunct/>
        <w:autoSpaceDE/>
        <w:autoSpaceDN/>
        <w:spacing w:line="480" w:lineRule="auto"/>
        <w:rPr>
          <w:rFonts w:eastAsia="SimSun" w:hint="eastAsia"/>
          <w:sz w:val="26"/>
          <w:lang w:val="en-US"/>
        </w:rPr>
        <w:sectPr w:rsidR="00000000">
          <w:headerReference w:type="default" r:id="rId7"/>
          <w:footerReference w:type="even" r:id="rId8"/>
          <w:footerReference w:type="default" r:id="rId9"/>
          <w:pgSz w:w="11906" w:h="16838" w:code="9"/>
          <w:pgMar w:top="1800" w:right="1800" w:bottom="1440" w:left="1800" w:header="864" w:footer="720" w:gutter="0"/>
          <w:cols w:space="708"/>
          <w:docGrid w:linePitch="380"/>
        </w:sectPr>
      </w:pPr>
    </w:p>
    <w:p w:rsidR="00F35F16" w:rsidRDefault="00F35F16">
      <w:pPr>
        <w:tabs>
          <w:tab w:val="clear" w:pos="4320"/>
          <w:tab w:val="clear" w:pos="9072"/>
        </w:tabs>
        <w:adjustRightInd w:val="0"/>
        <w:spacing w:line="360" w:lineRule="auto"/>
        <w:jc w:val="center"/>
        <w:rPr>
          <w:rFonts w:hint="eastAsia"/>
          <w:b/>
          <w:bCs/>
        </w:rPr>
      </w:pPr>
      <w:r>
        <w:rPr>
          <w:rFonts w:hint="eastAsia"/>
          <w:b/>
          <w:bCs/>
        </w:rPr>
        <w:t>IN THE DISTRICT COURT OF THE</w:t>
      </w:r>
    </w:p>
    <w:p w:rsidR="00F35F16" w:rsidRDefault="00F35F16">
      <w:pPr>
        <w:tabs>
          <w:tab w:val="clear" w:pos="4320"/>
          <w:tab w:val="clear" w:pos="9072"/>
        </w:tabs>
        <w:adjustRightInd w:val="0"/>
        <w:spacing w:line="360" w:lineRule="auto"/>
        <w:jc w:val="center"/>
        <w:rPr>
          <w:rFonts w:hint="eastAsia"/>
        </w:rPr>
      </w:pPr>
      <w:r>
        <w:rPr>
          <w:rFonts w:hint="eastAsia"/>
          <w:b/>
          <w:bCs/>
        </w:rPr>
        <w:t>HONG KONG SPECIAL ADMINISTRATIVE REGION</w:t>
      </w:r>
    </w:p>
    <w:p w:rsidR="00F35F16" w:rsidRDefault="00F35F16">
      <w:pPr>
        <w:tabs>
          <w:tab w:val="clear" w:pos="4320"/>
          <w:tab w:val="clear" w:pos="9072"/>
        </w:tabs>
        <w:adjustRightInd w:val="0"/>
        <w:spacing w:line="360" w:lineRule="auto"/>
        <w:jc w:val="center"/>
      </w:pPr>
      <w:r>
        <w:rPr>
          <w:rFonts w:hint="eastAsia"/>
        </w:rPr>
        <w:t>PERSON</w:t>
      </w:r>
      <w:r>
        <w:t>AL</w:t>
      </w:r>
      <w:r>
        <w:rPr>
          <w:rFonts w:hint="eastAsia"/>
        </w:rPr>
        <w:t xml:space="preserve"> INJURIES ACTION NO. </w:t>
      </w:r>
      <w:r>
        <w:t>730</w:t>
      </w:r>
      <w:r>
        <w:rPr>
          <w:rFonts w:hint="eastAsia"/>
        </w:rPr>
        <w:t xml:space="preserve"> OF 200</w:t>
      </w:r>
      <w:r>
        <w:t>9</w:t>
      </w:r>
    </w:p>
    <w:p w:rsidR="00F35F16" w:rsidRDefault="00F35F16">
      <w:pPr>
        <w:tabs>
          <w:tab w:val="clear" w:pos="4320"/>
          <w:tab w:val="clear" w:pos="9072"/>
          <w:tab w:val="left" w:pos="1620"/>
        </w:tabs>
        <w:adjustRightInd w:val="0"/>
        <w:snapToGrid/>
        <w:spacing w:line="360" w:lineRule="auto"/>
        <w:jc w:val="center"/>
        <w:rPr>
          <w:rFonts w:hint="eastAsia"/>
        </w:rPr>
      </w:pPr>
    </w:p>
    <w:p w:rsidR="00F35F16" w:rsidRDefault="00F35F16">
      <w:pPr>
        <w:tabs>
          <w:tab w:val="clear" w:pos="4320"/>
          <w:tab w:val="clear" w:pos="9072"/>
          <w:tab w:val="left" w:pos="1620"/>
        </w:tabs>
        <w:adjustRightInd w:val="0"/>
        <w:snapToGrid/>
        <w:spacing w:line="360" w:lineRule="auto"/>
        <w:jc w:val="center"/>
        <w:rPr>
          <w:rFonts w:hint="eastAsia"/>
        </w:rPr>
      </w:pPr>
      <w:r>
        <w:rPr>
          <w:rFonts w:hint="eastAsia"/>
        </w:rPr>
        <w:t>--------------------</w:t>
      </w:r>
    </w:p>
    <w:p w:rsidR="00F35F16" w:rsidRDefault="00F35F16">
      <w:pPr>
        <w:tabs>
          <w:tab w:val="clear" w:pos="4320"/>
          <w:tab w:val="clear" w:pos="9072"/>
          <w:tab w:val="left" w:pos="1620"/>
        </w:tabs>
        <w:adjustRightInd w:val="0"/>
        <w:snapToGrid/>
        <w:spacing w:line="360" w:lineRule="auto"/>
        <w:jc w:val="center"/>
        <w:rPr>
          <w:rFonts w:hint="eastAsia"/>
        </w:rPr>
      </w:pPr>
    </w:p>
    <w:p w:rsidR="00F35F16" w:rsidRDefault="00F35F16">
      <w:pPr>
        <w:pStyle w:val="Heading5"/>
        <w:spacing w:line="360" w:lineRule="auto"/>
        <w:jc w:val="both"/>
        <w:rPr>
          <w:rFonts w:ascii="Times New Roman" w:hAnsi="Times New Roman" w:hint="eastAsia"/>
          <w:b w:val="0"/>
          <w:sz w:val="28"/>
        </w:rPr>
      </w:pPr>
    </w:p>
    <w:p w:rsidR="00F35F16" w:rsidRDefault="00F35F16">
      <w:pPr>
        <w:pStyle w:val="Heading5"/>
        <w:spacing w:line="360" w:lineRule="auto"/>
        <w:jc w:val="both"/>
        <w:rPr>
          <w:rFonts w:ascii="Times New Roman" w:hAnsi="Times New Roman" w:hint="eastAsia"/>
          <w:b w:val="0"/>
          <w:sz w:val="28"/>
        </w:rPr>
      </w:pPr>
      <w:r>
        <w:rPr>
          <w:rFonts w:ascii="Times New Roman" w:hAnsi="Times New Roman" w:hint="eastAsia"/>
          <w:b w:val="0"/>
          <w:sz w:val="28"/>
        </w:rPr>
        <w:t>BETWEEN</w:t>
      </w:r>
    </w:p>
    <w:p w:rsidR="00F35F16" w:rsidRDefault="00F35F16">
      <w:pPr>
        <w:tabs>
          <w:tab w:val="clear" w:pos="1440"/>
          <w:tab w:val="clear" w:pos="4320"/>
          <w:tab w:val="clear" w:pos="9072"/>
          <w:tab w:val="left" w:pos="1540"/>
          <w:tab w:val="left" w:pos="7000"/>
        </w:tabs>
        <w:snapToGrid/>
      </w:pPr>
      <w:r>
        <w:rPr>
          <w:rFonts w:hint="eastAsia"/>
        </w:rPr>
        <w:tab/>
      </w:r>
      <w:r>
        <w:t xml:space="preserve">HO MAN WA </w:t>
      </w:r>
      <w:r>
        <w:rPr>
          <w:rFonts w:hint="eastAsia"/>
        </w:rPr>
        <w:t>（何文華）</w:t>
      </w:r>
      <w:r>
        <w:tab/>
        <w:t>Pl</w:t>
      </w:r>
      <w:r>
        <w:rPr>
          <w:rFonts w:hint="eastAsia"/>
        </w:rPr>
        <w:t>aintiff</w:t>
      </w:r>
    </w:p>
    <w:p w:rsidR="00F35F16" w:rsidRDefault="00F35F16">
      <w:pPr>
        <w:pStyle w:val="normal3"/>
        <w:tabs>
          <w:tab w:val="clear" w:pos="1440"/>
          <w:tab w:val="clear" w:pos="4320"/>
          <w:tab w:val="clear" w:pos="4500"/>
          <w:tab w:val="clear" w:pos="9000"/>
          <w:tab w:val="clear" w:pos="9072"/>
          <w:tab w:val="left" w:pos="1540"/>
          <w:tab w:val="left" w:pos="2240"/>
          <w:tab w:val="left" w:pos="7000"/>
        </w:tabs>
        <w:overflowPunct/>
        <w:autoSpaceDE/>
        <w:autoSpaceDN/>
        <w:snapToGrid/>
        <w:spacing w:line="240" w:lineRule="auto"/>
        <w:rPr>
          <w:rFonts w:eastAsia="SimSun"/>
          <w:lang w:val="en-US"/>
        </w:rPr>
      </w:pPr>
    </w:p>
    <w:p w:rsidR="00F35F16" w:rsidRDefault="00F35F16">
      <w:pPr>
        <w:pStyle w:val="Heading3"/>
        <w:tabs>
          <w:tab w:val="clear" w:pos="4320"/>
          <w:tab w:val="clear" w:pos="9072"/>
          <w:tab w:val="left" w:pos="1540"/>
          <w:tab w:val="left" w:pos="2940"/>
          <w:tab w:val="left" w:pos="7000"/>
          <w:tab w:val="left" w:pos="7140"/>
        </w:tabs>
        <w:rPr>
          <w:rFonts w:hint="eastAsia"/>
          <w:b w:val="0"/>
          <w:sz w:val="28"/>
        </w:rPr>
      </w:pPr>
      <w:r>
        <w:rPr>
          <w:rFonts w:hint="eastAsia"/>
          <w:b w:val="0"/>
          <w:sz w:val="28"/>
        </w:rPr>
        <w:t>and</w:t>
      </w:r>
    </w:p>
    <w:p w:rsidR="00F35F16" w:rsidRDefault="00F35F16">
      <w:pPr>
        <w:tabs>
          <w:tab w:val="clear" w:pos="1440"/>
          <w:tab w:val="clear" w:pos="4320"/>
          <w:tab w:val="clear" w:pos="9072"/>
          <w:tab w:val="left" w:pos="1540"/>
          <w:tab w:val="left" w:pos="2660"/>
          <w:tab w:val="left" w:pos="6580"/>
          <w:tab w:val="left" w:pos="7000"/>
          <w:tab w:val="left" w:pos="7140"/>
        </w:tabs>
        <w:snapToGrid/>
        <w:ind w:left="2660" w:right="-94" w:hanging="2660"/>
      </w:pPr>
    </w:p>
    <w:p w:rsidR="00F35F16" w:rsidRDefault="00F35F16">
      <w:pPr>
        <w:tabs>
          <w:tab w:val="clear" w:pos="1440"/>
          <w:tab w:val="clear" w:pos="4320"/>
          <w:tab w:val="clear" w:pos="9072"/>
          <w:tab w:val="left" w:pos="1540"/>
          <w:tab w:val="left" w:pos="6580"/>
        </w:tabs>
        <w:snapToGrid/>
        <w:ind w:right="-94"/>
      </w:pPr>
      <w:r>
        <w:rPr>
          <w:rFonts w:hint="eastAsia"/>
        </w:rPr>
        <w:tab/>
      </w:r>
      <w:r>
        <w:t>WONG SHUI FUN trading as YAU LEE</w:t>
      </w:r>
      <w:r>
        <w:tab/>
        <w:t>1</w:t>
      </w:r>
      <w:r>
        <w:rPr>
          <w:vertAlign w:val="superscript"/>
        </w:rPr>
        <w:t>st</w:t>
      </w:r>
      <w:r>
        <w:t xml:space="preserve"> Defendant</w:t>
      </w:r>
    </w:p>
    <w:p w:rsidR="00F35F16" w:rsidRDefault="00F35F16">
      <w:pPr>
        <w:tabs>
          <w:tab w:val="clear" w:pos="1440"/>
          <w:tab w:val="clear" w:pos="4320"/>
          <w:tab w:val="clear" w:pos="9072"/>
          <w:tab w:val="left" w:pos="1540"/>
          <w:tab w:val="left" w:pos="6580"/>
        </w:tabs>
        <w:snapToGrid/>
        <w:ind w:right="-94"/>
      </w:pPr>
      <w:r>
        <w:tab/>
        <w:t xml:space="preserve">COMPANY </w:t>
      </w:r>
    </w:p>
    <w:p w:rsidR="00F35F16" w:rsidRDefault="00F35F16">
      <w:pPr>
        <w:tabs>
          <w:tab w:val="clear" w:pos="1440"/>
          <w:tab w:val="clear" w:pos="4320"/>
          <w:tab w:val="clear" w:pos="9072"/>
          <w:tab w:val="left" w:pos="1540"/>
          <w:tab w:val="left" w:pos="6580"/>
        </w:tabs>
        <w:snapToGrid/>
        <w:ind w:right="-94"/>
        <w:rPr>
          <w:lang w:eastAsia="zh-TW"/>
        </w:rPr>
      </w:pPr>
      <w:r>
        <w:tab/>
      </w:r>
      <w:r>
        <w:rPr>
          <w:lang w:eastAsia="zh-TW"/>
        </w:rPr>
        <w:t>(</w:t>
      </w:r>
      <w:r>
        <w:rPr>
          <w:rFonts w:hint="eastAsia"/>
          <w:lang w:eastAsia="zh-TW"/>
        </w:rPr>
        <w:t>黃瑞芬經營的有利工程運輸公司</w:t>
      </w:r>
      <w:r>
        <w:rPr>
          <w:lang w:eastAsia="zh-TW"/>
        </w:rPr>
        <w:t>)</w:t>
      </w:r>
    </w:p>
    <w:p w:rsidR="00F35F16" w:rsidRDefault="00F35F16">
      <w:pPr>
        <w:tabs>
          <w:tab w:val="clear" w:pos="4320"/>
          <w:tab w:val="clear" w:pos="9072"/>
          <w:tab w:val="left" w:pos="6580"/>
        </w:tabs>
        <w:adjustRightInd w:val="0"/>
      </w:pPr>
      <w:r>
        <w:rPr>
          <w:rFonts w:hint="eastAsia"/>
          <w:lang w:eastAsia="zh-TW"/>
        </w:rPr>
        <w:tab/>
      </w:r>
      <w:r>
        <w:t>(Discontinued pursuant to the Order of</w:t>
      </w:r>
    </w:p>
    <w:p w:rsidR="00F35F16" w:rsidRDefault="00F35F16">
      <w:pPr>
        <w:tabs>
          <w:tab w:val="clear" w:pos="4320"/>
          <w:tab w:val="clear" w:pos="9072"/>
          <w:tab w:val="left" w:pos="6580"/>
        </w:tabs>
        <w:adjustRightInd w:val="0"/>
      </w:pPr>
      <w:r>
        <w:tab/>
        <w:t>Master K. Lo dated 20</w:t>
      </w:r>
      <w:r>
        <w:rPr>
          <w:vertAlign w:val="superscript"/>
        </w:rPr>
        <w:t>th</w:t>
      </w:r>
      <w:r>
        <w:t xml:space="preserve"> March 2009</w:t>
      </w:r>
    </w:p>
    <w:p w:rsidR="00F35F16" w:rsidRDefault="00F35F16">
      <w:pPr>
        <w:tabs>
          <w:tab w:val="clear" w:pos="4320"/>
          <w:tab w:val="clear" w:pos="9072"/>
          <w:tab w:val="left" w:pos="6580"/>
        </w:tabs>
        <w:adjustRightInd w:val="0"/>
      </w:pPr>
    </w:p>
    <w:p w:rsidR="00F35F16" w:rsidRDefault="00F35F16">
      <w:pPr>
        <w:tabs>
          <w:tab w:val="clear" w:pos="4320"/>
          <w:tab w:val="clear" w:pos="9072"/>
          <w:tab w:val="left" w:pos="6580"/>
        </w:tabs>
        <w:adjustRightInd w:val="0"/>
      </w:pPr>
      <w:r>
        <w:tab/>
        <w:t>TASTE INTERIORS LIMITED</w:t>
      </w:r>
      <w:r>
        <w:rPr>
          <w:rFonts w:hint="eastAsia"/>
        </w:rPr>
        <w:tab/>
        <w:t>2</w:t>
      </w:r>
      <w:r>
        <w:rPr>
          <w:vertAlign w:val="superscript"/>
        </w:rPr>
        <w:t>nd</w:t>
      </w:r>
      <w:r>
        <w:t xml:space="preserve"> Defendant</w:t>
      </w:r>
    </w:p>
    <w:p w:rsidR="00F35F16" w:rsidRDefault="00F35F16">
      <w:pPr>
        <w:tabs>
          <w:tab w:val="clear" w:pos="4320"/>
          <w:tab w:val="clear" w:pos="9072"/>
          <w:tab w:val="left" w:pos="6580"/>
        </w:tabs>
        <w:adjustRightInd w:val="0"/>
        <w:rPr>
          <w:lang w:eastAsia="zh-TW"/>
        </w:rPr>
      </w:pPr>
      <w:r>
        <w:tab/>
      </w:r>
      <w:r>
        <w:rPr>
          <w:lang w:eastAsia="zh-TW"/>
        </w:rPr>
        <w:t>(</w:t>
      </w:r>
      <w:r>
        <w:rPr>
          <w:rFonts w:hint="eastAsia"/>
          <w:lang w:eastAsia="zh-TW"/>
        </w:rPr>
        <w:t>入時設計營造有限公司</w:t>
      </w:r>
      <w:r>
        <w:rPr>
          <w:lang w:eastAsia="zh-TW"/>
        </w:rPr>
        <w:t>)</w:t>
      </w:r>
    </w:p>
    <w:p w:rsidR="00F35F16" w:rsidRDefault="00F35F16">
      <w:pPr>
        <w:tabs>
          <w:tab w:val="clear" w:pos="4320"/>
          <w:tab w:val="clear" w:pos="9072"/>
          <w:tab w:val="left" w:pos="6580"/>
        </w:tabs>
        <w:adjustRightInd w:val="0"/>
        <w:rPr>
          <w:lang w:eastAsia="zh-TW"/>
        </w:rPr>
      </w:pPr>
    </w:p>
    <w:p w:rsidR="00F35F16" w:rsidRDefault="00F35F16">
      <w:pPr>
        <w:tabs>
          <w:tab w:val="clear" w:pos="1440"/>
          <w:tab w:val="clear" w:pos="4320"/>
          <w:tab w:val="clear" w:pos="9072"/>
          <w:tab w:val="left" w:pos="6580"/>
        </w:tabs>
        <w:snapToGrid/>
        <w:ind w:right="-94"/>
        <w:rPr>
          <w:lang w:eastAsia="zh-TW"/>
        </w:rPr>
      </w:pPr>
      <w:r>
        <w:rPr>
          <w:lang w:eastAsia="zh-TW"/>
        </w:rPr>
        <w:tab/>
      </w:r>
    </w:p>
    <w:p w:rsidR="00F35F16" w:rsidRDefault="00F35F16">
      <w:pPr>
        <w:tabs>
          <w:tab w:val="clear" w:pos="1440"/>
          <w:tab w:val="clear" w:pos="4320"/>
          <w:tab w:val="clear" w:pos="9072"/>
          <w:tab w:val="left" w:pos="6720"/>
        </w:tabs>
        <w:snapToGrid/>
        <w:spacing w:line="360" w:lineRule="auto"/>
        <w:ind w:right="-94"/>
        <w:jc w:val="center"/>
        <w:rPr>
          <w:rFonts w:hint="eastAsia"/>
        </w:rPr>
      </w:pPr>
      <w:r>
        <w:rPr>
          <w:rFonts w:hint="eastAsia"/>
        </w:rPr>
        <w:t>--------------------</w:t>
      </w:r>
    </w:p>
    <w:p w:rsidR="00F35F16" w:rsidRDefault="00F35F16">
      <w:pPr>
        <w:pStyle w:val="normal3"/>
        <w:tabs>
          <w:tab w:val="clear" w:pos="4320"/>
          <w:tab w:val="clear" w:pos="4500"/>
          <w:tab w:val="clear" w:pos="9000"/>
          <w:tab w:val="clear" w:pos="9072"/>
        </w:tabs>
        <w:overflowPunct/>
        <w:autoSpaceDE/>
        <w:autoSpaceDN/>
        <w:adjustRightInd w:val="0"/>
        <w:snapToGrid/>
        <w:rPr>
          <w:rFonts w:eastAsia="SimSun"/>
          <w:lang w:val="en-US"/>
        </w:rPr>
      </w:pPr>
    </w:p>
    <w:p w:rsidR="00F35F16" w:rsidRDefault="00F35F16">
      <w:pPr>
        <w:tabs>
          <w:tab w:val="clear" w:pos="4320"/>
          <w:tab w:val="clear" w:pos="9072"/>
        </w:tabs>
        <w:adjustRightInd w:val="0"/>
        <w:snapToGrid/>
        <w:spacing w:line="360" w:lineRule="auto"/>
      </w:pPr>
      <w:r>
        <w:rPr>
          <w:rFonts w:hint="eastAsia"/>
        </w:rPr>
        <w:t xml:space="preserve">Coram </w:t>
      </w:r>
      <w:r>
        <w:t xml:space="preserve"> </w:t>
      </w:r>
      <w:r>
        <w:rPr>
          <w:rFonts w:hint="eastAsia"/>
        </w:rPr>
        <w:t xml:space="preserve">:  </w:t>
      </w:r>
      <w:r>
        <w:t>Deputy District Judge Edward Shum</w:t>
      </w:r>
      <w:r>
        <w:rPr>
          <w:rFonts w:hint="eastAsia"/>
        </w:rPr>
        <w:t xml:space="preserve"> </w:t>
      </w:r>
      <w:r>
        <w:t>in Court</w:t>
      </w:r>
    </w:p>
    <w:p w:rsidR="00F35F16" w:rsidRDefault="00F35F16">
      <w:pPr>
        <w:tabs>
          <w:tab w:val="clear" w:pos="4320"/>
          <w:tab w:val="clear" w:pos="9072"/>
        </w:tabs>
        <w:adjustRightInd w:val="0"/>
        <w:snapToGrid/>
        <w:spacing w:line="360" w:lineRule="auto"/>
      </w:pPr>
      <w:r>
        <w:t>D</w:t>
      </w:r>
      <w:r>
        <w:rPr>
          <w:rFonts w:hint="eastAsia"/>
        </w:rPr>
        <w:t>ate</w:t>
      </w:r>
      <w:r>
        <w:t>s</w:t>
      </w:r>
      <w:r>
        <w:rPr>
          <w:rFonts w:hint="eastAsia"/>
        </w:rPr>
        <w:t xml:space="preserve"> of </w:t>
      </w:r>
      <w:r>
        <w:t>H</w:t>
      </w:r>
      <w:r>
        <w:rPr>
          <w:rFonts w:hint="eastAsia"/>
        </w:rPr>
        <w:t xml:space="preserve">earing </w:t>
      </w:r>
      <w:r>
        <w:t xml:space="preserve"> </w:t>
      </w:r>
      <w:r>
        <w:rPr>
          <w:rFonts w:hint="eastAsia"/>
        </w:rPr>
        <w:t xml:space="preserve">:  </w:t>
      </w:r>
      <w:r>
        <w:t>14</w:t>
      </w:r>
      <w:r>
        <w:rPr>
          <w:vertAlign w:val="superscript"/>
        </w:rPr>
        <w:t>th</w:t>
      </w:r>
      <w:r>
        <w:t xml:space="preserve"> &amp; 15</w:t>
      </w:r>
      <w:r>
        <w:rPr>
          <w:vertAlign w:val="superscript"/>
        </w:rPr>
        <w:t>th</w:t>
      </w:r>
      <w:r>
        <w:t xml:space="preserve"> Dece</w:t>
      </w:r>
      <w:r>
        <w:t>mber 2009</w:t>
      </w:r>
    </w:p>
    <w:p w:rsidR="00F35F16" w:rsidRDefault="00F35F16">
      <w:pPr>
        <w:tabs>
          <w:tab w:val="clear" w:pos="4320"/>
          <w:tab w:val="clear" w:pos="9072"/>
        </w:tabs>
        <w:adjustRightInd w:val="0"/>
        <w:snapToGrid/>
        <w:spacing w:line="360" w:lineRule="auto"/>
      </w:pPr>
      <w:r>
        <w:rPr>
          <w:rFonts w:hint="eastAsia"/>
        </w:rPr>
        <w:t xml:space="preserve">Date of </w:t>
      </w:r>
      <w:r>
        <w:t>h</w:t>
      </w:r>
      <w:r>
        <w:rPr>
          <w:rFonts w:hint="eastAsia"/>
        </w:rPr>
        <w:t xml:space="preserve">anding </w:t>
      </w:r>
      <w:r>
        <w:t>d</w:t>
      </w:r>
      <w:r>
        <w:rPr>
          <w:rFonts w:hint="eastAsia"/>
        </w:rPr>
        <w:t xml:space="preserve">own </w:t>
      </w:r>
      <w:r>
        <w:t>Judgment</w:t>
      </w:r>
      <w:r>
        <w:rPr>
          <w:rFonts w:hint="eastAsia"/>
        </w:rPr>
        <w:t xml:space="preserve"> :</w:t>
      </w:r>
      <w:r>
        <w:t xml:space="preserve">  1</w:t>
      </w:r>
      <w:r>
        <w:rPr>
          <w:rFonts w:hint="eastAsia"/>
        </w:rPr>
        <w:t>1</w:t>
      </w:r>
      <w:r>
        <w:rPr>
          <w:rFonts w:hint="eastAsia"/>
          <w:vertAlign w:val="superscript"/>
        </w:rPr>
        <w:t>th</w:t>
      </w:r>
      <w:r>
        <w:rPr>
          <w:rFonts w:hint="eastAsia"/>
        </w:rPr>
        <w:t xml:space="preserve"> March</w:t>
      </w:r>
      <w:r>
        <w:t xml:space="preserve"> 20</w:t>
      </w:r>
      <w:r>
        <w:rPr>
          <w:rFonts w:hint="eastAsia"/>
        </w:rPr>
        <w:t>1</w:t>
      </w:r>
      <w:r>
        <w:t>0</w:t>
      </w:r>
    </w:p>
    <w:p w:rsidR="00F35F16" w:rsidRDefault="00F35F16">
      <w:pPr>
        <w:pStyle w:val="Title"/>
        <w:jc w:val="both"/>
        <w:rPr>
          <w:sz w:val="28"/>
        </w:rPr>
      </w:pPr>
    </w:p>
    <w:p w:rsidR="00F35F16" w:rsidRDefault="00F35F16">
      <w:pPr>
        <w:pStyle w:val="Title"/>
        <w:jc w:val="both"/>
        <w:rPr>
          <w:rFonts w:hint="eastAsia"/>
          <w:sz w:val="28"/>
        </w:rPr>
      </w:pPr>
    </w:p>
    <w:p w:rsidR="00F35F16" w:rsidRDefault="00F35F16">
      <w:pPr>
        <w:pStyle w:val="Title"/>
        <w:jc w:val="both"/>
        <w:rPr>
          <w:rFonts w:hint="eastAsia"/>
          <w:sz w:val="28"/>
        </w:rPr>
      </w:pPr>
    </w:p>
    <w:p w:rsidR="00F35F16" w:rsidRDefault="00F35F16">
      <w:pPr>
        <w:pStyle w:val="Title"/>
        <w:rPr>
          <w:rFonts w:hint="eastAsia"/>
          <w:sz w:val="28"/>
        </w:rPr>
      </w:pPr>
    </w:p>
    <w:p w:rsidR="00F35F16" w:rsidRDefault="00F35F16">
      <w:pPr>
        <w:pStyle w:val="Title"/>
        <w:rPr>
          <w:sz w:val="28"/>
        </w:rPr>
      </w:pPr>
      <w:r>
        <w:rPr>
          <w:rFonts w:hint="eastAsia"/>
          <w:sz w:val="28"/>
        </w:rPr>
        <w:t>JUDGMENT</w:t>
      </w:r>
    </w:p>
    <w:p w:rsidR="00F35F16" w:rsidRDefault="00F35F16">
      <w:pPr>
        <w:pStyle w:val="Title"/>
        <w:jc w:val="both"/>
        <w:rPr>
          <w:sz w:val="28"/>
        </w:rPr>
      </w:pPr>
    </w:p>
    <w:p w:rsidR="00F35F16" w:rsidRDefault="00F35F16">
      <w:pPr>
        <w:tabs>
          <w:tab w:val="clear" w:pos="4320"/>
          <w:tab w:val="clear" w:pos="9072"/>
        </w:tabs>
        <w:spacing w:line="360" w:lineRule="auto"/>
        <w:jc w:val="both"/>
        <w:rPr>
          <w:i/>
        </w:rPr>
      </w:pPr>
      <w:r>
        <w:rPr>
          <w:i/>
        </w:rPr>
        <w:t>History of these proceedings</w:t>
      </w:r>
    </w:p>
    <w:p w:rsidR="00F35F16" w:rsidRDefault="00F35F16">
      <w:pPr>
        <w:tabs>
          <w:tab w:val="clear" w:pos="4320"/>
          <w:tab w:val="clear" w:pos="9072"/>
        </w:tabs>
        <w:spacing w:line="360" w:lineRule="auto"/>
        <w:jc w:val="both"/>
        <w:rPr>
          <w:i/>
        </w:rPr>
      </w:pPr>
    </w:p>
    <w:p w:rsidR="00F35F16" w:rsidRDefault="00F35F16">
      <w:pPr>
        <w:tabs>
          <w:tab w:val="clear" w:pos="4320"/>
          <w:tab w:val="clear" w:pos="9072"/>
        </w:tabs>
        <w:spacing w:line="360" w:lineRule="auto"/>
        <w:jc w:val="both"/>
      </w:pPr>
      <w:r>
        <w:t>1.</w:t>
      </w:r>
      <w:r>
        <w:tab/>
        <w:t>In this action, the Plaintiff claims damages for physical injuries resulting from an accident at work on 19</w:t>
      </w:r>
      <w:r>
        <w:rPr>
          <w:vertAlign w:val="superscript"/>
        </w:rPr>
        <w:t>th</w:t>
      </w:r>
      <w:r>
        <w:t xml:space="preserve"> June 2005 [“the Accident”]. The Writ of Summons herein was originally issued from the Registry of the High Court on 23</w:t>
      </w:r>
      <w:r>
        <w:rPr>
          <w:vertAlign w:val="superscript"/>
        </w:rPr>
        <w:t>rd</w:t>
      </w:r>
      <w:r>
        <w:t xml:space="preserve"> August 2007 (HCPI No.745 of 2007 refers). However, by an Order of Master Ho dated 16</w:t>
      </w:r>
      <w:r>
        <w:rPr>
          <w:vertAlign w:val="superscript"/>
        </w:rPr>
        <w:t>th</w:t>
      </w:r>
      <w:r>
        <w:t xml:space="preserve"> March 2009, the action was transferred down to this Court on the ground that the Plaintiff’s claims would fall within the jurisdiction of the District Court. In making the order for transfer, t</w:t>
      </w:r>
      <w:r>
        <w:t xml:space="preserve">he learned Master also ordered that all costs incurred before the transfer including costs of the application for transfer shall be at the District Court scale and be costs in the cause. </w:t>
      </w:r>
    </w:p>
    <w:p w:rsidR="00F35F16" w:rsidRDefault="00F35F16">
      <w:pPr>
        <w:tabs>
          <w:tab w:val="clear" w:pos="4320"/>
          <w:tab w:val="clear" w:pos="9072"/>
        </w:tabs>
        <w:spacing w:line="360" w:lineRule="auto"/>
        <w:jc w:val="both"/>
      </w:pPr>
    </w:p>
    <w:p w:rsidR="00F35F16" w:rsidRDefault="00F35F16">
      <w:pPr>
        <w:tabs>
          <w:tab w:val="clear" w:pos="4320"/>
          <w:tab w:val="clear" w:pos="9072"/>
        </w:tabs>
        <w:spacing w:line="360" w:lineRule="auto"/>
        <w:jc w:val="both"/>
      </w:pPr>
      <w:r>
        <w:t>2.</w:t>
      </w:r>
      <w:r>
        <w:tab/>
        <w:t>And by an Order of Master K Lo dated 20</w:t>
      </w:r>
      <w:r>
        <w:rPr>
          <w:vertAlign w:val="superscript"/>
        </w:rPr>
        <w:t>th</w:t>
      </w:r>
      <w:r>
        <w:t xml:space="preserve"> May 2009, leave was granted to the Plaintiff to discontinue his claims against the 1</w:t>
      </w:r>
      <w:r>
        <w:rPr>
          <w:vertAlign w:val="superscript"/>
        </w:rPr>
        <w:t>st</w:t>
      </w:r>
      <w:r>
        <w:t xml:space="preserve"> Defendant. At the beginning of this trial, Mr. Chung, the Plaintiff’s solicitor, also confirmed with me that the Plaintiff would abandon any claim against the 2</w:t>
      </w:r>
      <w:r>
        <w:rPr>
          <w:vertAlign w:val="superscript"/>
        </w:rPr>
        <w:t>nd</w:t>
      </w:r>
      <w:r>
        <w:t xml:space="preserve"> Defendant in excess of $1 million pursuant to section 34 of the District Court Ordinance, Cap. 336. </w:t>
      </w:r>
    </w:p>
    <w:p w:rsidR="00F35F16" w:rsidRDefault="00F35F16">
      <w:pPr>
        <w:tabs>
          <w:tab w:val="clear" w:pos="4320"/>
          <w:tab w:val="clear" w:pos="9072"/>
        </w:tabs>
        <w:spacing w:line="360" w:lineRule="auto"/>
        <w:jc w:val="both"/>
      </w:pPr>
    </w:p>
    <w:p w:rsidR="00F35F16" w:rsidRDefault="00F35F16">
      <w:pPr>
        <w:tabs>
          <w:tab w:val="clear" w:pos="4320"/>
          <w:tab w:val="clear" w:pos="9072"/>
        </w:tabs>
        <w:spacing w:line="360" w:lineRule="auto"/>
        <w:jc w:val="both"/>
        <w:rPr>
          <w:i/>
        </w:rPr>
      </w:pPr>
      <w:r>
        <w:rPr>
          <w:i/>
        </w:rPr>
        <w:t>Corresponding Employees’ Compensation Claim</w:t>
      </w:r>
    </w:p>
    <w:p w:rsidR="00F35F16" w:rsidRDefault="00F35F16">
      <w:pPr>
        <w:tabs>
          <w:tab w:val="clear" w:pos="4320"/>
          <w:tab w:val="clear" w:pos="9072"/>
        </w:tabs>
        <w:spacing w:line="360" w:lineRule="auto"/>
        <w:jc w:val="both"/>
        <w:rPr>
          <w:i/>
        </w:rPr>
      </w:pPr>
    </w:p>
    <w:p w:rsidR="00F35F16" w:rsidRDefault="00F35F16">
      <w:pPr>
        <w:tabs>
          <w:tab w:val="clear" w:pos="4320"/>
          <w:tab w:val="clear" w:pos="9072"/>
        </w:tabs>
        <w:spacing w:line="360" w:lineRule="auto"/>
        <w:jc w:val="both"/>
      </w:pPr>
      <w:r>
        <w:t>3.</w:t>
      </w:r>
      <w:r>
        <w:tab/>
        <w:t>As a result of the Accident, the Plaintiff also brought an application for compensation against the 1</w:t>
      </w:r>
      <w:r>
        <w:rPr>
          <w:vertAlign w:val="superscript"/>
        </w:rPr>
        <w:t>st</w:t>
      </w:r>
      <w:r>
        <w:t xml:space="preserve"> Defendant and the 2</w:t>
      </w:r>
      <w:r>
        <w:rPr>
          <w:vertAlign w:val="superscript"/>
        </w:rPr>
        <w:t>nd</w:t>
      </w:r>
      <w:r>
        <w:t xml:space="preserve"> </w:t>
      </w:r>
      <w:r>
        <w:lastRenderedPageBreak/>
        <w:t>Defendant pursuant to the Employees’ Compensation Ordinance, Cap. 282 (DCEC No.504 of 2007 refers). His application for employees’ compensation was heard by Her Honour Judge Mimmie Chan on 28</w:t>
      </w:r>
      <w:r>
        <w:rPr>
          <w:vertAlign w:val="superscript"/>
        </w:rPr>
        <w:t>th</w:t>
      </w:r>
      <w:r>
        <w:t xml:space="preserve"> and 29</w:t>
      </w:r>
      <w:r>
        <w:rPr>
          <w:vertAlign w:val="superscript"/>
        </w:rPr>
        <w:t>th</w:t>
      </w:r>
      <w:r>
        <w:t xml:space="preserve"> May 2008. At that hearing, the 1</w:t>
      </w:r>
      <w:r>
        <w:rPr>
          <w:vertAlign w:val="superscript"/>
        </w:rPr>
        <w:t>st</w:t>
      </w:r>
      <w:r>
        <w:t xml:space="preserve"> Defendant appeared in person whilst the 2</w:t>
      </w:r>
      <w:r>
        <w:rPr>
          <w:vertAlign w:val="superscript"/>
        </w:rPr>
        <w:t>nd</w:t>
      </w:r>
      <w:r>
        <w:t xml:space="preserve"> Defendant was being absent. The 1</w:t>
      </w:r>
      <w:r>
        <w:rPr>
          <w:vertAlign w:val="superscript"/>
        </w:rPr>
        <w:t>st</w:t>
      </w:r>
      <w:r>
        <w:t xml:space="preserve"> Defendant contested the application for employees’ compensation in </w:t>
      </w:r>
      <w:r>
        <w:t>a number of respects, and in particular, whether the Plaintiff was at the time of the Accident one of his employees or that of the 2</w:t>
      </w:r>
      <w:r>
        <w:rPr>
          <w:vertAlign w:val="superscript"/>
        </w:rPr>
        <w:t>nd</w:t>
      </w:r>
      <w:r>
        <w:t xml:space="preserve"> Defendant.</w:t>
      </w:r>
    </w:p>
    <w:p w:rsidR="00F35F16" w:rsidRDefault="00F35F16">
      <w:pPr>
        <w:tabs>
          <w:tab w:val="clear" w:pos="4320"/>
          <w:tab w:val="clear" w:pos="9072"/>
        </w:tabs>
        <w:spacing w:line="360" w:lineRule="auto"/>
        <w:jc w:val="both"/>
      </w:pPr>
    </w:p>
    <w:p w:rsidR="00F35F16" w:rsidRDefault="00F35F16">
      <w:pPr>
        <w:tabs>
          <w:tab w:val="clear" w:pos="4320"/>
          <w:tab w:val="clear" w:pos="9072"/>
        </w:tabs>
        <w:spacing w:line="360" w:lineRule="auto"/>
        <w:jc w:val="both"/>
      </w:pPr>
      <w:r>
        <w:t>4.</w:t>
      </w:r>
      <w:r>
        <w:tab/>
        <w:t>In her judgment dated 11</w:t>
      </w:r>
      <w:r>
        <w:rPr>
          <w:vertAlign w:val="superscript"/>
        </w:rPr>
        <w:t>th</w:t>
      </w:r>
      <w:r>
        <w:t xml:space="preserve"> July 2008, Her Honour Judge Mimmie Chan made </w:t>
      </w:r>
      <w:r>
        <w:rPr>
          <w:i/>
        </w:rPr>
        <w:t xml:space="preserve">inter alia </w:t>
      </w:r>
      <w:r>
        <w:t>the following findings:-</w:t>
      </w:r>
    </w:p>
    <w:p w:rsidR="00F35F16" w:rsidRDefault="00F35F16">
      <w:pPr>
        <w:tabs>
          <w:tab w:val="clear" w:pos="4320"/>
          <w:tab w:val="clear" w:pos="9072"/>
        </w:tabs>
        <w:spacing w:line="360" w:lineRule="auto"/>
        <w:jc w:val="both"/>
      </w:pPr>
    </w:p>
    <w:p w:rsidR="00F35F16" w:rsidRDefault="00F35F16">
      <w:pPr>
        <w:tabs>
          <w:tab w:val="clear" w:pos="1440"/>
          <w:tab w:val="clear" w:pos="4320"/>
          <w:tab w:val="clear" w:pos="9072"/>
          <w:tab w:val="left" w:pos="2100"/>
        </w:tabs>
        <w:spacing w:line="360" w:lineRule="auto"/>
        <w:ind w:left="2100" w:hanging="700"/>
        <w:jc w:val="both"/>
      </w:pPr>
      <w:r>
        <w:t>(1)</w:t>
      </w:r>
      <w:r>
        <w:tab/>
        <w:t>the Plaintiff was at the time of the Accident an employee of the 2</w:t>
      </w:r>
      <w:r>
        <w:rPr>
          <w:vertAlign w:val="superscript"/>
        </w:rPr>
        <w:t>nd</w:t>
      </w:r>
      <w:r>
        <w:t xml:space="preserve"> Defendant and in recruiting the Plaintiff the 1</w:t>
      </w:r>
      <w:r>
        <w:rPr>
          <w:vertAlign w:val="superscript"/>
        </w:rPr>
        <w:t>st</w:t>
      </w:r>
      <w:r>
        <w:t xml:space="preserve"> Defendant was merely acting as an agent for the 2</w:t>
      </w:r>
      <w:r>
        <w:rPr>
          <w:vertAlign w:val="superscript"/>
        </w:rPr>
        <w:t>nd</w:t>
      </w:r>
      <w:r>
        <w:t xml:space="preserve"> Defendant;</w:t>
      </w:r>
    </w:p>
    <w:p w:rsidR="00F35F16" w:rsidRDefault="00F35F16">
      <w:pPr>
        <w:tabs>
          <w:tab w:val="clear" w:pos="1440"/>
          <w:tab w:val="clear" w:pos="4320"/>
          <w:tab w:val="clear" w:pos="9072"/>
          <w:tab w:val="left" w:pos="2100"/>
        </w:tabs>
        <w:spacing w:line="360" w:lineRule="auto"/>
        <w:ind w:left="2100" w:hanging="700"/>
        <w:jc w:val="both"/>
      </w:pPr>
      <w:r>
        <w:t>(2)</w:t>
      </w:r>
      <w:r>
        <w:tab/>
        <w:t>the Plaintiff’s average monthly earnings at the time of the Accident were $10,580; and</w:t>
      </w:r>
    </w:p>
    <w:p w:rsidR="00F35F16" w:rsidRDefault="00F35F16">
      <w:pPr>
        <w:tabs>
          <w:tab w:val="clear" w:pos="1440"/>
          <w:tab w:val="clear" w:pos="4320"/>
          <w:tab w:val="clear" w:pos="9072"/>
          <w:tab w:val="left" w:pos="2100"/>
        </w:tabs>
        <w:spacing w:line="360" w:lineRule="auto"/>
        <w:ind w:left="2100" w:hanging="700"/>
        <w:jc w:val="both"/>
      </w:pPr>
      <w:r>
        <w:t>(3)</w:t>
      </w:r>
      <w:r>
        <w:tab/>
        <w:t>the Plaintiff is capable of returning to his pre-accident job as a delivery worker after the expiry of his sick leave.</w:t>
      </w:r>
    </w:p>
    <w:p w:rsidR="00F35F16" w:rsidRDefault="00F35F16">
      <w:pPr>
        <w:tabs>
          <w:tab w:val="clear" w:pos="4320"/>
          <w:tab w:val="clear" w:pos="9072"/>
        </w:tabs>
        <w:spacing w:line="360" w:lineRule="auto"/>
        <w:jc w:val="both"/>
      </w:pPr>
    </w:p>
    <w:p w:rsidR="00F35F16" w:rsidRDefault="00F35F16">
      <w:pPr>
        <w:tabs>
          <w:tab w:val="clear" w:pos="4320"/>
          <w:tab w:val="clear" w:pos="9072"/>
        </w:tabs>
        <w:spacing w:line="360" w:lineRule="auto"/>
        <w:jc w:val="both"/>
      </w:pPr>
      <w:r>
        <w:t>5.</w:t>
      </w:r>
      <w:r>
        <w:tab/>
        <w:t xml:space="preserve">That judgment has not been appealed. Her Honour’s findings are </w:t>
      </w:r>
      <w:r>
        <w:rPr>
          <w:i/>
        </w:rPr>
        <w:t xml:space="preserve">res judicata </w:t>
      </w:r>
      <w:r>
        <w:t xml:space="preserve">and they constitute issue estoppel in the respects which were contested. It is therefore only necessary for me to decide the following issues:- </w:t>
      </w:r>
      <w:r>
        <w:tab/>
      </w:r>
    </w:p>
    <w:p w:rsidR="00F35F16" w:rsidRDefault="00F35F16">
      <w:pPr>
        <w:tabs>
          <w:tab w:val="clear" w:pos="1440"/>
          <w:tab w:val="clear" w:pos="4320"/>
          <w:tab w:val="clear" w:pos="9072"/>
          <w:tab w:val="left" w:pos="2100"/>
        </w:tabs>
        <w:spacing w:line="360" w:lineRule="auto"/>
        <w:ind w:left="2100" w:hanging="700"/>
        <w:jc w:val="both"/>
      </w:pPr>
      <w:r>
        <w:t>(1)</w:t>
      </w:r>
      <w:r>
        <w:tab/>
        <w:t>whether the Plaintiff’s injuries were caused by the 2</w:t>
      </w:r>
      <w:r>
        <w:rPr>
          <w:vertAlign w:val="superscript"/>
        </w:rPr>
        <w:t>nd</w:t>
      </w:r>
      <w:r>
        <w:t xml:space="preserve"> Defendant’s negligence or breach of duties;</w:t>
      </w:r>
    </w:p>
    <w:p w:rsidR="00F35F16" w:rsidRDefault="00F35F16">
      <w:pPr>
        <w:tabs>
          <w:tab w:val="clear" w:pos="1440"/>
          <w:tab w:val="clear" w:pos="4320"/>
          <w:tab w:val="clear" w:pos="9072"/>
          <w:tab w:val="left" w:pos="2100"/>
        </w:tabs>
        <w:spacing w:line="360" w:lineRule="auto"/>
        <w:ind w:left="2100" w:hanging="700"/>
        <w:jc w:val="both"/>
      </w:pPr>
      <w:r>
        <w:t>(2)</w:t>
      </w:r>
      <w:r>
        <w:tab/>
        <w:t>whether there was any contributory negligence on the Plaintiff’s part; and</w:t>
      </w:r>
    </w:p>
    <w:p w:rsidR="00F35F16" w:rsidRDefault="00F35F16">
      <w:pPr>
        <w:tabs>
          <w:tab w:val="clear" w:pos="1440"/>
          <w:tab w:val="clear" w:pos="4320"/>
          <w:tab w:val="clear" w:pos="9072"/>
          <w:tab w:val="left" w:pos="2100"/>
        </w:tabs>
        <w:spacing w:line="360" w:lineRule="auto"/>
        <w:ind w:left="2100" w:hanging="700"/>
        <w:jc w:val="both"/>
      </w:pPr>
      <w:r>
        <w:t>(3)</w:t>
      </w:r>
      <w:r>
        <w:tab/>
        <w:t>what the proper level of damages is under each head claimed.</w:t>
      </w:r>
    </w:p>
    <w:p w:rsidR="00F35F16" w:rsidRDefault="00F35F16">
      <w:pPr>
        <w:tabs>
          <w:tab w:val="clear" w:pos="1440"/>
          <w:tab w:val="clear" w:pos="4320"/>
          <w:tab w:val="clear" w:pos="9072"/>
          <w:tab w:val="left" w:pos="2100"/>
        </w:tabs>
        <w:spacing w:line="360" w:lineRule="auto"/>
        <w:ind w:left="1400"/>
        <w:jc w:val="both"/>
      </w:pPr>
    </w:p>
    <w:p w:rsidR="00F35F16" w:rsidRDefault="00F35F16">
      <w:pPr>
        <w:tabs>
          <w:tab w:val="clear" w:pos="4320"/>
          <w:tab w:val="clear" w:pos="9072"/>
        </w:tabs>
        <w:spacing w:line="360" w:lineRule="auto"/>
        <w:jc w:val="both"/>
        <w:rPr>
          <w:i/>
        </w:rPr>
      </w:pPr>
      <w:r>
        <w:rPr>
          <w:i/>
        </w:rPr>
        <w:t>Liability of the 2</w:t>
      </w:r>
      <w:r>
        <w:rPr>
          <w:i/>
          <w:vertAlign w:val="superscript"/>
        </w:rPr>
        <w:t>nd</w:t>
      </w:r>
      <w:r>
        <w:rPr>
          <w:i/>
        </w:rPr>
        <w:t xml:space="preserve"> Defendant</w:t>
      </w:r>
    </w:p>
    <w:p w:rsidR="00F35F16" w:rsidRDefault="00F35F16">
      <w:pPr>
        <w:tabs>
          <w:tab w:val="clear" w:pos="4320"/>
          <w:tab w:val="clear" w:pos="9072"/>
        </w:tabs>
        <w:spacing w:line="360" w:lineRule="auto"/>
        <w:jc w:val="both"/>
      </w:pPr>
    </w:p>
    <w:p w:rsidR="00F35F16" w:rsidRDefault="00F35F16">
      <w:pPr>
        <w:tabs>
          <w:tab w:val="clear" w:pos="4320"/>
          <w:tab w:val="clear" w:pos="9072"/>
        </w:tabs>
        <w:spacing w:line="360" w:lineRule="auto"/>
        <w:jc w:val="both"/>
      </w:pPr>
      <w:r>
        <w:t>6.</w:t>
      </w:r>
      <w:r>
        <w:tab/>
        <w:t>The Plaintiff’s case, quite shortly, is that he and his colleague, one Mr. Cho Man Wo, were assigned to unload certain gypsum boards from a lorry at the cargo apron (3</w:t>
      </w:r>
      <w:r>
        <w:rPr>
          <w:vertAlign w:val="superscript"/>
        </w:rPr>
        <w:t>rd</w:t>
      </w:r>
      <w:r>
        <w:t xml:space="preserve"> Floor) of the Hong Kong International Airport and to deliver them to a construction site located on the 7</w:t>
      </w:r>
      <w:r>
        <w:rPr>
          <w:vertAlign w:val="superscript"/>
        </w:rPr>
        <w:t>th</w:t>
      </w:r>
      <w:r>
        <w:t xml:space="preserve"> Floor of the departure hall at the Passenger Terminal Building. </w:t>
      </w:r>
    </w:p>
    <w:p w:rsidR="00F35F16" w:rsidRDefault="00F35F16">
      <w:pPr>
        <w:tabs>
          <w:tab w:val="clear" w:pos="4320"/>
          <w:tab w:val="clear" w:pos="9072"/>
        </w:tabs>
        <w:spacing w:line="360" w:lineRule="auto"/>
        <w:jc w:val="both"/>
      </w:pPr>
    </w:p>
    <w:p w:rsidR="00F35F16" w:rsidRDefault="00F35F16">
      <w:pPr>
        <w:tabs>
          <w:tab w:val="clear" w:pos="4320"/>
          <w:tab w:val="clear" w:pos="9072"/>
        </w:tabs>
        <w:spacing w:line="360" w:lineRule="auto"/>
        <w:jc w:val="both"/>
      </w:pPr>
      <w:r>
        <w:t>7.</w:t>
      </w:r>
      <w:r>
        <w:tab/>
        <w:t>The Plaintiff and his colleague were provided with a 4-wheel metal cart and together they loaded 12 pieces of gypsum boards, weighing over 300 kg, onto the metal cart. When reaching the lobby on the 7</w:t>
      </w:r>
      <w:r>
        <w:rPr>
          <w:vertAlign w:val="superscript"/>
        </w:rPr>
        <w:t>th</w:t>
      </w:r>
      <w:r>
        <w:t xml:space="preserve"> Floor of the departure hall at the Passenger Terminal Building, the Plaintiff came out from the cargo lift first. His colleague then pushed the metal cart from the rear whilst the Plaintiff pulled the metal cart in the front. Just when they exerted force to get the metal cart out from the cargo lift, it sud</w:t>
      </w:r>
      <w:r>
        <w:t xml:space="preserve">denly toppled. The Plaintiff could not escape in time and the metal cart together with the gypsum boards then fell onto him causing serious injuries to his right leg. </w:t>
      </w:r>
    </w:p>
    <w:p w:rsidR="00F35F16" w:rsidRDefault="00F35F16">
      <w:pPr>
        <w:tabs>
          <w:tab w:val="clear" w:pos="4320"/>
          <w:tab w:val="clear" w:pos="9072"/>
        </w:tabs>
        <w:spacing w:line="360" w:lineRule="auto"/>
        <w:jc w:val="both"/>
      </w:pPr>
    </w:p>
    <w:p w:rsidR="00F35F16" w:rsidRDefault="00F35F16">
      <w:pPr>
        <w:tabs>
          <w:tab w:val="clear" w:pos="4320"/>
          <w:tab w:val="clear" w:pos="9072"/>
        </w:tabs>
        <w:spacing w:line="360" w:lineRule="auto"/>
        <w:jc w:val="both"/>
      </w:pPr>
      <w:r>
        <w:t>8.</w:t>
      </w:r>
      <w:r>
        <w:tab/>
        <w:t>The main thrust of the Plaintiff’s case on liability, quite shortly, is that it was the first time that he was assigned to do this task. He was an inexperienced worker and he had only worked in the airport for 2 days before the Accident. In this connection, I have no hesitation in accepting what the Safety Officer had said in his Accident Report about the 2</w:t>
      </w:r>
      <w:r>
        <w:rPr>
          <w:vertAlign w:val="superscript"/>
        </w:rPr>
        <w:t>nd</w:t>
      </w:r>
      <w:r>
        <w:t xml:space="preserve"> Defendant’s failure to provide the Plaintiff with the adequate training, instruction and supervision:-</w:t>
      </w:r>
    </w:p>
    <w:p w:rsidR="00F35F16" w:rsidRDefault="00F35F16">
      <w:pPr>
        <w:tabs>
          <w:tab w:val="clear" w:pos="4320"/>
          <w:tab w:val="clear" w:pos="9072"/>
        </w:tabs>
        <w:spacing w:line="360" w:lineRule="auto"/>
        <w:jc w:val="both"/>
      </w:pPr>
    </w:p>
    <w:p w:rsidR="00F35F16" w:rsidRDefault="00F35F16">
      <w:pPr>
        <w:tabs>
          <w:tab w:val="clear" w:pos="1440"/>
          <w:tab w:val="clear" w:pos="4320"/>
          <w:tab w:val="clear" w:pos="9072"/>
          <w:tab w:val="left" w:pos="1960"/>
        </w:tabs>
        <w:ind w:left="1400" w:right="746" w:hanging="140"/>
        <w:jc w:val="both"/>
        <w:rPr>
          <w:i/>
          <w:sz w:val="24"/>
        </w:rPr>
      </w:pPr>
      <w:r>
        <w:rPr>
          <w:sz w:val="24"/>
        </w:rPr>
        <w:t>“4.4</w:t>
      </w:r>
      <w:r>
        <w:rPr>
          <w:sz w:val="24"/>
        </w:rPr>
        <w:tab/>
      </w:r>
      <w:r>
        <w:rPr>
          <w:i/>
          <w:sz w:val="24"/>
        </w:rPr>
        <w:t>Safety information and Safety instruction</w:t>
      </w:r>
    </w:p>
    <w:p w:rsidR="00F35F16" w:rsidRDefault="00F35F16">
      <w:pPr>
        <w:tabs>
          <w:tab w:val="clear" w:pos="4320"/>
          <w:tab w:val="clear" w:pos="9072"/>
        </w:tabs>
        <w:ind w:left="1400" w:right="746"/>
        <w:jc w:val="both"/>
        <w:rPr>
          <w:sz w:val="24"/>
        </w:rPr>
      </w:pPr>
    </w:p>
    <w:p w:rsidR="00F35F16" w:rsidRDefault="00F35F16">
      <w:pPr>
        <w:tabs>
          <w:tab w:val="clear" w:pos="4320"/>
          <w:tab w:val="clear" w:pos="9072"/>
        </w:tabs>
        <w:ind w:left="1400" w:right="746"/>
        <w:jc w:val="both"/>
        <w:rPr>
          <w:sz w:val="24"/>
        </w:rPr>
      </w:pPr>
      <w:r>
        <w:rPr>
          <w:sz w:val="24"/>
        </w:rPr>
        <w:t>Before the accident I/P had not been informed of the safety information and safety instruction that related to the handling of gypsum boards Indeed, it was the first time that the I/P handled the gypsum boards and the I/P had no previous information on the size and the weight of the gypsum boards. Even worse, he did not know how to handle the gypsum boards. Hence, during the accident, I/P just did what the CHO did even if CHO was also green at his job. In fact, CHO revealed that he did the gypsum board deli</w:t>
      </w:r>
      <w:r>
        <w:rPr>
          <w:sz w:val="24"/>
        </w:rPr>
        <w:t>very work only one time in early June.</w:t>
      </w:r>
    </w:p>
    <w:p w:rsidR="00F35F16" w:rsidRDefault="00F35F16">
      <w:pPr>
        <w:tabs>
          <w:tab w:val="clear" w:pos="4320"/>
          <w:tab w:val="clear" w:pos="9072"/>
        </w:tabs>
        <w:ind w:left="1400" w:right="746"/>
        <w:jc w:val="both"/>
        <w:rPr>
          <w:sz w:val="24"/>
        </w:rPr>
      </w:pPr>
    </w:p>
    <w:p w:rsidR="00F35F16" w:rsidRDefault="00F35F16">
      <w:pPr>
        <w:tabs>
          <w:tab w:val="clear" w:pos="1440"/>
          <w:tab w:val="clear" w:pos="4320"/>
          <w:tab w:val="clear" w:pos="9072"/>
          <w:tab w:val="left" w:pos="1960"/>
        </w:tabs>
        <w:ind w:left="1400" w:right="746"/>
        <w:jc w:val="both"/>
        <w:rPr>
          <w:sz w:val="24"/>
        </w:rPr>
      </w:pPr>
      <w:r>
        <w:rPr>
          <w:sz w:val="24"/>
        </w:rPr>
        <w:tab/>
        <w:t>4.5</w:t>
      </w:r>
      <w:r>
        <w:rPr>
          <w:sz w:val="24"/>
        </w:rPr>
        <w:tab/>
      </w:r>
      <w:r>
        <w:rPr>
          <w:i/>
          <w:sz w:val="24"/>
        </w:rPr>
        <w:t>Training and supervision</w:t>
      </w:r>
    </w:p>
    <w:p w:rsidR="00F35F16" w:rsidRDefault="00F35F16">
      <w:pPr>
        <w:tabs>
          <w:tab w:val="clear" w:pos="4320"/>
          <w:tab w:val="clear" w:pos="9072"/>
        </w:tabs>
        <w:ind w:left="1400" w:right="746"/>
        <w:jc w:val="both"/>
        <w:rPr>
          <w:sz w:val="24"/>
        </w:rPr>
      </w:pPr>
    </w:p>
    <w:p w:rsidR="00F35F16" w:rsidRDefault="00F35F16">
      <w:pPr>
        <w:tabs>
          <w:tab w:val="clear" w:pos="4320"/>
          <w:tab w:val="clear" w:pos="9072"/>
        </w:tabs>
        <w:ind w:left="1400" w:right="746"/>
        <w:jc w:val="both"/>
        <w:rPr>
          <w:sz w:val="24"/>
        </w:rPr>
      </w:pPr>
      <w:r>
        <w:rPr>
          <w:sz w:val="24"/>
        </w:rPr>
        <w:t xml:space="preserve">I/P was a fresh Form 7 school-leaver. He had not received any formal training on manual handling operation. During the accident, I/P and CHO had to handle the gypsum boards over 300 kg (each pair of </w:t>
      </w:r>
      <w:r>
        <w:rPr>
          <w:sz w:val="24"/>
        </w:rPr>
        <w:tab/>
        <w:t>gypsum boards was over 50 kg). It was obvious that strenuous effort was required to handle the loads…As such, suitable training and supervision were considered to be essential and crucial for handling the gypsum boards.”</w:t>
      </w:r>
    </w:p>
    <w:p w:rsidR="00F35F16" w:rsidRDefault="00F35F16">
      <w:pPr>
        <w:tabs>
          <w:tab w:val="clear" w:pos="4320"/>
          <w:tab w:val="clear" w:pos="9072"/>
        </w:tabs>
        <w:ind w:left="1400" w:right="746"/>
        <w:jc w:val="both"/>
        <w:rPr>
          <w:sz w:val="24"/>
        </w:rPr>
      </w:pPr>
    </w:p>
    <w:p w:rsidR="00F35F16" w:rsidRDefault="00F35F16">
      <w:pPr>
        <w:tabs>
          <w:tab w:val="clear" w:pos="4320"/>
          <w:tab w:val="clear" w:pos="9072"/>
        </w:tabs>
        <w:spacing w:line="360" w:lineRule="auto"/>
        <w:jc w:val="both"/>
      </w:pPr>
    </w:p>
    <w:p w:rsidR="00F35F16" w:rsidRDefault="00F35F16">
      <w:pPr>
        <w:tabs>
          <w:tab w:val="clear" w:pos="4320"/>
          <w:tab w:val="clear" w:pos="9072"/>
        </w:tabs>
        <w:spacing w:line="360" w:lineRule="auto"/>
        <w:jc w:val="both"/>
      </w:pPr>
      <w:r>
        <w:t>9.</w:t>
      </w:r>
      <w:r>
        <w:tab/>
        <w:t>I also find on the evidence that the 2</w:t>
      </w:r>
      <w:r>
        <w:rPr>
          <w:vertAlign w:val="superscript"/>
        </w:rPr>
        <w:t>nd</w:t>
      </w:r>
      <w:r>
        <w:t xml:space="preserve"> Defendant was negligent and in breach of its employer’s duty to provide the Plaintiff suitable and safe equipment. Again, I fully endorse what the Safety Officer had said about this point in his Accident Report:-</w:t>
      </w:r>
    </w:p>
    <w:p w:rsidR="00F35F16" w:rsidRDefault="00F35F16">
      <w:pPr>
        <w:tabs>
          <w:tab w:val="clear" w:pos="1440"/>
          <w:tab w:val="clear" w:pos="4320"/>
          <w:tab w:val="clear" w:pos="9072"/>
          <w:tab w:val="left" w:pos="1960"/>
        </w:tabs>
        <w:ind w:left="1960" w:right="746" w:hanging="560"/>
        <w:jc w:val="both"/>
        <w:rPr>
          <w:sz w:val="24"/>
        </w:rPr>
      </w:pPr>
    </w:p>
    <w:p w:rsidR="00F35F16" w:rsidRDefault="00F35F16">
      <w:pPr>
        <w:tabs>
          <w:tab w:val="clear" w:pos="1440"/>
          <w:tab w:val="clear" w:pos="4320"/>
          <w:tab w:val="clear" w:pos="9072"/>
          <w:tab w:val="left" w:pos="1960"/>
        </w:tabs>
        <w:ind w:left="1960" w:right="746" w:hanging="560"/>
        <w:jc w:val="both"/>
        <w:rPr>
          <w:i/>
          <w:sz w:val="24"/>
        </w:rPr>
      </w:pPr>
      <w:r>
        <w:rPr>
          <w:sz w:val="24"/>
        </w:rPr>
        <w:t>4.7</w:t>
      </w:r>
      <w:r>
        <w:rPr>
          <w:sz w:val="24"/>
        </w:rPr>
        <w:tab/>
      </w:r>
      <w:r>
        <w:rPr>
          <w:i/>
          <w:sz w:val="24"/>
        </w:rPr>
        <w:t xml:space="preserve">Deficiencies of existing arrangement for delivering the gypsum </w:t>
      </w:r>
      <w:r>
        <w:rPr>
          <w:i/>
          <w:sz w:val="24"/>
        </w:rPr>
        <w:tab/>
      </w:r>
      <w:r>
        <w:rPr>
          <w:i/>
          <w:sz w:val="24"/>
        </w:rPr>
        <w:tab/>
        <w:t>board</w:t>
      </w:r>
    </w:p>
    <w:p w:rsidR="00F35F16" w:rsidRDefault="00F35F16">
      <w:pPr>
        <w:tabs>
          <w:tab w:val="clear" w:pos="1440"/>
          <w:tab w:val="clear" w:pos="4320"/>
          <w:tab w:val="clear" w:pos="9072"/>
          <w:tab w:val="left" w:pos="1960"/>
        </w:tabs>
        <w:ind w:left="1960" w:right="746" w:hanging="560"/>
        <w:jc w:val="both"/>
        <w:rPr>
          <w:i/>
          <w:sz w:val="24"/>
        </w:rPr>
      </w:pPr>
    </w:p>
    <w:p w:rsidR="00F35F16" w:rsidRDefault="00F35F16">
      <w:pPr>
        <w:tabs>
          <w:tab w:val="clear" w:pos="1440"/>
          <w:tab w:val="clear" w:pos="4320"/>
          <w:tab w:val="clear" w:pos="9072"/>
          <w:tab w:val="left" w:pos="2520"/>
        </w:tabs>
        <w:ind w:left="2520" w:right="746" w:hanging="560"/>
        <w:jc w:val="both"/>
        <w:rPr>
          <w:sz w:val="24"/>
        </w:rPr>
      </w:pPr>
      <w:r>
        <w:rPr>
          <w:sz w:val="24"/>
        </w:rPr>
        <w:t>(1)</w:t>
      </w:r>
      <w:r>
        <w:rPr>
          <w:sz w:val="24"/>
        </w:rPr>
        <w:tab/>
        <w:t xml:space="preserve">The metal cart involved in the accident was not designed </w:t>
      </w:r>
      <w:r>
        <w:rPr>
          <w:sz w:val="24"/>
        </w:rPr>
        <w:tab/>
        <w:t>for the transportation the gypsum boards.</w:t>
      </w:r>
    </w:p>
    <w:p w:rsidR="00F35F16" w:rsidRDefault="00F35F16">
      <w:pPr>
        <w:tabs>
          <w:tab w:val="clear" w:pos="1440"/>
          <w:tab w:val="clear" w:pos="4320"/>
          <w:tab w:val="clear" w:pos="9072"/>
          <w:tab w:val="left" w:pos="2520"/>
        </w:tabs>
        <w:ind w:left="1960" w:right="746"/>
        <w:jc w:val="both"/>
        <w:rPr>
          <w:sz w:val="24"/>
        </w:rPr>
      </w:pPr>
    </w:p>
    <w:p w:rsidR="00F35F16" w:rsidRDefault="00F35F16">
      <w:pPr>
        <w:tabs>
          <w:tab w:val="clear" w:pos="1440"/>
          <w:tab w:val="clear" w:pos="4320"/>
          <w:tab w:val="clear" w:pos="9072"/>
          <w:tab w:val="left" w:pos="2520"/>
        </w:tabs>
        <w:ind w:left="2520" w:right="746" w:hanging="560"/>
        <w:jc w:val="both"/>
        <w:rPr>
          <w:sz w:val="24"/>
        </w:rPr>
      </w:pPr>
      <w:r>
        <w:rPr>
          <w:sz w:val="24"/>
        </w:rPr>
        <w:t>(2)</w:t>
      </w:r>
      <w:r>
        <w:rPr>
          <w:sz w:val="24"/>
        </w:rPr>
        <w:tab/>
        <w:t>The gypsum boards were not secured by wires or other means during the transportation so that the gypsum boards would easily be slipped out from each other because of their smooth surface.”</w:t>
      </w:r>
    </w:p>
    <w:p w:rsidR="00F35F16" w:rsidRDefault="00F35F16">
      <w:pPr>
        <w:tabs>
          <w:tab w:val="clear" w:pos="4320"/>
          <w:tab w:val="clear" w:pos="9072"/>
        </w:tabs>
        <w:spacing w:line="360" w:lineRule="auto"/>
        <w:jc w:val="both"/>
      </w:pPr>
    </w:p>
    <w:p w:rsidR="00F35F16" w:rsidRDefault="00F35F16">
      <w:pPr>
        <w:tabs>
          <w:tab w:val="clear" w:pos="4320"/>
          <w:tab w:val="clear" w:pos="9072"/>
        </w:tabs>
        <w:spacing w:line="360" w:lineRule="auto"/>
        <w:jc w:val="both"/>
        <w:rPr>
          <w:i/>
        </w:rPr>
      </w:pPr>
      <w:r>
        <w:rPr>
          <w:i/>
        </w:rPr>
        <w:t>Contributory negligence</w:t>
      </w:r>
    </w:p>
    <w:p w:rsidR="00F35F16" w:rsidRDefault="00F35F16">
      <w:pPr>
        <w:tabs>
          <w:tab w:val="clear" w:pos="4320"/>
          <w:tab w:val="clear" w:pos="9072"/>
        </w:tabs>
        <w:spacing w:line="360" w:lineRule="auto"/>
        <w:jc w:val="both"/>
      </w:pPr>
    </w:p>
    <w:p w:rsidR="00F35F16" w:rsidRDefault="00F35F16">
      <w:pPr>
        <w:tabs>
          <w:tab w:val="clear" w:pos="4320"/>
          <w:tab w:val="clear" w:pos="9072"/>
        </w:tabs>
        <w:spacing w:line="360" w:lineRule="auto"/>
        <w:jc w:val="both"/>
      </w:pPr>
      <w:r>
        <w:t>10.</w:t>
      </w:r>
      <w:r>
        <w:tab/>
        <w:t>Since the 2</w:t>
      </w:r>
      <w:r>
        <w:rPr>
          <w:vertAlign w:val="superscript"/>
        </w:rPr>
        <w:t>nd</w:t>
      </w:r>
      <w:r>
        <w:t xml:space="preserve"> Defendant was absent and consequently adduced no evidence at this trial, strictly speaking, I need not deal with the particulars of contributory negligence pleaded in its defence to the Plaintiff’s claim. However, I still have to look at the whole circumstances and consider if there was any contributory negligence on the Plaintiff’s part. In this connection, the Plaintiff told me in the course of oral testimony at trial that owing to uneven weight distribution the metal cart almost toppled wh</w:t>
      </w:r>
      <w:r>
        <w:t>en he and his colleague were loading the gypsum boards onto it. But then again, I must not ignore the fact that the Plaintiff was an inexperienced worker. It was certainly not for him to devise the proper system of work or to decide on which equipment he should use. In any case, he and his colleague were given no other equipment but the metal cart. In my view, there is simply no basis for a finding of contributory negligence here. The Plaintiff therefore succeeds wholly on liability.</w:t>
      </w:r>
    </w:p>
    <w:p w:rsidR="00F35F16" w:rsidRDefault="00F35F16">
      <w:pPr>
        <w:tabs>
          <w:tab w:val="clear" w:pos="4320"/>
          <w:tab w:val="clear" w:pos="9072"/>
        </w:tabs>
        <w:spacing w:line="360" w:lineRule="auto"/>
        <w:jc w:val="both"/>
        <w:rPr>
          <w:i/>
        </w:rPr>
      </w:pPr>
    </w:p>
    <w:p w:rsidR="00F35F16" w:rsidRDefault="00F35F16">
      <w:pPr>
        <w:tabs>
          <w:tab w:val="clear" w:pos="4320"/>
          <w:tab w:val="clear" w:pos="9072"/>
        </w:tabs>
        <w:spacing w:line="360" w:lineRule="auto"/>
        <w:jc w:val="both"/>
        <w:rPr>
          <w:i/>
        </w:rPr>
      </w:pPr>
      <w:r>
        <w:rPr>
          <w:i/>
        </w:rPr>
        <w:t>Quantum</w:t>
      </w:r>
    </w:p>
    <w:p w:rsidR="00F35F16" w:rsidRDefault="00F35F16">
      <w:pPr>
        <w:tabs>
          <w:tab w:val="clear" w:pos="4320"/>
          <w:tab w:val="clear" w:pos="9072"/>
        </w:tabs>
        <w:spacing w:line="360" w:lineRule="auto"/>
        <w:jc w:val="both"/>
      </w:pPr>
    </w:p>
    <w:p w:rsidR="00F35F16" w:rsidRDefault="00F35F16">
      <w:pPr>
        <w:tabs>
          <w:tab w:val="clear" w:pos="4320"/>
          <w:tab w:val="clear" w:pos="9072"/>
        </w:tabs>
        <w:spacing w:line="360" w:lineRule="auto"/>
        <w:jc w:val="both"/>
      </w:pPr>
      <w:r>
        <w:t>11.</w:t>
      </w:r>
      <w:r>
        <w:tab/>
        <w:t>According to the medical report dated 22</w:t>
      </w:r>
      <w:r>
        <w:rPr>
          <w:vertAlign w:val="superscript"/>
        </w:rPr>
        <w:t>nd</w:t>
      </w:r>
      <w:r>
        <w:t xml:space="preserve"> February 2007 prepared by Dr. Cheung Kim Wai of the Department of Orthopaedics &amp; Traumatology of the Princess Margaret Hospital, the Plaintiff was admitted into his department through the Accident &amp; Emergency Department on 19</w:t>
      </w:r>
      <w:r>
        <w:rPr>
          <w:vertAlign w:val="superscript"/>
        </w:rPr>
        <w:t>th</w:t>
      </w:r>
      <w:r>
        <w:t xml:space="preserve"> June 2005. The Plaintiff gave a history of right leg injury at work earlier the same day. On examination, there was swelling and tenderness over the right thigh. X-ray also showed fracture at shaft of the right femur. Emergency operation, n</w:t>
      </w:r>
      <w:r>
        <w:t>amely closed reduction and internal fixation with IM nail was performed on the same day. The post-operative course was uneventful. The Plaintiff was discharged from hospital on 27</w:t>
      </w:r>
      <w:r>
        <w:rPr>
          <w:vertAlign w:val="superscript"/>
        </w:rPr>
        <w:t>th</w:t>
      </w:r>
      <w:r>
        <w:t xml:space="preserve"> June 2005. Thereafter, the Plaintiff attended regular outpatient follow-up and physiotherapy. The fracture united subsequently and the Plaintiff was readmitted to the Princess Margaret Hospital for removal of implant in December 2006. </w:t>
      </w:r>
    </w:p>
    <w:p w:rsidR="00F35F16" w:rsidRDefault="00F35F16">
      <w:pPr>
        <w:tabs>
          <w:tab w:val="clear" w:pos="4320"/>
          <w:tab w:val="clear" w:pos="9072"/>
        </w:tabs>
        <w:spacing w:line="360" w:lineRule="auto"/>
        <w:jc w:val="both"/>
      </w:pPr>
    </w:p>
    <w:p w:rsidR="00F35F16" w:rsidRDefault="00F35F16">
      <w:pPr>
        <w:tabs>
          <w:tab w:val="clear" w:pos="4320"/>
          <w:tab w:val="clear" w:pos="9072"/>
        </w:tabs>
        <w:spacing w:line="360" w:lineRule="auto"/>
        <w:jc w:val="both"/>
      </w:pPr>
      <w:r>
        <w:t>12.</w:t>
      </w:r>
      <w:r>
        <w:tab/>
        <w:t>And according to the physiotherapy report dated 23</w:t>
      </w:r>
      <w:r>
        <w:rPr>
          <w:vertAlign w:val="superscript"/>
        </w:rPr>
        <w:t>rd</w:t>
      </w:r>
      <w:r>
        <w:t xml:space="preserve"> March 2007 prepared by physiotherapists of the Alice Ho Miu Ling Nethersole Hospital, the Plaintiff had attended 2 courses of physiotherapy with a total of 47 sessions. By the time of his discharge viz. 12</w:t>
      </w:r>
      <w:r>
        <w:rPr>
          <w:vertAlign w:val="superscript"/>
        </w:rPr>
        <w:t>th</w:t>
      </w:r>
      <w:r>
        <w:t xml:space="preserve"> February 2007, the Plaintiff’s right hip and knee were found to have full range of movement with no pain. Muscle power of right hip and knee were also full. Moreover, he was able to squat fully with no pain; walking and running with normal gait; and </w:t>
      </w:r>
      <w:r>
        <w:t>sitting and standing with no limitation.</w:t>
      </w:r>
    </w:p>
    <w:p w:rsidR="00F35F16" w:rsidRDefault="00F35F16">
      <w:pPr>
        <w:tabs>
          <w:tab w:val="clear" w:pos="4320"/>
          <w:tab w:val="clear" w:pos="9072"/>
        </w:tabs>
        <w:spacing w:line="360" w:lineRule="auto"/>
        <w:jc w:val="both"/>
      </w:pPr>
    </w:p>
    <w:p w:rsidR="00F35F16" w:rsidRDefault="00F35F16">
      <w:pPr>
        <w:tabs>
          <w:tab w:val="clear" w:pos="4320"/>
          <w:tab w:val="clear" w:pos="9072"/>
        </w:tabs>
        <w:spacing w:line="360" w:lineRule="auto"/>
        <w:jc w:val="both"/>
      </w:pPr>
      <w:r>
        <w:t>13.</w:t>
      </w:r>
      <w:r>
        <w:tab/>
        <w:t>Through the arrangement of his solicitors, the Plaintiff’s physical condition was assessed by Dr. Johnson Lam, a specialist in orthopaedics &amp; traumatology, on 3</w:t>
      </w:r>
      <w:r>
        <w:rPr>
          <w:vertAlign w:val="superscript"/>
        </w:rPr>
        <w:t>rd</w:t>
      </w:r>
      <w:r>
        <w:t xml:space="preserve"> December 2007.  In his subsequent medical report on the Plaintiff dated 12</w:t>
      </w:r>
      <w:r>
        <w:rPr>
          <w:vertAlign w:val="superscript"/>
        </w:rPr>
        <w:t>th</w:t>
      </w:r>
      <w:r>
        <w:t xml:space="preserve"> December 2007, Dr. Lam opined that the Plaintiff’s right femoral fracture had reached maximal medical improvement. Whilst the Plaintiff might still have some residual pain in his right hip and knee, objective physical examination revealed good ranges of motion of his rig</w:t>
      </w:r>
      <w:r>
        <w:t xml:space="preserve">ht lower limb and there was no significant wasting noted. X-ray also showed that the fracture in the right femur had united in good position. For the X-ray of the right hip, heterotopic ossification was noted at the tip of the greater trochanter (which was the entry site for insertion of intramedullary nail), corresponding to the site of maximal tenderness and pain complained by the Plaintiff. There were also several surgical scars over the lateral aspect of right hip. These scars were however non-tender. </w:t>
      </w:r>
    </w:p>
    <w:p w:rsidR="00F35F16" w:rsidRDefault="00F35F16">
      <w:pPr>
        <w:tabs>
          <w:tab w:val="clear" w:pos="4320"/>
          <w:tab w:val="clear" w:pos="9072"/>
        </w:tabs>
        <w:spacing w:line="360" w:lineRule="auto"/>
        <w:jc w:val="both"/>
      </w:pPr>
    </w:p>
    <w:p w:rsidR="00F35F16" w:rsidRDefault="00F35F16">
      <w:pPr>
        <w:tabs>
          <w:tab w:val="clear" w:pos="4320"/>
          <w:tab w:val="clear" w:pos="9072"/>
        </w:tabs>
        <w:spacing w:line="360" w:lineRule="auto"/>
        <w:jc w:val="both"/>
      </w:pPr>
      <w:r>
        <w:t>14.</w:t>
      </w:r>
      <w:r>
        <w:tab/>
        <w:t xml:space="preserve">Dr. Lam further opined that the Plaintiff should be able to return to his pre-accident job. As to his overall physical fitness, whilst mild reduction would be expected, Dr. Lam believed that with further training, the Plaintiff should be able to meet the physical requirement of disciplinary forces. All in all, Dr. Lam considered the whole person impairment to the Plaintiff should be 3%. </w:t>
      </w:r>
    </w:p>
    <w:p w:rsidR="00F35F16" w:rsidRDefault="00F35F16">
      <w:pPr>
        <w:tabs>
          <w:tab w:val="clear" w:pos="4320"/>
          <w:tab w:val="clear" w:pos="9072"/>
        </w:tabs>
        <w:spacing w:line="360" w:lineRule="auto"/>
        <w:jc w:val="both"/>
      </w:pPr>
    </w:p>
    <w:p w:rsidR="00F35F16" w:rsidRDefault="00F35F16">
      <w:pPr>
        <w:tabs>
          <w:tab w:val="clear" w:pos="4320"/>
          <w:tab w:val="clear" w:pos="9072"/>
        </w:tabs>
        <w:spacing w:line="360" w:lineRule="auto"/>
        <w:jc w:val="both"/>
        <w:rPr>
          <w:i/>
        </w:rPr>
      </w:pPr>
      <w:r>
        <w:rPr>
          <w:i/>
        </w:rPr>
        <w:t>Pain, suffering &amp; loss of amenities of life [PSLA]</w:t>
      </w:r>
    </w:p>
    <w:p w:rsidR="00F35F16" w:rsidRDefault="00F35F16">
      <w:pPr>
        <w:tabs>
          <w:tab w:val="clear" w:pos="4320"/>
          <w:tab w:val="clear" w:pos="9072"/>
        </w:tabs>
        <w:spacing w:line="360" w:lineRule="auto"/>
        <w:jc w:val="both"/>
        <w:rPr>
          <w:i/>
        </w:rPr>
      </w:pPr>
    </w:p>
    <w:p w:rsidR="00F35F16" w:rsidRDefault="00F35F16">
      <w:pPr>
        <w:tabs>
          <w:tab w:val="clear" w:pos="4320"/>
          <w:tab w:val="clear" w:pos="9072"/>
        </w:tabs>
        <w:spacing w:line="360" w:lineRule="auto"/>
        <w:jc w:val="both"/>
      </w:pPr>
      <w:r>
        <w:t>15.</w:t>
      </w:r>
      <w:r>
        <w:tab/>
        <w:t>In his closing submission, Mr. Chung, the Plaintiff’s solicitor, referred me to the following cases and argued that a sum of $350,000 should be awarded under this head:-</w:t>
      </w:r>
    </w:p>
    <w:p w:rsidR="00F35F16" w:rsidRDefault="00F35F16">
      <w:pPr>
        <w:tabs>
          <w:tab w:val="clear" w:pos="4320"/>
          <w:tab w:val="clear" w:pos="9072"/>
        </w:tabs>
        <w:spacing w:line="360" w:lineRule="auto"/>
        <w:jc w:val="both"/>
      </w:pPr>
      <w:r>
        <w:tab/>
      </w:r>
    </w:p>
    <w:p w:rsidR="00F35F16" w:rsidRDefault="00F35F16">
      <w:pPr>
        <w:tabs>
          <w:tab w:val="clear" w:pos="1440"/>
          <w:tab w:val="clear" w:pos="4320"/>
          <w:tab w:val="clear" w:pos="9072"/>
          <w:tab w:val="left" w:pos="2100"/>
        </w:tabs>
        <w:spacing w:line="360" w:lineRule="auto"/>
        <w:ind w:left="2100" w:hanging="700"/>
        <w:jc w:val="both"/>
      </w:pPr>
      <w:r>
        <w:t>(1)</w:t>
      </w:r>
      <w:r>
        <w:tab/>
      </w:r>
      <w:r>
        <w:rPr>
          <w:i/>
        </w:rPr>
        <w:t xml:space="preserve">Poon Chung Fai v Leung Ka Shing </w:t>
      </w:r>
      <w:r>
        <w:t>(unreported) HCPI No.1050 of 1999; Beeson J.; 8</w:t>
      </w:r>
      <w:r>
        <w:rPr>
          <w:vertAlign w:val="superscript"/>
        </w:rPr>
        <w:t>th</w:t>
      </w:r>
      <w:r>
        <w:t xml:space="preserve"> December 2000;</w:t>
      </w:r>
    </w:p>
    <w:p w:rsidR="00F35F16" w:rsidRDefault="00F35F16">
      <w:pPr>
        <w:tabs>
          <w:tab w:val="clear" w:pos="1440"/>
          <w:tab w:val="clear" w:pos="4320"/>
          <w:tab w:val="clear" w:pos="9072"/>
          <w:tab w:val="left" w:pos="2100"/>
        </w:tabs>
        <w:spacing w:line="360" w:lineRule="auto"/>
        <w:ind w:left="2100" w:hanging="700"/>
        <w:jc w:val="both"/>
      </w:pPr>
      <w:r>
        <w:t>(2)</w:t>
      </w:r>
      <w:r>
        <w:tab/>
      </w:r>
      <w:r>
        <w:rPr>
          <w:i/>
        </w:rPr>
        <w:t>Yusaf Ednan v Leighton Kumugai Joint Venture</w:t>
      </w:r>
      <w:r>
        <w:t xml:space="preserve"> (unreported) HCPI No.684 of 2001; Jackson J; 23</w:t>
      </w:r>
      <w:r>
        <w:rPr>
          <w:vertAlign w:val="superscript"/>
        </w:rPr>
        <w:t>rd</w:t>
      </w:r>
      <w:r>
        <w:t xml:space="preserve"> May 2007; and</w:t>
      </w:r>
    </w:p>
    <w:p w:rsidR="00F35F16" w:rsidRDefault="00F35F16">
      <w:pPr>
        <w:tabs>
          <w:tab w:val="clear" w:pos="1440"/>
          <w:tab w:val="clear" w:pos="4320"/>
          <w:tab w:val="clear" w:pos="9072"/>
          <w:tab w:val="left" w:pos="2100"/>
        </w:tabs>
        <w:spacing w:line="360" w:lineRule="auto"/>
        <w:ind w:left="2100" w:hanging="700"/>
        <w:jc w:val="both"/>
      </w:pPr>
      <w:r>
        <w:t>(3)</w:t>
      </w:r>
      <w:r>
        <w:tab/>
      </w:r>
      <w:r>
        <w:rPr>
          <w:i/>
        </w:rPr>
        <w:t>Chong Yiu Fat v Fong Man Chi</w:t>
      </w:r>
      <w:r>
        <w:t xml:space="preserve"> (unreported) HCPI No.742 of 2001; Reyes J; 24</w:t>
      </w:r>
      <w:r>
        <w:rPr>
          <w:vertAlign w:val="superscript"/>
        </w:rPr>
        <w:t>th</w:t>
      </w:r>
      <w:r>
        <w:t xml:space="preserve"> December 2003</w:t>
      </w:r>
    </w:p>
    <w:p w:rsidR="00F35F16" w:rsidRDefault="00F35F16">
      <w:pPr>
        <w:tabs>
          <w:tab w:val="clear" w:pos="4320"/>
          <w:tab w:val="clear" w:pos="9072"/>
        </w:tabs>
        <w:spacing w:line="360" w:lineRule="auto"/>
        <w:jc w:val="both"/>
      </w:pPr>
    </w:p>
    <w:p w:rsidR="00F35F16" w:rsidRDefault="00F35F16">
      <w:pPr>
        <w:tabs>
          <w:tab w:val="clear" w:pos="4320"/>
          <w:tab w:val="clear" w:pos="9072"/>
        </w:tabs>
        <w:spacing w:line="360" w:lineRule="auto"/>
        <w:jc w:val="both"/>
      </w:pPr>
      <w:r>
        <w:t>16.</w:t>
      </w:r>
      <w:r>
        <w:tab/>
        <w:t xml:space="preserve">However, I do not find the condition of the Plaintiff to be as serious as the plaintiffs in any of these cases. And thus, for instance, in the case of </w:t>
      </w:r>
      <w:r>
        <w:rPr>
          <w:i/>
        </w:rPr>
        <w:t>Poon Chung Fai</w:t>
      </w:r>
      <w:r>
        <w:t xml:space="preserve"> and the case of </w:t>
      </w:r>
      <w:r>
        <w:rPr>
          <w:i/>
        </w:rPr>
        <w:t>Yusaf Ednan</w:t>
      </w:r>
      <w:r>
        <w:t xml:space="preserve">, there the plaintiffs were left with a limping gait but the Plaintiff in the present case can walk with a normal gait and he can even perform tip toe walk and heel walk. The case of </w:t>
      </w:r>
      <w:r>
        <w:rPr>
          <w:i/>
        </w:rPr>
        <w:t>Chung Yiu Fat</w:t>
      </w:r>
      <w:r>
        <w:t xml:space="preserve"> involved injury to ankle and damage to the articular surface of the distal tibia which were completely different from tha</w:t>
      </w:r>
      <w:r>
        <w:t xml:space="preserve">t involved in the present case. </w:t>
      </w:r>
    </w:p>
    <w:p w:rsidR="00F35F16" w:rsidRDefault="00F35F16">
      <w:pPr>
        <w:tabs>
          <w:tab w:val="clear" w:pos="4320"/>
          <w:tab w:val="clear" w:pos="9072"/>
        </w:tabs>
        <w:spacing w:line="360" w:lineRule="auto"/>
        <w:jc w:val="both"/>
      </w:pPr>
    </w:p>
    <w:p w:rsidR="00F35F16" w:rsidRDefault="00F35F16">
      <w:pPr>
        <w:tabs>
          <w:tab w:val="clear" w:pos="4320"/>
          <w:tab w:val="clear" w:pos="9072"/>
        </w:tabs>
        <w:spacing w:line="360" w:lineRule="auto"/>
        <w:jc w:val="both"/>
      </w:pPr>
      <w:r>
        <w:t>17.</w:t>
      </w:r>
      <w:r>
        <w:tab/>
        <w:t>In my view, the Plaintiff’s case here is comparable to that involved in the following cases:-</w:t>
      </w:r>
    </w:p>
    <w:p w:rsidR="00F35F16" w:rsidRDefault="00F35F16">
      <w:pPr>
        <w:tabs>
          <w:tab w:val="clear" w:pos="4320"/>
          <w:tab w:val="clear" w:pos="9072"/>
        </w:tabs>
        <w:spacing w:line="360" w:lineRule="auto"/>
        <w:jc w:val="both"/>
      </w:pPr>
      <w:r>
        <w:tab/>
      </w:r>
    </w:p>
    <w:p w:rsidR="00F35F16" w:rsidRDefault="00F35F16">
      <w:pPr>
        <w:tabs>
          <w:tab w:val="clear" w:pos="1440"/>
          <w:tab w:val="clear" w:pos="4320"/>
          <w:tab w:val="clear" w:pos="9072"/>
          <w:tab w:val="left" w:pos="2100"/>
        </w:tabs>
        <w:spacing w:line="360" w:lineRule="auto"/>
        <w:ind w:left="2100" w:hanging="700"/>
        <w:jc w:val="both"/>
      </w:pPr>
      <w:r>
        <w:t>(1)</w:t>
      </w:r>
      <w:r>
        <w:tab/>
      </w:r>
      <w:r>
        <w:rPr>
          <w:i/>
        </w:rPr>
        <w:t>Lai Kwan Ming v Lee Yin Hing t/a King Yip Company &amp; Another</w:t>
      </w:r>
      <w:r>
        <w:t xml:space="preserve"> (unreported) HCPI No.765 of 2000; Deputy High Court Judge Lam; 11</w:t>
      </w:r>
      <w:r>
        <w:rPr>
          <w:vertAlign w:val="superscript"/>
        </w:rPr>
        <w:t>th</w:t>
      </w:r>
      <w:r>
        <w:t xml:space="preserve"> October 2001; and</w:t>
      </w:r>
    </w:p>
    <w:p w:rsidR="00F35F16" w:rsidRDefault="00F35F16">
      <w:pPr>
        <w:tabs>
          <w:tab w:val="clear" w:pos="1440"/>
          <w:tab w:val="clear" w:pos="4320"/>
          <w:tab w:val="clear" w:pos="9072"/>
          <w:tab w:val="left" w:pos="2100"/>
        </w:tabs>
        <w:spacing w:line="360" w:lineRule="auto"/>
        <w:ind w:left="2100" w:hanging="700"/>
        <w:jc w:val="both"/>
      </w:pPr>
      <w:r>
        <w:t>(2)</w:t>
      </w:r>
      <w:r>
        <w:tab/>
      </w:r>
      <w:r>
        <w:rPr>
          <w:i/>
        </w:rPr>
        <w:t>Lau Tsz Wan v Caltex Oil Hong Kong Ltd. &amp; Another</w:t>
      </w:r>
      <w:r>
        <w:t xml:space="preserve"> (unreported) DCPI No.140 of 2001; Judge H C Wong: 8</w:t>
      </w:r>
      <w:r>
        <w:rPr>
          <w:vertAlign w:val="superscript"/>
        </w:rPr>
        <w:t>th</w:t>
      </w:r>
      <w:r>
        <w:t xml:space="preserve"> December 2004</w:t>
      </w:r>
    </w:p>
    <w:p w:rsidR="00F35F16" w:rsidRDefault="00F35F16">
      <w:pPr>
        <w:tabs>
          <w:tab w:val="clear" w:pos="4320"/>
          <w:tab w:val="clear" w:pos="9072"/>
        </w:tabs>
        <w:spacing w:line="360" w:lineRule="auto"/>
        <w:jc w:val="both"/>
      </w:pPr>
    </w:p>
    <w:p w:rsidR="00F35F16" w:rsidRDefault="00F35F16">
      <w:pPr>
        <w:tabs>
          <w:tab w:val="clear" w:pos="4320"/>
          <w:tab w:val="clear" w:pos="9072"/>
        </w:tabs>
        <w:spacing w:line="360" w:lineRule="auto"/>
        <w:jc w:val="both"/>
      </w:pPr>
      <w:r>
        <w:t>18.</w:t>
      </w:r>
      <w:r>
        <w:tab/>
        <w:t xml:space="preserve">And thus, like the present case, the plaintiff in the case of </w:t>
      </w:r>
      <w:r>
        <w:rPr>
          <w:i/>
        </w:rPr>
        <w:t>Lau Tsz Wan</w:t>
      </w:r>
      <w:r>
        <w:t xml:space="preserve"> also sustained a fracture at neck of his right femur which required surgical intervention by means of closed reduction and hip screw fixation. Medical expert opinion adduced at trial was that the fracture had united. Although there was residual pain and stiffness at the right hip, there was no wasting of muscle either of the right leg or thigh. Moreover, the plaintiff was found to be walking normally with no limp. She could even walk</w:t>
      </w:r>
      <w:r>
        <w:t xml:space="preserve"> on tiptoes and on heels. General damages for PSLA were assessed at $250,000.</w:t>
      </w:r>
    </w:p>
    <w:p w:rsidR="00F35F16" w:rsidRDefault="00F35F16">
      <w:pPr>
        <w:tabs>
          <w:tab w:val="clear" w:pos="4320"/>
          <w:tab w:val="clear" w:pos="9072"/>
        </w:tabs>
        <w:spacing w:line="360" w:lineRule="auto"/>
        <w:jc w:val="both"/>
      </w:pPr>
    </w:p>
    <w:p w:rsidR="00F35F16" w:rsidRDefault="00F35F16">
      <w:pPr>
        <w:tabs>
          <w:tab w:val="clear" w:pos="4320"/>
          <w:tab w:val="clear" w:pos="9072"/>
        </w:tabs>
        <w:spacing w:line="360" w:lineRule="auto"/>
        <w:jc w:val="both"/>
      </w:pPr>
      <w:r>
        <w:t>19.</w:t>
      </w:r>
      <w:r>
        <w:tab/>
        <w:t xml:space="preserve">Using the case of </w:t>
      </w:r>
      <w:r>
        <w:rPr>
          <w:i/>
        </w:rPr>
        <w:t xml:space="preserve">Lau Tsz </w:t>
      </w:r>
      <w:r>
        <w:t xml:space="preserve">Wan as my starting point and taking into consideration the Plaintiff’s medical condition as outlined above, I find the appropriate award for PSLA here should be $250,000. </w:t>
      </w:r>
    </w:p>
    <w:p w:rsidR="00F35F16" w:rsidRDefault="00F35F16">
      <w:pPr>
        <w:tabs>
          <w:tab w:val="clear" w:pos="4320"/>
          <w:tab w:val="clear" w:pos="9072"/>
        </w:tabs>
        <w:spacing w:line="360" w:lineRule="auto"/>
        <w:jc w:val="both"/>
      </w:pPr>
    </w:p>
    <w:p w:rsidR="00F35F16" w:rsidRDefault="00F35F16">
      <w:pPr>
        <w:tabs>
          <w:tab w:val="clear" w:pos="4320"/>
          <w:tab w:val="clear" w:pos="9072"/>
        </w:tabs>
        <w:spacing w:line="360" w:lineRule="auto"/>
        <w:jc w:val="both"/>
        <w:rPr>
          <w:i/>
        </w:rPr>
      </w:pPr>
      <w:r>
        <w:rPr>
          <w:i/>
        </w:rPr>
        <w:t xml:space="preserve">Loss of Earnings &amp; MPF benefits </w:t>
      </w:r>
    </w:p>
    <w:p w:rsidR="00F35F16" w:rsidRDefault="00F35F16">
      <w:pPr>
        <w:tabs>
          <w:tab w:val="clear" w:pos="4320"/>
          <w:tab w:val="clear" w:pos="9072"/>
        </w:tabs>
        <w:spacing w:line="360" w:lineRule="auto"/>
        <w:jc w:val="both"/>
      </w:pPr>
    </w:p>
    <w:p w:rsidR="00F35F16" w:rsidRDefault="00F35F16">
      <w:pPr>
        <w:tabs>
          <w:tab w:val="clear" w:pos="4320"/>
          <w:tab w:val="clear" w:pos="9072"/>
        </w:tabs>
        <w:spacing w:line="360" w:lineRule="auto"/>
        <w:jc w:val="both"/>
      </w:pPr>
      <w:r>
        <w:t>20.</w:t>
      </w:r>
      <w:r>
        <w:tab/>
        <w:t>As mentioned above, the Plaintiff is bound by the finding of Judge Mimmie Chan that his average monthly earnings at the time of the Accident were $10,580. From the medical certificates available, the Plaintiff was granted a total of 206 days of sick leave from 19</w:t>
      </w:r>
      <w:r>
        <w:rPr>
          <w:vertAlign w:val="superscript"/>
        </w:rPr>
        <w:t>th</w:t>
      </w:r>
      <w:r>
        <w:t xml:space="preserve"> June 2005 to 18</w:t>
      </w:r>
      <w:r>
        <w:rPr>
          <w:vertAlign w:val="superscript"/>
        </w:rPr>
        <w:t>th</w:t>
      </w:r>
      <w:r>
        <w:t xml:space="preserve"> December 2005 and from 21</w:t>
      </w:r>
      <w:r>
        <w:rPr>
          <w:vertAlign w:val="superscript"/>
        </w:rPr>
        <w:t>st</w:t>
      </w:r>
      <w:r>
        <w:t xml:space="preserve"> December 2006 to 10</w:t>
      </w:r>
      <w:r>
        <w:rPr>
          <w:vertAlign w:val="superscript"/>
        </w:rPr>
        <w:t>th</w:t>
      </w:r>
      <w:r>
        <w:t xml:space="preserve"> January 2007. Accordingly, pre-trial loss of earnings &amp; MPF benefits would be:-</w:t>
      </w:r>
    </w:p>
    <w:p w:rsidR="00F35F16" w:rsidRDefault="00F35F16">
      <w:pPr>
        <w:tabs>
          <w:tab w:val="clear" w:pos="4320"/>
          <w:tab w:val="clear" w:pos="9072"/>
        </w:tabs>
        <w:spacing w:line="360" w:lineRule="auto"/>
        <w:jc w:val="both"/>
      </w:pPr>
      <w:r>
        <w:tab/>
        <w:t xml:space="preserve">$10,580 / 30 x 1.05 x 206 = $76,282 </w:t>
      </w:r>
    </w:p>
    <w:p w:rsidR="00F35F16" w:rsidRDefault="00F35F16">
      <w:pPr>
        <w:tabs>
          <w:tab w:val="clear" w:pos="4320"/>
          <w:tab w:val="clear" w:pos="9072"/>
        </w:tabs>
        <w:spacing w:line="360" w:lineRule="auto"/>
        <w:jc w:val="both"/>
      </w:pPr>
    </w:p>
    <w:p w:rsidR="00F35F16" w:rsidRDefault="00F35F16">
      <w:pPr>
        <w:tabs>
          <w:tab w:val="clear" w:pos="4320"/>
          <w:tab w:val="clear" w:pos="9072"/>
        </w:tabs>
        <w:spacing w:line="360" w:lineRule="auto"/>
        <w:jc w:val="both"/>
      </w:pPr>
      <w:r>
        <w:t>21.</w:t>
      </w:r>
      <w:r>
        <w:tab/>
        <w:t>As to the future loss, I do not accept the Plaintiff’s contention that his failure to join the disciplinary forces of the Hong Kong Government was caused by the injuries and permanent disabilities that he suffered as a result of the Accident. There is in fact hardly anything in the evidence to support this contention. Also, I fail to see why the Plaintiff would need to quit his job as a customer services officer (with an average monthly salary of $10,852.90). The Plaintiff was indeed constrained to admit t</w:t>
      </w:r>
      <w:r>
        <w:t xml:space="preserve">hat he changed his job on his own volition. In any case, I accept the medical opinion of Dr. Johnson Lam that the Plaintiff is physically capable of returning to his pre-accident job as a delivery worker. Accordingly, I make no award under the head of future loss. </w:t>
      </w:r>
    </w:p>
    <w:p w:rsidR="00F35F16" w:rsidRDefault="00F35F16">
      <w:pPr>
        <w:tabs>
          <w:tab w:val="clear" w:pos="4320"/>
          <w:tab w:val="clear" w:pos="9072"/>
        </w:tabs>
        <w:spacing w:line="360" w:lineRule="auto"/>
        <w:jc w:val="both"/>
      </w:pPr>
    </w:p>
    <w:p w:rsidR="00F35F16" w:rsidRDefault="00F35F16">
      <w:pPr>
        <w:tabs>
          <w:tab w:val="clear" w:pos="4320"/>
          <w:tab w:val="clear" w:pos="9072"/>
        </w:tabs>
        <w:spacing w:line="360" w:lineRule="auto"/>
        <w:jc w:val="both"/>
        <w:rPr>
          <w:i/>
        </w:rPr>
      </w:pPr>
      <w:r>
        <w:rPr>
          <w:i/>
        </w:rPr>
        <w:t>Special damages</w:t>
      </w:r>
    </w:p>
    <w:p w:rsidR="00F35F16" w:rsidRDefault="00F35F16">
      <w:pPr>
        <w:tabs>
          <w:tab w:val="clear" w:pos="4320"/>
          <w:tab w:val="clear" w:pos="9072"/>
        </w:tabs>
        <w:spacing w:line="360" w:lineRule="auto"/>
        <w:jc w:val="both"/>
      </w:pPr>
    </w:p>
    <w:p w:rsidR="00F35F16" w:rsidRDefault="00F35F16">
      <w:pPr>
        <w:tabs>
          <w:tab w:val="clear" w:pos="4320"/>
          <w:tab w:val="clear" w:pos="9072"/>
        </w:tabs>
        <w:spacing w:line="360" w:lineRule="auto"/>
        <w:jc w:val="both"/>
      </w:pPr>
      <w:r>
        <w:t>22.</w:t>
      </w:r>
      <w:r>
        <w:tab/>
        <w:t>In his Revised Statement of Damages, the Plaintiff claims a sum of $4,717 as reimbursement for medical expenses incurred and a sum of $1,620 as reimbursement for travelling expenses incurred. In my view, the Plaintiff’s claims are reasonable in amount and should be allowed in full. Accordingly, the total award under this head is $6,337.</w:t>
      </w:r>
    </w:p>
    <w:p w:rsidR="00F35F16" w:rsidRDefault="00F35F16">
      <w:pPr>
        <w:tabs>
          <w:tab w:val="clear" w:pos="4320"/>
          <w:tab w:val="clear" w:pos="9072"/>
        </w:tabs>
        <w:spacing w:line="360" w:lineRule="auto"/>
        <w:jc w:val="both"/>
        <w:rPr>
          <w:i/>
        </w:rPr>
      </w:pPr>
    </w:p>
    <w:p w:rsidR="00F35F16" w:rsidRDefault="00F35F16">
      <w:pPr>
        <w:tabs>
          <w:tab w:val="clear" w:pos="4320"/>
          <w:tab w:val="clear" w:pos="9072"/>
        </w:tabs>
        <w:spacing w:line="360" w:lineRule="auto"/>
        <w:jc w:val="both"/>
        <w:rPr>
          <w:i/>
        </w:rPr>
      </w:pPr>
      <w:r>
        <w:rPr>
          <w:i/>
        </w:rPr>
        <w:t>Summary</w:t>
      </w:r>
    </w:p>
    <w:p w:rsidR="00F35F16" w:rsidRDefault="00F35F16">
      <w:pPr>
        <w:tabs>
          <w:tab w:val="clear" w:pos="4320"/>
          <w:tab w:val="clear" w:pos="9072"/>
        </w:tabs>
        <w:spacing w:line="360" w:lineRule="auto"/>
        <w:jc w:val="both"/>
        <w:rPr>
          <w:i/>
        </w:rPr>
      </w:pPr>
    </w:p>
    <w:p w:rsidR="00F35F16" w:rsidRDefault="00F35F16">
      <w:pPr>
        <w:tabs>
          <w:tab w:val="clear" w:pos="4320"/>
          <w:tab w:val="clear" w:pos="9072"/>
        </w:tabs>
        <w:spacing w:line="360" w:lineRule="auto"/>
        <w:jc w:val="both"/>
        <w:rPr>
          <w:rFonts w:hint="eastAsia"/>
          <w:lang w:eastAsia="zh-HK"/>
        </w:rPr>
      </w:pPr>
      <w:r>
        <w:t>23.</w:t>
      </w:r>
      <w:r>
        <w:tab/>
      </w:r>
      <w:r>
        <w:rPr>
          <w:rFonts w:hint="eastAsia"/>
          <w:lang w:eastAsia="zh-HK"/>
        </w:rPr>
        <w:t>The total award is:</w:t>
      </w:r>
    </w:p>
    <w:p w:rsidR="00F35F16" w:rsidRDefault="00F35F16">
      <w:pPr>
        <w:tabs>
          <w:tab w:val="clear" w:pos="4320"/>
          <w:tab w:val="clear" w:pos="9072"/>
        </w:tabs>
        <w:spacing w:line="360" w:lineRule="auto"/>
        <w:ind w:left="720"/>
        <w:jc w:val="both"/>
        <w:rPr>
          <w:lang w:eastAsia="zh-HK"/>
        </w:rPr>
      </w:pPr>
    </w:p>
    <w:p w:rsidR="00F35F16" w:rsidRDefault="00F35F16">
      <w:pPr>
        <w:tabs>
          <w:tab w:val="clear" w:pos="1440"/>
          <w:tab w:val="clear" w:pos="4320"/>
          <w:tab w:val="clear" w:pos="9072"/>
          <w:tab w:val="left" w:pos="2100"/>
        </w:tabs>
        <w:spacing w:line="360" w:lineRule="auto"/>
        <w:ind w:left="1400"/>
        <w:jc w:val="both"/>
        <w:rPr>
          <w:rFonts w:hint="eastAsia"/>
          <w:lang w:eastAsia="zh-HK"/>
        </w:rPr>
      </w:pPr>
      <w:r>
        <w:rPr>
          <w:rFonts w:hint="eastAsia"/>
          <w:lang w:eastAsia="zh-HK"/>
        </w:rPr>
        <w:t>(1)</w:t>
      </w:r>
      <w:r>
        <w:rPr>
          <w:rFonts w:hint="eastAsia"/>
          <w:lang w:eastAsia="zh-HK"/>
        </w:rPr>
        <w:tab/>
        <w:t>PSLA</w:t>
      </w:r>
      <w:r>
        <w:rPr>
          <w:rFonts w:hint="eastAsia"/>
          <w:lang w:eastAsia="zh-HK"/>
        </w:rPr>
        <w:tab/>
      </w:r>
      <w:r>
        <w:rPr>
          <w:rFonts w:hint="eastAsia"/>
          <w:lang w:eastAsia="zh-HK"/>
        </w:rPr>
        <w:tab/>
      </w:r>
      <w:r>
        <w:rPr>
          <w:rFonts w:hint="eastAsia"/>
          <w:lang w:eastAsia="zh-HK"/>
        </w:rPr>
        <w:tab/>
      </w:r>
      <w:r>
        <w:rPr>
          <w:rFonts w:hint="eastAsia"/>
          <w:lang w:eastAsia="zh-HK"/>
        </w:rPr>
        <w:tab/>
      </w:r>
      <w:r>
        <w:rPr>
          <w:rFonts w:hint="eastAsia"/>
          <w:lang w:eastAsia="zh-HK"/>
        </w:rPr>
        <w:tab/>
      </w:r>
      <w:r>
        <w:rPr>
          <w:rFonts w:hint="eastAsia"/>
          <w:lang w:eastAsia="zh-HK"/>
        </w:rPr>
        <w:tab/>
        <w:t>:</w:t>
      </w:r>
      <w:r>
        <w:rPr>
          <w:rFonts w:hint="eastAsia"/>
          <w:lang w:eastAsia="zh-HK"/>
        </w:rPr>
        <w:tab/>
        <w:t>$</w:t>
      </w:r>
      <w:r>
        <w:rPr>
          <w:lang w:eastAsia="zh-HK"/>
        </w:rPr>
        <w:t>2</w:t>
      </w:r>
      <w:r>
        <w:rPr>
          <w:rFonts w:hint="eastAsia"/>
          <w:lang w:eastAsia="zh-HK"/>
        </w:rPr>
        <w:t>50,000</w:t>
      </w:r>
    </w:p>
    <w:p w:rsidR="00F35F16" w:rsidRDefault="00F35F16">
      <w:pPr>
        <w:tabs>
          <w:tab w:val="clear" w:pos="1440"/>
          <w:tab w:val="clear" w:pos="4320"/>
          <w:tab w:val="clear" w:pos="9072"/>
          <w:tab w:val="left" w:pos="2100"/>
        </w:tabs>
        <w:spacing w:line="360" w:lineRule="auto"/>
        <w:ind w:left="1400"/>
        <w:jc w:val="both"/>
        <w:rPr>
          <w:lang w:eastAsia="zh-HK"/>
        </w:rPr>
      </w:pPr>
      <w:r>
        <w:rPr>
          <w:rFonts w:hint="eastAsia"/>
          <w:lang w:eastAsia="zh-HK"/>
        </w:rPr>
        <w:t>(2)</w:t>
      </w:r>
      <w:r>
        <w:rPr>
          <w:rFonts w:hint="eastAsia"/>
          <w:lang w:eastAsia="zh-HK"/>
        </w:rPr>
        <w:tab/>
        <w:t>Loss of Earnings</w:t>
      </w:r>
      <w:r>
        <w:rPr>
          <w:rFonts w:hint="eastAsia"/>
          <w:lang w:eastAsia="zh-HK"/>
        </w:rPr>
        <w:tab/>
      </w:r>
      <w:r>
        <w:rPr>
          <w:rFonts w:hint="eastAsia"/>
          <w:lang w:eastAsia="zh-HK"/>
        </w:rPr>
        <w:tab/>
      </w:r>
      <w:r>
        <w:rPr>
          <w:rFonts w:hint="eastAsia"/>
          <w:lang w:eastAsia="zh-HK"/>
        </w:rPr>
        <w:tab/>
        <w:t>:</w:t>
      </w:r>
      <w:r>
        <w:rPr>
          <w:rFonts w:hint="eastAsia"/>
          <w:lang w:eastAsia="zh-HK"/>
        </w:rPr>
        <w:tab/>
        <w:t>$</w:t>
      </w:r>
      <w:r>
        <w:rPr>
          <w:lang w:eastAsia="zh-HK"/>
        </w:rPr>
        <w:t>76,282</w:t>
      </w:r>
    </w:p>
    <w:p w:rsidR="00F35F16" w:rsidRDefault="00F35F16">
      <w:pPr>
        <w:tabs>
          <w:tab w:val="clear" w:pos="1440"/>
          <w:tab w:val="clear" w:pos="4320"/>
          <w:tab w:val="clear" w:pos="9072"/>
          <w:tab w:val="left" w:pos="2100"/>
        </w:tabs>
        <w:spacing w:line="360" w:lineRule="auto"/>
        <w:ind w:left="1400"/>
        <w:jc w:val="both"/>
        <w:rPr>
          <w:rFonts w:hint="eastAsia"/>
          <w:lang w:eastAsia="zh-HK"/>
        </w:rPr>
      </w:pPr>
      <w:r>
        <w:rPr>
          <w:rFonts w:hint="eastAsia"/>
          <w:lang w:eastAsia="zh-HK"/>
        </w:rPr>
        <w:t>(3)</w:t>
      </w:r>
      <w:r>
        <w:rPr>
          <w:rFonts w:hint="eastAsia"/>
          <w:lang w:eastAsia="zh-HK"/>
        </w:rPr>
        <w:tab/>
        <w:t>Special Damages</w:t>
      </w:r>
      <w:r>
        <w:rPr>
          <w:rFonts w:hint="eastAsia"/>
          <w:lang w:eastAsia="zh-HK"/>
        </w:rPr>
        <w:tab/>
      </w:r>
      <w:r>
        <w:rPr>
          <w:rFonts w:hint="eastAsia"/>
          <w:lang w:eastAsia="zh-HK"/>
        </w:rPr>
        <w:tab/>
      </w:r>
      <w:r>
        <w:rPr>
          <w:rFonts w:hint="eastAsia"/>
          <w:lang w:eastAsia="zh-HK"/>
        </w:rPr>
        <w:tab/>
        <w:t>:</w:t>
      </w:r>
      <w:r>
        <w:rPr>
          <w:rFonts w:hint="eastAsia"/>
          <w:lang w:eastAsia="zh-HK"/>
        </w:rPr>
        <w:tab/>
        <w:t>$</w:t>
      </w:r>
      <w:r>
        <w:rPr>
          <w:lang w:eastAsia="zh-HK"/>
        </w:rPr>
        <w:t>6</w:t>
      </w:r>
      <w:r>
        <w:rPr>
          <w:rFonts w:hint="eastAsia"/>
          <w:lang w:eastAsia="zh-HK"/>
        </w:rPr>
        <w:t>,</w:t>
      </w:r>
      <w:r>
        <w:rPr>
          <w:lang w:eastAsia="zh-HK"/>
        </w:rPr>
        <w:t>337</w:t>
      </w:r>
    </w:p>
    <w:p w:rsidR="00F35F16" w:rsidRDefault="00F35F16">
      <w:pPr>
        <w:tabs>
          <w:tab w:val="clear" w:pos="1440"/>
          <w:tab w:val="clear" w:pos="4320"/>
          <w:tab w:val="clear" w:pos="9072"/>
          <w:tab w:val="left" w:pos="2100"/>
        </w:tabs>
        <w:spacing w:line="360" w:lineRule="auto"/>
        <w:ind w:left="1400"/>
        <w:jc w:val="both"/>
        <w:rPr>
          <w:rFonts w:hint="eastAsia"/>
          <w:lang w:eastAsia="zh-HK"/>
        </w:rPr>
      </w:pPr>
      <w:r>
        <w:rPr>
          <w:rFonts w:hint="eastAsia"/>
          <w:lang w:eastAsia="zh-HK"/>
        </w:rPr>
        <w:tab/>
      </w:r>
      <w:r>
        <w:rPr>
          <w:rFonts w:hint="eastAsia"/>
          <w:lang w:eastAsia="zh-HK"/>
        </w:rPr>
        <w:tab/>
      </w:r>
      <w:r>
        <w:rPr>
          <w:rFonts w:hint="eastAsia"/>
          <w:lang w:eastAsia="zh-HK"/>
        </w:rPr>
        <w:tab/>
      </w:r>
      <w:r>
        <w:rPr>
          <w:rFonts w:hint="eastAsia"/>
          <w:lang w:eastAsia="zh-HK"/>
        </w:rPr>
        <w:tab/>
      </w:r>
      <w:r>
        <w:rPr>
          <w:rFonts w:hint="eastAsia"/>
          <w:lang w:eastAsia="zh-HK"/>
        </w:rPr>
        <w:tab/>
      </w:r>
      <w:r>
        <w:rPr>
          <w:rFonts w:hint="eastAsia"/>
          <w:lang w:eastAsia="zh-HK"/>
        </w:rPr>
        <w:tab/>
      </w:r>
      <w:r>
        <w:rPr>
          <w:rFonts w:hint="eastAsia"/>
          <w:lang w:eastAsia="zh-HK"/>
        </w:rPr>
        <w:tab/>
        <w:t>___________________</w:t>
      </w:r>
    </w:p>
    <w:p w:rsidR="00F35F16" w:rsidRDefault="00F35F16">
      <w:pPr>
        <w:tabs>
          <w:tab w:val="clear" w:pos="1440"/>
          <w:tab w:val="clear" w:pos="4320"/>
          <w:tab w:val="clear" w:pos="9072"/>
          <w:tab w:val="left" w:pos="2100"/>
        </w:tabs>
        <w:spacing w:line="360" w:lineRule="auto"/>
        <w:ind w:left="1400"/>
        <w:jc w:val="both"/>
        <w:rPr>
          <w:lang w:eastAsia="zh-HK"/>
        </w:rPr>
      </w:pPr>
      <w:r>
        <w:rPr>
          <w:rFonts w:hint="eastAsia"/>
          <w:lang w:eastAsia="zh-HK"/>
        </w:rPr>
        <w:tab/>
      </w:r>
      <w:r>
        <w:rPr>
          <w:rFonts w:hint="eastAsia"/>
          <w:lang w:eastAsia="zh-HK"/>
        </w:rPr>
        <w:tab/>
      </w:r>
      <w:r>
        <w:rPr>
          <w:rFonts w:hint="eastAsia"/>
          <w:lang w:eastAsia="zh-HK"/>
        </w:rPr>
        <w:tab/>
      </w:r>
      <w:r>
        <w:rPr>
          <w:rFonts w:hint="eastAsia"/>
          <w:lang w:eastAsia="zh-HK"/>
        </w:rPr>
        <w:tab/>
      </w:r>
      <w:r>
        <w:rPr>
          <w:rFonts w:hint="eastAsia"/>
          <w:lang w:eastAsia="zh-HK"/>
        </w:rPr>
        <w:tab/>
      </w:r>
      <w:r>
        <w:rPr>
          <w:rFonts w:hint="eastAsia"/>
          <w:lang w:eastAsia="zh-HK"/>
        </w:rPr>
        <w:tab/>
        <w:t>Total</w:t>
      </w:r>
      <w:r>
        <w:rPr>
          <w:rFonts w:hint="eastAsia"/>
          <w:lang w:eastAsia="zh-HK"/>
        </w:rPr>
        <w:tab/>
      </w:r>
      <w:r>
        <w:rPr>
          <w:rFonts w:hint="eastAsia"/>
          <w:lang w:eastAsia="zh-HK"/>
        </w:rPr>
        <w:tab/>
        <w:t>:</w:t>
      </w:r>
      <w:r>
        <w:rPr>
          <w:rFonts w:hint="eastAsia"/>
          <w:lang w:eastAsia="zh-HK"/>
        </w:rPr>
        <w:tab/>
        <w:t>$</w:t>
      </w:r>
      <w:r>
        <w:rPr>
          <w:lang w:eastAsia="zh-HK"/>
        </w:rPr>
        <w:t>332,619</w:t>
      </w:r>
    </w:p>
    <w:p w:rsidR="00F35F16" w:rsidRDefault="00F35F16">
      <w:pPr>
        <w:tabs>
          <w:tab w:val="clear" w:pos="1440"/>
          <w:tab w:val="clear" w:pos="4320"/>
          <w:tab w:val="clear" w:pos="9072"/>
          <w:tab w:val="left" w:pos="2100"/>
        </w:tabs>
        <w:spacing w:line="360" w:lineRule="auto"/>
        <w:ind w:left="1400"/>
        <w:jc w:val="both"/>
        <w:rPr>
          <w:lang w:eastAsia="zh-HK"/>
        </w:rPr>
      </w:pPr>
    </w:p>
    <w:p w:rsidR="00F35F16" w:rsidRDefault="00F35F16">
      <w:pPr>
        <w:tabs>
          <w:tab w:val="clear" w:pos="4320"/>
          <w:tab w:val="clear" w:pos="9072"/>
        </w:tabs>
        <w:spacing w:line="360" w:lineRule="auto"/>
        <w:jc w:val="both"/>
        <w:rPr>
          <w:lang w:eastAsia="zh-HK"/>
        </w:rPr>
      </w:pPr>
    </w:p>
    <w:p w:rsidR="00F35F16" w:rsidRDefault="00F35F16">
      <w:pPr>
        <w:tabs>
          <w:tab w:val="clear" w:pos="4320"/>
          <w:tab w:val="clear" w:pos="9072"/>
        </w:tabs>
        <w:spacing w:line="360" w:lineRule="auto"/>
        <w:jc w:val="both"/>
        <w:rPr>
          <w:lang w:eastAsia="zh-HK"/>
        </w:rPr>
      </w:pPr>
      <w:r>
        <w:rPr>
          <w:lang w:eastAsia="zh-HK"/>
        </w:rPr>
        <w:t>24.</w:t>
      </w:r>
      <w:r>
        <w:rPr>
          <w:lang w:eastAsia="zh-HK"/>
        </w:rPr>
        <w:tab/>
        <w:t>Against this sum, credit must be given for the employees’ compensation of $82,243 (together with interest thereon) already assessed and awarded by Her Honour Judge Mimmie Chan under DCEC No.504 of 2007.</w:t>
      </w:r>
    </w:p>
    <w:p w:rsidR="00F35F16" w:rsidRDefault="00F35F16">
      <w:pPr>
        <w:tabs>
          <w:tab w:val="clear" w:pos="4320"/>
          <w:tab w:val="clear" w:pos="9072"/>
        </w:tabs>
        <w:spacing w:line="360" w:lineRule="auto"/>
        <w:jc w:val="both"/>
        <w:rPr>
          <w:i/>
        </w:rPr>
      </w:pPr>
    </w:p>
    <w:p w:rsidR="00F35F16" w:rsidRDefault="00F35F16">
      <w:pPr>
        <w:tabs>
          <w:tab w:val="clear" w:pos="4320"/>
          <w:tab w:val="clear" w:pos="9072"/>
        </w:tabs>
        <w:spacing w:line="360" w:lineRule="auto"/>
        <w:jc w:val="both"/>
        <w:rPr>
          <w:i/>
        </w:rPr>
      </w:pPr>
      <w:r>
        <w:rPr>
          <w:i/>
        </w:rPr>
        <w:t>Interest</w:t>
      </w:r>
    </w:p>
    <w:p w:rsidR="00F35F16" w:rsidRDefault="00F35F16">
      <w:pPr>
        <w:tabs>
          <w:tab w:val="clear" w:pos="4320"/>
          <w:tab w:val="clear" w:pos="9072"/>
        </w:tabs>
        <w:spacing w:line="360" w:lineRule="auto"/>
        <w:jc w:val="both"/>
      </w:pPr>
    </w:p>
    <w:p w:rsidR="00F35F16" w:rsidRDefault="00F35F16">
      <w:pPr>
        <w:tabs>
          <w:tab w:val="clear" w:pos="4320"/>
          <w:tab w:val="clear" w:pos="9072"/>
        </w:tabs>
        <w:spacing w:line="360" w:lineRule="auto"/>
        <w:jc w:val="both"/>
        <w:rPr>
          <w:rFonts w:hint="eastAsia"/>
          <w:lang w:eastAsia="zh-HK"/>
        </w:rPr>
      </w:pPr>
      <w:r>
        <w:t>25.</w:t>
      </w:r>
      <w:r>
        <w:tab/>
      </w:r>
      <w:r>
        <w:rPr>
          <w:rFonts w:hint="eastAsia"/>
          <w:lang w:eastAsia="zh-HK"/>
        </w:rPr>
        <w:t>I also award interest at 2% per annum on general damages from the date of the writ to the date of judgment and thereafter at judgment rate. As for the damages for pre-trial loss of earnings and special damages, interest would be awarded on these damages at half judgment rate from the date of accident to the date of judgment and thereafter at judgment rate.</w:t>
      </w:r>
    </w:p>
    <w:p w:rsidR="00F35F16" w:rsidRDefault="00F35F16">
      <w:pPr>
        <w:tabs>
          <w:tab w:val="clear" w:pos="4320"/>
          <w:tab w:val="clear" w:pos="9072"/>
        </w:tabs>
        <w:spacing w:line="360" w:lineRule="auto"/>
        <w:jc w:val="both"/>
        <w:rPr>
          <w:i/>
          <w:lang w:eastAsia="zh-HK"/>
        </w:rPr>
      </w:pPr>
    </w:p>
    <w:p w:rsidR="00F35F16" w:rsidRDefault="00F35F16">
      <w:pPr>
        <w:tabs>
          <w:tab w:val="clear" w:pos="4320"/>
          <w:tab w:val="clear" w:pos="9072"/>
        </w:tabs>
        <w:spacing w:line="360" w:lineRule="auto"/>
        <w:jc w:val="both"/>
        <w:rPr>
          <w:i/>
          <w:lang w:eastAsia="zh-HK"/>
        </w:rPr>
      </w:pPr>
      <w:r>
        <w:rPr>
          <w:rFonts w:hint="eastAsia"/>
          <w:i/>
          <w:lang w:eastAsia="zh-HK"/>
        </w:rPr>
        <w:t>Costs</w:t>
      </w:r>
    </w:p>
    <w:p w:rsidR="00F35F16" w:rsidRDefault="00F35F16">
      <w:pPr>
        <w:tabs>
          <w:tab w:val="clear" w:pos="4320"/>
          <w:tab w:val="clear" w:pos="9072"/>
        </w:tabs>
        <w:spacing w:line="360" w:lineRule="auto"/>
        <w:jc w:val="both"/>
        <w:rPr>
          <w:lang w:eastAsia="zh-HK"/>
        </w:rPr>
      </w:pPr>
    </w:p>
    <w:p w:rsidR="00F35F16" w:rsidRDefault="00F35F16">
      <w:pPr>
        <w:tabs>
          <w:tab w:val="clear" w:pos="4320"/>
          <w:tab w:val="clear" w:pos="9072"/>
        </w:tabs>
        <w:spacing w:line="360" w:lineRule="auto"/>
        <w:jc w:val="both"/>
        <w:rPr>
          <w:rFonts w:hint="eastAsia"/>
          <w:lang w:eastAsia="zh-HK"/>
        </w:rPr>
      </w:pPr>
      <w:r>
        <w:rPr>
          <w:lang w:eastAsia="zh-HK"/>
        </w:rPr>
        <w:t>26</w:t>
      </w:r>
      <w:r>
        <w:rPr>
          <w:rFonts w:hint="eastAsia"/>
          <w:lang w:eastAsia="zh-HK"/>
        </w:rPr>
        <w:t>.</w:t>
      </w:r>
      <w:r>
        <w:rPr>
          <w:rFonts w:hint="eastAsia"/>
          <w:lang w:eastAsia="zh-HK"/>
        </w:rPr>
        <w:tab/>
        <w:t xml:space="preserve">The Plaintiff will have the costs of the action but in view of the amount of the award it seems to me that there must be on the District Court scale. Accordingly, I make an order </w:t>
      </w:r>
      <w:r>
        <w:rPr>
          <w:rFonts w:hint="eastAsia"/>
          <w:i/>
          <w:lang w:eastAsia="zh-HK"/>
        </w:rPr>
        <w:t>nisi</w:t>
      </w:r>
      <w:r>
        <w:rPr>
          <w:rFonts w:hint="eastAsia"/>
          <w:lang w:eastAsia="zh-HK"/>
        </w:rPr>
        <w:t xml:space="preserve"> that the </w:t>
      </w:r>
      <w:r>
        <w:rPr>
          <w:lang w:eastAsia="zh-HK"/>
        </w:rPr>
        <w:t>2</w:t>
      </w:r>
      <w:r>
        <w:rPr>
          <w:vertAlign w:val="superscript"/>
          <w:lang w:eastAsia="zh-HK"/>
        </w:rPr>
        <w:t>nd</w:t>
      </w:r>
      <w:r>
        <w:rPr>
          <w:lang w:eastAsia="zh-HK"/>
        </w:rPr>
        <w:t xml:space="preserve"> </w:t>
      </w:r>
      <w:r>
        <w:rPr>
          <w:rFonts w:hint="eastAsia"/>
          <w:lang w:eastAsia="zh-HK"/>
        </w:rPr>
        <w:t>Defendant do pay to the Plaintiff the costs of this action to be taxed on the District Court scale if not agreed.</w:t>
      </w:r>
    </w:p>
    <w:p w:rsidR="00F35F16" w:rsidRDefault="00F35F16">
      <w:pPr>
        <w:tabs>
          <w:tab w:val="clear" w:pos="4320"/>
          <w:tab w:val="clear" w:pos="9072"/>
        </w:tabs>
        <w:spacing w:line="360" w:lineRule="auto"/>
        <w:jc w:val="both"/>
      </w:pPr>
    </w:p>
    <w:p w:rsidR="00F35F16" w:rsidRDefault="00F35F16">
      <w:pPr>
        <w:tabs>
          <w:tab w:val="clear" w:pos="4320"/>
          <w:tab w:val="clear" w:pos="9072"/>
        </w:tabs>
        <w:spacing w:line="360" w:lineRule="auto"/>
        <w:jc w:val="both"/>
      </w:pPr>
    </w:p>
    <w:p w:rsidR="00F35F16" w:rsidRDefault="00F35F16">
      <w:pPr>
        <w:pStyle w:val="BodyText"/>
        <w:tabs>
          <w:tab w:val="left" w:pos="1440"/>
          <w:tab w:val="left" w:pos="2940"/>
        </w:tabs>
        <w:snapToGrid w:val="0"/>
        <w:spacing w:line="240" w:lineRule="auto"/>
        <w:ind w:right="746"/>
        <w:jc w:val="both"/>
        <w:rPr>
          <w:u w:val="single"/>
          <w:lang w:val="en-US"/>
        </w:rPr>
      </w:pPr>
    </w:p>
    <w:p w:rsidR="00F35F16" w:rsidRDefault="00F35F16">
      <w:pPr>
        <w:tabs>
          <w:tab w:val="clear" w:pos="4320"/>
          <w:tab w:val="clear" w:pos="9072"/>
        </w:tabs>
        <w:spacing w:line="480" w:lineRule="auto"/>
        <w:jc w:val="both"/>
      </w:pPr>
    </w:p>
    <w:p w:rsidR="00F35F16" w:rsidRDefault="00F35F16">
      <w:pPr>
        <w:tabs>
          <w:tab w:val="clear" w:pos="1440"/>
          <w:tab w:val="clear" w:pos="4320"/>
          <w:tab w:val="clear" w:pos="9072"/>
          <w:tab w:val="center" w:pos="5460"/>
        </w:tabs>
        <w:jc w:val="both"/>
      </w:pPr>
      <w:r>
        <w:tab/>
        <w:t>( Edward Shum )</w:t>
      </w:r>
    </w:p>
    <w:p w:rsidR="00F35F16" w:rsidRDefault="00F35F16">
      <w:pPr>
        <w:pStyle w:val="BodyText3"/>
      </w:pPr>
      <w:r>
        <w:tab/>
        <w:t>Deputy District Court Judge</w:t>
      </w:r>
    </w:p>
    <w:p w:rsidR="00F35F16" w:rsidRDefault="00F35F16">
      <w:pPr>
        <w:pStyle w:val="BodyText"/>
        <w:tabs>
          <w:tab w:val="left" w:pos="1440"/>
          <w:tab w:val="left" w:pos="2940"/>
        </w:tabs>
        <w:snapToGrid w:val="0"/>
        <w:spacing w:line="240" w:lineRule="auto"/>
        <w:ind w:right="746"/>
        <w:jc w:val="both"/>
        <w:rPr>
          <w:u w:val="single"/>
          <w:lang w:val="en-US"/>
        </w:rPr>
      </w:pPr>
    </w:p>
    <w:p w:rsidR="00F35F16" w:rsidRDefault="00F35F16">
      <w:pPr>
        <w:pStyle w:val="BodyText"/>
        <w:tabs>
          <w:tab w:val="left" w:pos="1440"/>
        </w:tabs>
      </w:pPr>
    </w:p>
    <w:p w:rsidR="00F35F16" w:rsidRDefault="00F35F16">
      <w:pPr>
        <w:pStyle w:val="BodyText"/>
        <w:tabs>
          <w:tab w:val="left" w:pos="1440"/>
        </w:tabs>
        <w:rPr>
          <w:u w:val="single"/>
        </w:rPr>
      </w:pPr>
    </w:p>
    <w:p w:rsidR="00F35F16" w:rsidRDefault="00F35F16">
      <w:pPr>
        <w:pStyle w:val="BodyText"/>
        <w:tabs>
          <w:tab w:val="left" w:pos="1440"/>
        </w:tabs>
      </w:pPr>
      <w:r>
        <w:rPr>
          <w:u w:val="single"/>
        </w:rPr>
        <w:t>Legal Representation</w:t>
      </w:r>
    </w:p>
    <w:p w:rsidR="00F35F16" w:rsidRDefault="00F35F16">
      <w:pPr>
        <w:pStyle w:val="BodyText"/>
        <w:tabs>
          <w:tab w:val="left" w:pos="1440"/>
        </w:tabs>
      </w:pPr>
      <w:r>
        <w:t>Mr. Henry Chung, of Messrs. Yip, Tse &amp; Tang (assigned by DLA), for the Plaintiff</w:t>
      </w:r>
    </w:p>
    <w:p w:rsidR="00F35F16" w:rsidRDefault="00F35F16">
      <w:pPr>
        <w:pStyle w:val="BodyText"/>
        <w:tabs>
          <w:tab w:val="left" w:pos="1440"/>
        </w:tabs>
      </w:pPr>
      <w:r>
        <w:t>Taste Interiors Limited, in person, absent</w:t>
      </w:r>
    </w:p>
    <w:sectPr w:rsidR="00000000">
      <w:headerReference w:type="default" r:id="rId10"/>
      <w:type w:val="continuous"/>
      <w:pgSz w:w="11906" w:h="16838" w:code="9"/>
      <w:pgMar w:top="1797" w:right="1797" w:bottom="1797" w:left="1797" w:header="862"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35F16" w:rsidRDefault="00F35F16">
      <w:r>
        <w:separator/>
      </w:r>
    </w:p>
  </w:endnote>
  <w:endnote w:type="continuationSeparator" w:id="0">
    <w:p w:rsidR="00F35F16" w:rsidRDefault="00F35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5F16" w:rsidRDefault="00F35F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35F16" w:rsidRDefault="00F35F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5F16" w:rsidRDefault="00F35F16">
    <w:pPr>
      <w:pStyle w:val="Footer"/>
      <w:framePr w:wrap="around" w:vAnchor="text" w:hAnchor="margin" w:xAlign="right" w:y="1"/>
      <w:rPr>
        <w:rStyle w:val="PageNumber"/>
      </w:rPr>
    </w:pPr>
  </w:p>
  <w:p w:rsidR="00F35F16" w:rsidRDefault="00F35F16">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35F16" w:rsidRDefault="00F35F16">
      <w:r>
        <w:separator/>
      </w:r>
    </w:p>
  </w:footnote>
  <w:footnote w:type="continuationSeparator" w:id="0">
    <w:p w:rsidR="00F35F16" w:rsidRDefault="00F35F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5F16" w:rsidRDefault="00F35F16">
    <w:pPr>
      <w:pStyle w:val="Header"/>
      <w:rPr>
        <w:rFonts w:hint="eastAsia"/>
      </w:rPr>
    </w:pPr>
    <w:r>
      <w:rPr>
        <w:noProof/>
        <w:sz w:val="20"/>
      </w:rPr>
    </w:r>
    <w:r w:rsidR="00F35F16">
      <w:rPr>
        <w:noProof/>
        <w:sz w:val="20"/>
      </w:rPr>
      <w:pict>
        <v:shapetype id="_x0000_t202" coordsize="21600,21600" o:spt="202" path="m,l,21600r21600,l21600,xe">
          <v:stroke joinstyle="miter"/>
          <v:path gradientshapeok="t" o:connecttype="rect"/>
        </v:shapetype>
        <v:shape id="_x0000_s1035" type="#_x0000_t202" alt="" style="position:absolute;left:0;text-align:left;margin-left:-63pt;margin-top:12.05pt;width:27pt;height:783pt;z-index:251658240;mso-wrap-style:square;mso-wrap-edited:f;mso-width-percent:0;mso-height-percent:0;mso-width-percent:0;mso-height-percent:0;v-text-anchor:top" o:allowincell="f" stroked="f">
          <v:textbox style="mso-next-textbox:#_x0000_s1035">
            <w:txbxContent>
              <w:p w:rsidR="00F35F16" w:rsidRDefault="00F35F16">
                <w:pPr>
                  <w:rPr>
                    <w:rFonts w:hint="eastAsia"/>
                    <w:b/>
                    <w:sz w:val="20"/>
                  </w:rPr>
                </w:pPr>
                <w:r>
                  <w:rPr>
                    <w:rFonts w:hint="eastAsia"/>
                    <w:b/>
                    <w:sz w:val="20"/>
                  </w:rPr>
                  <w:t>A</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20"/>
                  </w:rPr>
                </w:pPr>
                <w:r>
                  <w:rPr>
                    <w:rFonts w:hint="eastAsia"/>
                    <w:b/>
                    <w:sz w:val="20"/>
                  </w:rPr>
                  <w:t>B</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C</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pStyle w:val="Heading2"/>
                  <w:rPr>
                    <w:rFonts w:hint="eastAsia"/>
                    <w:sz w:val="16"/>
                  </w:rPr>
                </w:pPr>
                <w:r>
                  <w:rPr>
                    <w:rFonts w:hint="eastAsia"/>
                  </w:rPr>
                  <w:t>D</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E</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20"/>
                  </w:rPr>
                </w:pPr>
                <w:r>
                  <w:rPr>
                    <w:rFonts w:hint="eastAsia"/>
                    <w:b/>
                    <w:sz w:val="20"/>
                  </w:rPr>
                  <w:t>F</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G</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H</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I</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J</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K</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L</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M</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N</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O</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P</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Q</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R</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S</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T</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U</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pStyle w:val="Heading3"/>
                  <w:jc w:val="left"/>
                  <w:rPr>
                    <w:rFonts w:hint="eastAsia"/>
                  </w:rPr>
                </w:pPr>
                <w:r>
                  <w:rPr>
                    <w:rFonts w:hint="eastAsia"/>
                  </w:rPr>
                  <w:t>V</w:t>
                </w:r>
              </w:p>
            </w:txbxContent>
          </v:textbox>
        </v:shape>
      </w:pict>
    </w:r>
    <w:r>
      <w:rPr>
        <w:noProof/>
        <w:sz w:val="20"/>
      </w:rPr>
    </w:r>
    <w:r w:rsidR="00F35F16">
      <w:rPr>
        <w:noProof/>
        <w:sz w:val="20"/>
      </w:rPr>
      <w:pict>
        <v:shape id="_x0000_s1037" type="#_x0000_t202" alt="" style="position:absolute;left:0;text-align:left;margin-left:-63pt;margin-top:-19.15pt;width:45pt;height:23.4pt;z-index:251660288;mso-wrap-style:square;mso-wrap-edited:f;mso-width-percent:0;mso-height-percent:0;mso-width-percent:0;mso-height-percent:0;v-text-anchor:top" o:allowincell="f" stroked="f">
          <v:textbox style="mso-next-textbox:#_x0000_s1037">
            <w:txbxContent>
              <w:p w:rsidR="00F35F16" w:rsidRDefault="00F35F16">
                <w:pPr>
                  <w:rPr>
                    <w:rFonts w:eastAsia="SimHei" w:hint="eastAsia"/>
                    <w:b/>
                    <w:sz w:val="18"/>
                  </w:rPr>
                </w:pPr>
                <w:r>
                  <w:rPr>
                    <w:rFonts w:eastAsia="SimHei" w:hint="eastAsia"/>
                    <w:b/>
                    <w:sz w:val="18"/>
                  </w:rPr>
                  <w:t>由此</w:t>
                </w:r>
              </w:p>
            </w:txbxContent>
          </v:textbox>
        </v:shape>
      </w:pict>
    </w:r>
    <w:r>
      <w:rPr>
        <w:noProof/>
        <w:sz w:val="20"/>
      </w:rPr>
    </w:r>
    <w:r w:rsidR="00F35F16">
      <w:rPr>
        <w:noProof/>
        <w:sz w:val="20"/>
      </w:rPr>
      <w:pict>
        <v:shape id="_x0000_s1036" type="#_x0000_t202" alt="" style="position:absolute;left:0;text-align:left;margin-left:471.4pt;margin-top:12.25pt;width:32.6pt;height:11in;z-index:251659264;mso-wrap-style:square;mso-wrap-edited:f;mso-width-percent:0;mso-height-percent:0;mso-width-percent:0;mso-height-percent:0;v-text-anchor:top" o:allowincell="f" stroked="f">
          <v:textbox style="mso-next-textbox:#_x0000_s1036">
            <w:txbxContent>
              <w:p w:rsidR="00F35F16" w:rsidRDefault="00F35F16">
                <w:pPr>
                  <w:rPr>
                    <w:rFonts w:hint="eastAsia"/>
                    <w:b/>
                    <w:sz w:val="20"/>
                  </w:rPr>
                </w:pPr>
                <w:r>
                  <w:rPr>
                    <w:rFonts w:hint="eastAsia"/>
                    <w:b/>
                    <w:sz w:val="20"/>
                  </w:rPr>
                  <w:t>A</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20"/>
                  </w:rPr>
                </w:pPr>
                <w:r>
                  <w:rPr>
                    <w:rFonts w:hint="eastAsia"/>
                    <w:b/>
                    <w:sz w:val="20"/>
                  </w:rPr>
                  <w:t>B</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C</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pStyle w:val="Heading2"/>
                  <w:rPr>
                    <w:rFonts w:hint="eastAsia"/>
                    <w:sz w:val="16"/>
                  </w:rPr>
                </w:pPr>
                <w:r>
                  <w:rPr>
                    <w:rFonts w:hint="eastAsia"/>
                  </w:rPr>
                  <w:t>D</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E</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20"/>
                  </w:rPr>
                </w:pPr>
                <w:r>
                  <w:rPr>
                    <w:rFonts w:hint="eastAsia"/>
                    <w:b/>
                    <w:sz w:val="20"/>
                  </w:rPr>
                  <w:t>F</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G</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H</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I</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J</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K</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L</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M</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N</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O</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P</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Q</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R</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S</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T</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U</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5F16" w:rsidRDefault="00F35F16">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13</w:t>
    </w:r>
    <w:r>
      <w:rPr>
        <w:rStyle w:val="PageNumber"/>
        <w:sz w:val="28"/>
      </w:rPr>
      <w:fldChar w:fldCharType="end"/>
    </w:r>
    <w:r>
      <w:rPr>
        <w:rStyle w:val="PageNumber"/>
        <w:rFonts w:hint="eastAsia"/>
        <w:sz w:val="28"/>
      </w:rPr>
      <w:t xml:space="preserve">  -</w:t>
    </w:r>
    <w:r>
      <w:rPr>
        <w:noProof/>
        <w:sz w:val="28"/>
      </w:rPr>
    </w:r>
    <w:r w:rsidR="00F35F16">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5168;mso-wrap-style:square;mso-wrap-edited:f;mso-width-percent:0;mso-height-percent:0;mso-position-horizontal-relative:text;mso-position-vertical-relative:text;mso-width-percent:0;mso-height-percent:0;v-text-anchor:top" o:allowincell="f" stroked="f">
          <v:textbox style="mso-next-textbox:#_x0000_s1028">
            <w:txbxContent>
              <w:p w:rsidR="00F35F16" w:rsidRDefault="00F35F16">
                <w:pPr>
                  <w:rPr>
                    <w:rFonts w:hint="eastAsia"/>
                    <w:b/>
                    <w:sz w:val="20"/>
                  </w:rPr>
                </w:pPr>
                <w:r>
                  <w:rPr>
                    <w:rFonts w:hint="eastAsia"/>
                    <w:b/>
                    <w:sz w:val="20"/>
                  </w:rPr>
                  <w:t>A</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20"/>
                  </w:rPr>
                </w:pPr>
                <w:r>
                  <w:rPr>
                    <w:rFonts w:hint="eastAsia"/>
                    <w:b/>
                    <w:sz w:val="20"/>
                  </w:rPr>
                  <w:t>B</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C</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pStyle w:val="Heading2"/>
                  <w:rPr>
                    <w:rFonts w:hint="eastAsia"/>
                    <w:sz w:val="16"/>
                  </w:rPr>
                </w:pPr>
                <w:r>
                  <w:rPr>
                    <w:rFonts w:hint="eastAsia"/>
                  </w:rPr>
                  <w:t>D</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E</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20"/>
                  </w:rPr>
                </w:pPr>
                <w:r>
                  <w:rPr>
                    <w:rFonts w:hint="eastAsia"/>
                    <w:b/>
                    <w:sz w:val="20"/>
                  </w:rPr>
                  <w:t>F</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G</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H</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I</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J</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K</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L</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M</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N</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O</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P</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Q</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R</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S</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T</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U</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pStyle w:val="Heading3"/>
                  <w:jc w:val="left"/>
                  <w:rPr>
                    <w:rFonts w:hint="eastAsia"/>
                  </w:rPr>
                </w:pPr>
                <w:r>
                  <w:rPr>
                    <w:rFonts w:hint="eastAsia"/>
                  </w:rPr>
                  <w:t>V</w:t>
                </w:r>
              </w:p>
            </w:txbxContent>
          </v:textbox>
        </v:shape>
      </w:pict>
    </w:r>
    <w:r>
      <w:rPr>
        <w:noProof/>
        <w:sz w:val="28"/>
      </w:rPr>
    </w:r>
    <w:r w:rsidR="00F35F16">
      <w:rPr>
        <w:noProof/>
        <w:sz w:val="28"/>
      </w:rPr>
      <w:pict>
        <v:shape id="_x0000_s1030" type="#_x0000_t202" alt="" style="position:absolute;left:0;text-align:left;margin-left:-63pt;margin-top:-19.15pt;width:45pt;height:23.4pt;z-index:251657216;mso-wrap-style:square;mso-wrap-edited:f;mso-width-percent:0;mso-height-percent:0;mso-position-horizontal-relative:text;mso-position-vertical-relative:text;mso-width-percent:0;mso-height-percent:0;v-text-anchor:top" o:allowincell="f" stroked="f">
          <v:textbox style="mso-next-textbox:#_x0000_s1030">
            <w:txbxContent>
              <w:p w:rsidR="00F35F16" w:rsidRDefault="00F35F16">
                <w:pPr>
                  <w:rPr>
                    <w:rFonts w:eastAsia="SimHei" w:hint="eastAsia"/>
                    <w:b/>
                    <w:sz w:val="18"/>
                  </w:rPr>
                </w:pPr>
                <w:r>
                  <w:rPr>
                    <w:rFonts w:eastAsia="SimHei" w:hint="eastAsia"/>
                    <w:b/>
                    <w:sz w:val="18"/>
                  </w:rPr>
                  <w:t>由此</w:t>
                </w:r>
              </w:p>
            </w:txbxContent>
          </v:textbox>
        </v:shape>
      </w:pict>
    </w:r>
    <w:r>
      <w:rPr>
        <w:noProof/>
        <w:sz w:val="28"/>
      </w:rPr>
    </w:r>
    <w:r w:rsidR="00F35F16">
      <w:rPr>
        <w:noProof/>
        <w:sz w:val="28"/>
      </w:rPr>
      <w:pict>
        <v:shape id="_x0000_s1029" type="#_x0000_t202" alt="" style="position:absolute;left:0;text-align:left;margin-left:471.4pt;margin-top:12.25pt;width:32.6pt;height:11in;z-index:251656192;mso-wrap-style:square;mso-wrap-edited:f;mso-width-percent:0;mso-height-percent:0;mso-position-horizontal-relative:text;mso-position-vertical-relative:text;mso-width-percent:0;mso-height-percent:0;v-text-anchor:top" o:allowincell="f" stroked="f">
          <v:textbox style="mso-next-textbox:#_x0000_s1029">
            <w:txbxContent>
              <w:p w:rsidR="00F35F16" w:rsidRDefault="00F35F16">
                <w:pPr>
                  <w:rPr>
                    <w:rFonts w:hint="eastAsia"/>
                    <w:b/>
                    <w:sz w:val="20"/>
                  </w:rPr>
                </w:pPr>
                <w:r>
                  <w:rPr>
                    <w:rFonts w:hint="eastAsia"/>
                    <w:b/>
                    <w:sz w:val="20"/>
                  </w:rPr>
                  <w:t>A</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20"/>
                  </w:rPr>
                </w:pPr>
                <w:r>
                  <w:rPr>
                    <w:rFonts w:hint="eastAsia"/>
                    <w:b/>
                    <w:sz w:val="20"/>
                  </w:rPr>
                  <w:t>B</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C</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pStyle w:val="Heading2"/>
                  <w:rPr>
                    <w:rFonts w:hint="eastAsia"/>
                    <w:sz w:val="16"/>
                  </w:rPr>
                </w:pPr>
                <w:r>
                  <w:rPr>
                    <w:rFonts w:hint="eastAsia"/>
                  </w:rPr>
                  <w:t>D</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E</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20"/>
                  </w:rPr>
                </w:pPr>
                <w:r>
                  <w:rPr>
                    <w:rFonts w:hint="eastAsia"/>
                    <w:b/>
                    <w:sz w:val="20"/>
                  </w:rPr>
                  <w:t>F</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G</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H</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I</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J</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K</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L</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M</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N</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O</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P</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Q</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R</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S</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T</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rPr>
                    <w:rFonts w:hint="eastAsia"/>
                    <w:b/>
                    <w:sz w:val="16"/>
                  </w:rPr>
                </w:pPr>
                <w:r>
                  <w:rPr>
                    <w:rFonts w:hint="eastAsia"/>
                    <w:b/>
                    <w:sz w:val="20"/>
                  </w:rPr>
                  <w:t>U</w:t>
                </w:r>
              </w:p>
              <w:p w:rsidR="00F35F16" w:rsidRDefault="00F35F16">
                <w:pPr>
                  <w:rPr>
                    <w:rFonts w:hint="eastAsia"/>
                    <w:b/>
                    <w:sz w:val="10"/>
                  </w:rPr>
                </w:pPr>
              </w:p>
              <w:p w:rsidR="00F35F16" w:rsidRDefault="00F35F16">
                <w:pPr>
                  <w:rPr>
                    <w:rFonts w:hint="eastAsia"/>
                    <w:b/>
                    <w:sz w:val="16"/>
                  </w:rPr>
                </w:pPr>
              </w:p>
              <w:p w:rsidR="00F35F16" w:rsidRDefault="00F35F16">
                <w:pPr>
                  <w:rPr>
                    <w:rFonts w:hint="eastAsia"/>
                    <w:b/>
                    <w:sz w:val="16"/>
                  </w:rPr>
                </w:pPr>
              </w:p>
              <w:p w:rsidR="00F35F16" w:rsidRDefault="00F35F16">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10401A5C"/>
    <w:multiLevelType w:val="hybridMultilevel"/>
    <w:tmpl w:val="6AACE96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5"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6"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7"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81E5E73"/>
    <w:multiLevelType w:val="hybridMultilevel"/>
    <w:tmpl w:val="39665074"/>
    <w:lvl w:ilvl="0" w:tplc="26BE8C1E">
      <w:start w:val="1"/>
      <w:numFmt w:val="decimal"/>
      <w:lvlText w:val="%1."/>
      <w:lvlJc w:val="left"/>
      <w:pPr>
        <w:tabs>
          <w:tab w:val="num" w:pos="360"/>
        </w:tabs>
        <w:ind w:left="0" w:firstLine="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2"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4"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312101A8"/>
    <w:multiLevelType w:val="hybridMultilevel"/>
    <w:tmpl w:val="9F0AEEB8"/>
    <w:lvl w:ilvl="0" w:tplc="337207AC">
      <w:start w:val="2"/>
      <w:numFmt w:val="decimal"/>
      <w:lvlText w:val="%1."/>
      <w:lvlJc w:val="left"/>
      <w:pPr>
        <w:tabs>
          <w:tab w:val="num" w:pos="1900"/>
        </w:tabs>
        <w:ind w:left="1900" w:hanging="360"/>
      </w:pPr>
      <w:rPr>
        <w:rFonts w:hint="default"/>
      </w:rPr>
    </w:lvl>
    <w:lvl w:ilvl="1" w:tplc="04090019" w:tentative="1">
      <w:start w:val="1"/>
      <w:numFmt w:val="lowerLetter"/>
      <w:lvlText w:val="%2."/>
      <w:lvlJc w:val="left"/>
      <w:pPr>
        <w:tabs>
          <w:tab w:val="num" w:pos="2620"/>
        </w:tabs>
        <w:ind w:left="2620" w:hanging="360"/>
      </w:pPr>
    </w:lvl>
    <w:lvl w:ilvl="2" w:tplc="0409001B" w:tentative="1">
      <w:start w:val="1"/>
      <w:numFmt w:val="lowerRoman"/>
      <w:lvlText w:val="%3."/>
      <w:lvlJc w:val="right"/>
      <w:pPr>
        <w:tabs>
          <w:tab w:val="num" w:pos="3340"/>
        </w:tabs>
        <w:ind w:left="3340" w:hanging="180"/>
      </w:pPr>
    </w:lvl>
    <w:lvl w:ilvl="3" w:tplc="0409000F" w:tentative="1">
      <w:start w:val="1"/>
      <w:numFmt w:val="decimal"/>
      <w:lvlText w:val="%4."/>
      <w:lvlJc w:val="left"/>
      <w:pPr>
        <w:tabs>
          <w:tab w:val="num" w:pos="4060"/>
        </w:tabs>
        <w:ind w:left="4060" w:hanging="360"/>
      </w:pPr>
    </w:lvl>
    <w:lvl w:ilvl="4" w:tplc="04090019" w:tentative="1">
      <w:start w:val="1"/>
      <w:numFmt w:val="lowerLetter"/>
      <w:lvlText w:val="%5."/>
      <w:lvlJc w:val="left"/>
      <w:pPr>
        <w:tabs>
          <w:tab w:val="num" w:pos="4780"/>
        </w:tabs>
        <w:ind w:left="4780" w:hanging="360"/>
      </w:pPr>
    </w:lvl>
    <w:lvl w:ilvl="5" w:tplc="0409001B" w:tentative="1">
      <w:start w:val="1"/>
      <w:numFmt w:val="lowerRoman"/>
      <w:lvlText w:val="%6."/>
      <w:lvlJc w:val="right"/>
      <w:pPr>
        <w:tabs>
          <w:tab w:val="num" w:pos="5500"/>
        </w:tabs>
        <w:ind w:left="5500" w:hanging="180"/>
      </w:pPr>
    </w:lvl>
    <w:lvl w:ilvl="6" w:tplc="0409000F" w:tentative="1">
      <w:start w:val="1"/>
      <w:numFmt w:val="decimal"/>
      <w:lvlText w:val="%7."/>
      <w:lvlJc w:val="left"/>
      <w:pPr>
        <w:tabs>
          <w:tab w:val="num" w:pos="6220"/>
        </w:tabs>
        <w:ind w:left="6220" w:hanging="360"/>
      </w:pPr>
    </w:lvl>
    <w:lvl w:ilvl="7" w:tplc="04090019" w:tentative="1">
      <w:start w:val="1"/>
      <w:numFmt w:val="lowerLetter"/>
      <w:lvlText w:val="%8."/>
      <w:lvlJc w:val="left"/>
      <w:pPr>
        <w:tabs>
          <w:tab w:val="num" w:pos="6940"/>
        </w:tabs>
        <w:ind w:left="6940" w:hanging="360"/>
      </w:pPr>
    </w:lvl>
    <w:lvl w:ilvl="8" w:tplc="0409001B" w:tentative="1">
      <w:start w:val="1"/>
      <w:numFmt w:val="lowerRoman"/>
      <w:lvlText w:val="%9."/>
      <w:lvlJc w:val="right"/>
      <w:pPr>
        <w:tabs>
          <w:tab w:val="num" w:pos="7660"/>
        </w:tabs>
        <w:ind w:left="7660" w:hanging="180"/>
      </w:pPr>
    </w:lvl>
  </w:abstractNum>
  <w:abstractNum w:abstractNumId="18"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0"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1"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2"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3"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4"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25"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26"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15:restartNumberingAfterBreak="0">
    <w:nsid w:val="4E4A3996"/>
    <w:multiLevelType w:val="hybridMultilevel"/>
    <w:tmpl w:val="8DF2F472"/>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574C9030">
      <w:start w:val="1"/>
      <w:numFmt w:val="lowerRoman"/>
      <w:lvlText w:val="(%4)"/>
      <w:lvlJc w:val="left"/>
      <w:pPr>
        <w:tabs>
          <w:tab w:val="num" w:pos="5220"/>
        </w:tabs>
        <w:ind w:left="5220" w:hanging="720"/>
      </w:pPr>
      <w:rPr>
        <w:rFonts w:hint="default"/>
      </w:r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29"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0"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5D264B61"/>
    <w:multiLevelType w:val="hybridMultilevel"/>
    <w:tmpl w:val="E4CE76CE"/>
    <w:lvl w:ilvl="0" w:tplc="407E9CCC">
      <w:start w:val="7"/>
      <w:numFmt w:val="lowerLetter"/>
      <w:lvlText w:val="(%1)"/>
      <w:lvlJc w:val="left"/>
      <w:pPr>
        <w:tabs>
          <w:tab w:val="num" w:pos="2465"/>
        </w:tabs>
        <w:ind w:left="2465" w:hanging="360"/>
      </w:pPr>
      <w:rPr>
        <w:rFonts w:hint="default"/>
      </w:rPr>
    </w:lvl>
    <w:lvl w:ilvl="1" w:tplc="04090019" w:tentative="1">
      <w:start w:val="1"/>
      <w:numFmt w:val="lowerLetter"/>
      <w:lvlText w:val="%2."/>
      <w:lvlJc w:val="left"/>
      <w:pPr>
        <w:tabs>
          <w:tab w:val="num" w:pos="3185"/>
        </w:tabs>
        <w:ind w:left="3185" w:hanging="360"/>
      </w:pPr>
    </w:lvl>
    <w:lvl w:ilvl="2" w:tplc="0409001B" w:tentative="1">
      <w:start w:val="1"/>
      <w:numFmt w:val="lowerRoman"/>
      <w:lvlText w:val="%3."/>
      <w:lvlJc w:val="right"/>
      <w:pPr>
        <w:tabs>
          <w:tab w:val="num" w:pos="3905"/>
        </w:tabs>
        <w:ind w:left="3905" w:hanging="180"/>
      </w:pPr>
    </w:lvl>
    <w:lvl w:ilvl="3" w:tplc="0409000F" w:tentative="1">
      <w:start w:val="1"/>
      <w:numFmt w:val="decimal"/>
      <w:lvlText w:val="%4."/>
      <w:lvlJc w:val="left"/>
      <w:pPr>
        <w:tabs>
          <w:tab w:val="num" w:pos="4625"/>
        </w:tabs>
        <w:ind w:left="4625" w:hanging="360"/>
      </w:pPr>
    </w:lvl>
    <w:lvl w:ilvl="4" w:tplc="04090019" w:tentative="1">
      <w:start w:val="1"/>
      <w:numFmt w:val="lowerLetter"/>
      <w:lvlText w:val="%5."/>
      <w:lvlJc w:val="left"/>
      <w:pPr>
        <w:tabs>
          <w:tab w:val="num" w:pos="5345"/>
        </w:tabs>
        <w:ind w:left="5345" w:hanging="360"/>
      </w:pPr>
    </w:lvl>
    <w:lvl w:ilvl="5" w:tplc="0409001B" w:tentative="1">
      <w:start w:val="1"/>
      <w:numFmt w:val="lowerRoman"/>
      <w:lvlText w:val="%6."/>
      <w:lvlJc w:val="right"/>
      <w:pPr>
        <w:tabs>
          <w:tab w:val="num" w:pos="6065"/>
        </w:tabs>
        <w:ind w:left="6065" w:hanging="180"/>
      </w:pPr>
    </w:lvl>
    <w:lvl w:ilvl="6" w:tplc="0409000F" w:tentative="1">
      <w:start w:val="1"/>
      <w:numFmt w:val="decimal"/>
      <w:lvlText w:val="%7."/>
      <w:lvlJc w:val="left"/>
      <w:pPr>
        <w:tabs>
          <w:tab w:val="num" w:pos="6785"/>
        </w:tabs>
        <w:ind w:left="6785" w:hanging="360"/>
      </w:pPr>
    </w:lvl>
    <w:lvl w:ilvl="7" w:tplc="04090019" w:tentative="1">
      <w:start w:val="1"/>
      <w:numFmt w:val="lowerLetter"/>
      <w:lvlText w:val="%8."/>
      <w:lvlJc w:val="left"/>
      <w:pPr>
        <w:tabs>
          <w:tab w:val="num" w:pos="7505"/>
        </w:tabs>
        <w:ind w:left="7505" w:hanging="360"/>
      </w:pPr>
    </w:lvl>
    <w:lvl w:ilvl="8" w:tplc="0409001B" w:tentative="1">
      <w:start w:val="1"/>
      <w:numFmt w:val="lowerRoman"/>
      <w:lvlText w:val="%9."/>
      <w:lvlJc w:val="right"/>
      <w:pPr>
        <w:tabs>
          <w:tab w:val="num" w:pos="8225"/>
        </w:tabs>
        <w:ind w:left="8225" w:hanging="180"/>
      </w:pPr>
    </w:lvl>
  </w:abstractNum>
  <w:abstractNum w:abstractNumId="33" w15:restartNumberingAfterBreak="0">
    <w:nsid w:val="5F050615"/>
    <w:multiLevelType w:val="hybridMultilevel"/>
    <w:tmpl w:val="A7CA5924"/>
    <w:lvl w:ilvl="0" w:tplc="765E4EE2">
      <w:start w:val="2"/>
      <w:numFmt w:val="decimal"/>
      <w:lvlText w:val="(%1)"/>
      <w:lvlJc w:val="left"/>
      <w:pPr>
        <w:tabs>
          <w:tab w:val="num" w:pos="1860"/>
        </w:tabs>
        <w:ind w:left="1860" w:hanging="360"/>
      </w:pPr>
      <w:rPr>
        <w:rFonts w:hint="default"/>
      </w:rPr>
    </w:lvl>
    <w:lvl w:ilvl="1" w:tplc="04090019" w:tentative="1">
      <w:start w:val="1"/>
      <w:numFmt w:val="lowerLetter"/>
      <w:lvlText w:val="%2."/>
      <w:lvlJc w:val="left"/>
      <w:pPr>
        <w:tabs>
          <w:tab w:val="num" w:pos="2580"/>
        </w:tabs>
        <w:ind w:left="2580" w:hanging="360"/>
      </w:pPr>
    </w:lvl>
    <w:lvl w:ilvl="2" w:tplc="0409001B" w:tentative="1">
      <w:start w:val="1"/>
      <w:numFmt w:val="lowerRoman"/>
      <w:lvlText w:val="%3."/>
      <w:lvlJc w:val="right"/>
      <w:pPr>
        <w:tabs>
          <w:tab w:val="num" w:pos="3300"/>
        </w:tabs>
        <w:ind w:left="3300" w:hanging="180"/>
      </w:pPr>
    </w:lvl>
    <w:lvl w:ilvl="3" w:tplc="0409000F" w:tentative="1">
      <w:start w:val="1"/>
      <w:numFmt w:val="decimal"/>
      <w:lvlText w:val="%4."/>
      <w:lvlJc w:val="left"/>
      <w:pPr>
        <w:tabs>
          <w:tab w:val="num" w:pos="4020"/>
        </w:tabs>
        <w:ind w:left="4020" w:hanging="360"/>
      </w:pPr>
    </w:lvl>
    <w:lvl w:ilvl="4" w:tplc="04090019" w:tentative="1">
      <w:start w:val="1"/>
      <w:numFmt w:val="lowerLetter"/>
      <w:lvlText w:val="%5."/>
      <w:lvlJc w:val="left"/>
      <w:pPr>
        <w:tabs>
          <w:tab w:val="num" w:pos="4740"/>
        </w:tabs>
        <w:ind w:left="4740" w:hanging="360"/>
      </w:pPr>
    </w:lvl>
    <w:lvl w:ilvl="5" w:tplc="0409001B" w:tentative="1">
      <w:start w:val="1"/>
      <w:numFmt w:val="lowerRoman"/>
      <w:lvlText w:val="%6."/>
      <w:lvlJc w:val="right"/>
      <w:pPr>
        <w:tabs>
          <w:tab w:val="num" w:pos="5460"/>
        </w:tabs>
        <w:ind w:left="5460" w:hanging="180"/>
      </w:pPr>
    </w:lvl>
    <w:lvl w:ilvl="6" w:tplc="0409000F" w:tentative="1">
      <w:start w:val="1"/>
      <w:numFmt w:val="decimal"/>
      <w:lvlText w:val="%7."/>
      <w:lvlJc w:val="left"/>
      <w:pPr>
        <w:tabs>
          <w:tab w:val="num" w:pos="6180"/>
        </w:tabs>
        <w:ind w:left="6180" w:hanging="360"/>
      </w:pPr>
    </w:lvl>
    <w:lvl w:ilvl="7" w:tplc="04090019" w:tentative="1">
      <w:start w:val="1"/>
      <w:numFmt w:val="lowerLetter"/>
      <w:lvlText w:val="%8."/>
      <w:lvlJc w:val="left"/>
      <w:pPr>
        <w:tabs>
          <w:tab w:val="num" w:pos="6900"/>
        </w:tabs>
        <w:ind w:left="6900" w:hanging="360"/>
      </w:pPr>
    </w:lvl>
    <w:lvl w:ilvl="8" w:tplc="0409001B" w:tentative="1">
      <w:start w:val="1"/>
      <w:numFmt w:val="lowerRoman"/>
      <w:lvlText w:val="%9."/>
      <w:lvlJc w:val="right"/>
      <w:pPr>
        <w:tabs>
          <w:tab w:val="num" w:pos="7620"/>
        </w:tabs>
        <w:ind w:left="7620" w:hanging="180"/>
      </w:pPr>
    </w:lvl>
  </w:abstractNum>
  <w:abstractNum w:abstractNumId="34" w15:restartNumberingAfterBreak="0">
    <w:nsid w:val="5F086DF4"/>
    <w:multiLevelType w:val="hybridMultilevel"/>
    <w:tmpl w:val="8516104E"/>
    <w:lvl w:ilvl="0" w:tplc="C6F688B2">
      <w:start w:val="1"/>
      <w:numFmt w:val="decimal"/>
      <w:lvlText w:val="%1."/>
      <w:lvlJc w:val="left"/>
      <w:pPr>
        <w:tabs>
          <w:tab w:val="num" w:pos="2235"/>
        </w:tabs>
        <w:ind w:left="2235" w:hanging="79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5"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36"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7"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8" w15:restartNumberingAfterBreak="0">
    <w:nsid w:val="6DB6201E"/>
    <w:multiLevelType w:val="hybridMultilevel"/>
    <w:tmpl w:val="D18464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0" w15:restartNumberingAfterBreak="0">
    <w:nsid w:val="7D3812AC"/>
    <w:multiLevelType w:val="hybridMultilevel"/>
    <w:tmpl w:val="6C5A37CE"/>
    <w:lvl w:ilvl="0" w:tplc="57A6FDF0">
      <w:start w:val="7"/>
      <w:numFmt w:val="lowerLetter"/>
      <w:lvlText w:val="(%1)"/>
      <w:lvlJc w:val="left"/>
      <w:pPr>
        <w:tabs>
          <w:tab w:val="num" w:pos="2600"/>
        </w:tabs>
        <w:ind w:left="2600" w:hanging="495"/>
      </w:pPr>
      <w:rPr>
        <w:rFonts w:hint="default"/>
      </w:rPr>
    </w:lvl>
    <w:lvl w:ilvl="1" w:tplc="04090019" w:tentative="1">
      <w:start w:val="1"/>
      <w:numFmt w:val="lowerLetter"/>
      <w:lvlText w:val="%2."/>
      <w:lvlJc w:val="left"/>
      <w:pPr>
        <w:tabs>
          <w:tab w:val="num" w:pos="3185"/>
        </w:tabs>
        <w:ind w:left="3185" w:hanging="360"/>
      </w:pPr>
    </w:lvl>
    <w:lvl w:ilvl="2" w:tplc="0409001B" w:tentative="1">
      <w:start w:val="1"/>
      <w:numFmt w:val="lowerRoman"/>
      <w:lvlText w:val="%3."/>
      <w:lvlJc w:val="right"/>
      <w:pPr>
        <w:tabs>
          <w:tab w:val="num" w:pos="3905"/>
        </w:tabs>
        <w:ind w:left="3905" w:hanging="180"/>
      </w:pPr>
    </w:lvl>
    <w:lvl w:ilvl="3" w:tplc="0409000F" w:tentative="1">
      <w:start w:val="1"/>
      <w:numFmt w:val="decimal"/>
      <w:lvlText w:val="%4."/>
      <w:lvlJc w:val="left"/>
      <w:pPr>
        <w:tabs>
          <w:tab w:val="num" w:pos="4625"/>
        </w:tabs>
        <w:ind w:left="4625" w:hanging="360"/>
      </w:pPr>
    </w:lvl>
    <w:lvl w:ilvl="4" w:tplc="04090019" w:tentative="1">
      <w:start w:val="1"/>
      <w:numFmt w:val="lowerLetter"/>
      <w:lvlText w:val="%5."/>
      <w:lvlJc w:val="left"/>
      <w:pPr>
        <w:tabs>
          <w:tab w:val="num" w:pos="5345"/>
        </w:tabs>
        <w:ind w:left="5345" w:hanging="360"/>
      </w:pPr>
    </w:lvl>
    <w:lvl w:ilvl="5" w:tplc="0409001B" w:tentative="1">
      <w:start w:val="1"/>
      <w:numFmt w:val="lowerRoman"/>
      <w:lvlText w:val="%6."/>
      <w:lvlJc w:val="right"/>
      <w:pPr>
        <w:tabs>
          <w:tab w:val="num" w:pos="6065"/>
        </w:tabs>
        <w:ind w:left="6065" w:hanging="180"/>
      </w:pPr>
    </w:lvl>
    <w:lvl w:ilvl="6" w:tplc="0409000F" w:tentative="1">
      <w:start w:val="1"/>
      <w:numFmt w:val="decimal"/>
      <w:lvlText w:val="%7."/>
      <w:lvlJc w:val="left"/>
      <w:pPr>
        <w:tabs>
          <w:tab w:val="num" w:pos="6785"/>
        </w:tabs>
        <w:ind w:left="6785" w:hanging="360"/>
      </w:pPr>
    </w:lvl>
    <w:lvl w:ilvl="7" w:tplc="04090019" w:tentative="1">
      <w:start w:val="1"/>
      <w:numFmt w:val="lowerLetter"/>
      <w:lvlText w:val="%8."/>
      <w:lvlJc w:val="left"/>
      <w:pPr>
        <w:tabs>
          <w:tab w:val="num" w:pos="7505"/>
        </w:tabs>
        <w:ind w:left="7505" w:hanging="360"/>
      </w:pPr>
    </w:lvl>
    <w:lvl w:ilvl="8" w:tplc="0409001B" w:tentative="1">
      <w:start w:val="1"/>
      <w:numFmt w:val="lowerRoman"/>
      <w:lvlText w:val="%9."/>
      <w:lvlJc w:val="right"/>
      <w:pPr>
        <w:tabs>
          <w:tab w:val="num" w:pos="8225"/>
        </w:tabs>
        <w:ind w:left="8225" w:hanging="180"/>
      </w:pPr>
    </w:lvl>
  </w:abstractNum>
  <w:abstractNum w:abstractNumId="41" w15:restartNumberingAfterBreak="0">
    <w:nsid w:val="7F011377"/>
    <w:multiLevelType w:val="hybridMultilevel"/>
    <w:tmpl w:val="C2D28214"/>
    <w:lvl w:ilvl="0" w:tplc="26BE8C1E">
      <w:start w:val="1"/>
      <w:numFmt w:val="decimal"/>
      <w:lvlText w:val="%1."/>
      <w:lvlJc w:val="left"/>
      <w:pPr>
        <w:tabs>
          <w:tab w:val="num" w:pos="360"/>
        </w:tabs>
        <w:ind w:left="0" w:firstLine="0"/>
      </w:pPr>
      <w:rPr>
        <w:rFonts w:hint="eastAsia"/>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95675607">
    <w:abstractNumId w:val="5"/>
  </w:num>
  <w:num w:numId="2" w16cid:durableId="1162424727">
    <w:abstractNumId w:val="0"/>
  </w:num>
  <w:num w:numId="3" w16cid:durableId="900676774">
    <w:abstractNumId w:val="12"/>
  </w:num>
  <w:num w:numId="4" w16cid:durableId="2096628065">
    <w:abstractNumId w:val="2"/>
  </w:num>
  <w:num w:numId="5" w16cid:durableId="364019689">
    <w:abstractNumId w:val="26"/>
  </w:num>
  <w:num w:numId="6" w16cid:durableId="1950307163">
    <w:abstractNumId w:val="1"/>
  </w:num>
  <w:num w:numId="7" w16cid:durableId="582498182">
    <w:abstractNumId w:val="37"/>
  </w:num>
  <w:num w:numId="8" w16cid:durableId="1084911431">
    <w:abstractNumId w:val="36"/>
  </w:num>
  <w:num w:numId="9" w16cid:durableId="1076901143">
    <w:abstractNumId w:val="20"/>
  </w:num>
  <w:num w:numId="10" w16cid:durableId="1687363947">
    <w:abstractNumId w:val="15"/>
  </w:num>
  <w:num w:numId="11" w16cid:durableId="1055161711">
    <w:abstractNumId w:val="31"/>
  </w:num>
  <w:num w:numId="12" w16cid:durableId="1559050364">
    <w:abstractNumId w:val="18"/>
  </w:num>
  <w:num w:numId="13" w16cid:durableId="569341013">
    <w:abstractNumId w:val="39"/>
  </w:num>
  <w:num w:numId="14" w16cid:durableId="1051031657">
    <w:abstractNumId w:val="19"/>
  </w:num>
  <w:num w:numId="15" w16cid:durableId="451898917">
    <w:abstractNumId w:val="8"/>
  </w:num>
  <w:num w:numId="16" w16cid:durableId="1627537899">
    <w:abstractNumId w:val="14"/>
  </w:num>
  <w:num w:numId="17" w16cid:durableId="345405161">
    <w:abstractNumId w:val="16"/>
  </w:num>
  <w:num w:numId="18" w16cid:durableId="520777065">
    <w:abstractNumId w:val="27"/>
  </w:num>
  <w:num w:numId="19" w16cid:durableId="834881891">
    <w:abstractNumId w:val="10"/>
  </w:num>
  <w:num w:numId="20" w16cid:durableId="369499423">
    <w:abstractNumId w:val="29"/>
  </w:num>
  <w:num w:numId="21" w16cid:durableId="1929727680">
    <w:abstractNumId w:val="6"/>
  </w:num>
  <w:num w:numId="22" w16cid:durableId="1895240758">
    <w:abstractNumId w:val="22"/>
  </w:num>
  <w:num w:numId="23" w16cid:durableId="112987958">
    <w:abstractNumId w:val="35"/>
  </w:num>
  <w:num w:numId="24" w16cid:durableId="748116210">
    <w:abstractNumId w:val="30"/>
  </w:num>
  <w:num w:numId="25" w16cid:durableId="59789427">
    <w:abstractNumId w:val="25"/>
  </w:num>
  <w:num w:numId="26" w16cid:durableId="41371154">
    <w:abstractNumId w:val="7"/>
  </w:num>
  <w:num w:numId="27" w16cid:durableId="1608343015">
    <w:abstractNumId w:val="11"/>
  </w:num>
  <w:num w:numId="28" w16cid:durableId="901791921">
    <w:abstractNumId w:val="24"/>
  </w:num>
  <w:num w:numId="29" w16cid:durableId="164171102">
    <w:abstractNumId w:val="4"/>
  </w:num>
  <w:num w:numId="30" w16cid:durableId="2146586203">
    <w:abstractNumId w:val="13"/>
  </w:num>
  <w:num w:numId="31" w16cid:durableId="778185596">
    <w:abstractNumId w:val="23"/>
  </w:num>
  <w:num w:numId="32" w16cid:durableId="1578855051">
    <w:abstractNumId w:val="21"/>
  </w:num>
  <w:num w:numId="33" w16cid:durableId="724917598">
    <w:abstractNumId w:val="40"/>
  </w:num>
  <w:num w:numId="34" w16cid:durableId="670764124">
    <w:abstractNumId w:val="32"/>
  </w:num>
  <w:num w:numId="35" w16cid:durableId="1144390914">
    <w:abstractNumId w:val="34"/>
  </w:num>
  <w:num w:numId="36" w16cid:durableId="1094322147">
    <w:abstractNumId w:val="33"/>
  </w:num>
  <w:num w:numId="37" w16cid:durableId="971210491">
    <w:abstractNumId w:val="38"/>
  </w:num>
  <w:num w:numId="38" w16cid:durableId="717321932">
    <w:abstractNumId w:val="9"/>
  </w:num>
  <w:num w:numId="39" w16cid:durableId="1082676425">
    <w:abstractNumId w:val="41"/>
  </w:num>
  <w:num w:numId="40" w16cid:durableId="1922518094">
    <w:abstractNumId w:val="28"/>
  </w:num>
  <w:num w:numId="41" w16cid:durableId="71782588">
    <w:abstractNumId w:val="3"/>
  </w:num>
  <w:num w:numId="42" w16cid:durableId="15888436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5F16"/>
    <w:rsid w:val="00F35F1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53F3561-1733-C44B-89C3-556F72CD0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pPr>
      <w:tabs>
        <w:tab w:val="clear" w:pos="1440"/>
        <w:tab w:val="clear" w:pos="4320"/>
        <w:tab w:val="clear" w:pos="9072"/>
        <w:tab w:val="center" w:pos="5460"/>
      </w:tabs>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2350</Words>
  <Characters>13399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2010-03-10T04:44:00Z</cp:lastPrinted>
  <dcterms:created xsi:type="dcterms:W3CDTF">2023-10-14T01:13:00Z</dcterms:created>
  <dcterms:modified xsi:type="dcterms:W3CDTF">2023-10-14T01:13:00Z</dcterms:modified>
</cp:coreProperties>
</file>