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121DF" w14:textId="77777777" w:rsidR="00183AAF" w:rsidRPr="00664170" w:rsidRDefault="00183AAF" w:rsidP="00B62226">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033986">
        <w:rPr>
          <w:rFonts w:ascii="Times New Roman" w:eastAsia="PMingLiU" w:hAnsi="Times New Roman"/>
          <w:b w:val="0"/>
          <w:kern w:val="0"/>
          <w:szCs w:val="28"/>
          <w:lang w:eastAsia="zh-TW"/>
        </w:rPr>
        <w:t>3534</w:t>
      </w:r>
      <w:r w:rsidR="00EA6709" w:rsidRPr="003304EA">
        <w:rPr>
          <w:rFonts w:ascii="Times New Roman" w:eastAsia="PMingLiU" w:hAnsi="Times New Roman"/>
          <w:b w:val="0"/>
          <w:kern w:val="0"/>
          <w:szCs w:val="28"/>
          <w:lang w:eastAsia="zh-TW"/>
        </w:rPr>
        <w:t>/201</w:t>
      </w:r>
      <w:r w:rsidR="00664170">
        <w:rPr>
          <w:rFonts w:ascii="Times New Roman" w:eastAsia="PMingLiU" w:hAnsi="Times New Roman"/>
          <w:b w:val="0"/>
          <w:kern w:val="0"/>
          <w:szCs w:val="28"/>
          <w:lang w:eastAsia="zh-TW"/>
        </w:rPr>
        <w:t>9</w:t>
      </w:r>
    </w:p>
    <w:p w14:paraId="3ADD4AEB" w14:textId="77777777" w:rsidR="0038513F" w:rsidRPr="00664170" w:rsidRDefault="00ED1CEA" w:rsidP="0038513F">
      <w:pPr>
        <w:jc w:val="right"/>
        <w:rPr>
          <w:szCs w:val="28"/>
          <w:lang w:val="en-GB" w:eastAsia="zh-TW"/>
        </w:rPr>
      </w:pPr>
      <w:sdt>
        <w:sdtPr>
          <w:rPr>
            <w:szCs w:val="28"/>
          </w:rPr>
          <w:alias w:val="neutral citation number"/>
          <w:tag w:val="neutral citation number"/>
          <w:id w:val="210003420"/>
          <w:placeholder>
            <w:docPart w:val="6C74C9B796ED49CB977567D01536FF94"/>
          </w:placeholder>
          <w:text/>
        </w:sdtPr>
        <w:sdtEndPr/>
        <w:sdtContent>
          <w:r w:rsidR="00664170" w:rsidRPr="00664170">
            <w:rPr>
              <w:szCs w:val="28"/>
            </w:rPr>
            <w:t>[202</w:t>
          </w:r>
          <w:r w:rsidR="00033986">
            <w:rPr>
              <w:szCs w:val="28"/>
            </w:rPr>
            <w:t>3</w:t>
          </w:r>
          <w:r w:rsidR="00664170" w:rsidRPr="00664170">
            <w:rPr>
              <w:szCs w:val="28"/>
            </w:rPr>
            <w:t xml:space="preserve">] HKDC </w:t>
          </w:r>
          <w:r w:rsidR="00033986">
            <w:rPr>
              <w:szCs w:val="28"/>
            </w:rPr>
            <w:t>591</w:t>
          </w:r>
        </w:sdtContent>
      </w:sdt>
    </w:p>
    <w:p w14:paraId="568FF7DB" w14:textId="77777777" w:rsidR="00EF528F" w:rsidRPr="00664170" w:rsidRDefault="00EF528F" w:rsidP="00B62226">
      <w:pPr>
        <w:spacing w:line="360" w:lineRule="auto"/>
        <w:rPr>
          <w:rFonts w:eastAsia="PMingLiU"/>
          <w:szCs w:val="28"/>
          <w:lang w:val="en-GB" w:eastAsia="zh-TW"/>
        </w:rPr>
      </w:pPr>
    </w:p>
    <w:p w14:paraId="6C246845" w14:textId="77777777" w:rsidR="00183AAF" w:rsidRPr="003304EA" w:rsidRDefault="00183AAF" w:rsidP="00B62226">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4BC1057E" w14:textId="77777777" w:rsidR="006E39C1" w:rsidRPr="003304EA" w:rsidRDefault="006E39C1" w:rsidP="006E39C1">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14:paraId="46FC984D" w14:textId="77777777" w:rsidR="006E39C1" w:rsidRPr="003304EA" w:rsidRDefault="006E39C1" w:rsidP="006E39C1">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14:paraId="636BA088" w14:textId="77777777" w:rsidR="00183AAF" w:rsidRPr="003304EA" w:rsidRDefault="006E39C1" w:rsidP="006E39C1">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3304EA">
        <w:rPr>
          <w:rFonts w:ascii="Times New Roman" w:hAnsi="Times New Roman"/>
          <w:b w:val="0"/>
          <w:kern w:val="0"/>
          <w:szCs w:val="28"/>
          <w:lang w:val="en-US"/>
        </w:rPr>
        <w:t xml:space="preserve">PERSONAL INJURIES ACTION NO </w:t>
      </w:r>
      <w:r w:rsidR="00033986">
        <w:rPr>
          <w:rFonts w:ascii="Times New Roman" w:hAnsi="Times New Roman"/>
          <w:b w:val="0"/>
          <w:kern w:val="0"/>
          <w:szCs w:val="28"/>
          <w:lang w:val="en-US"/>
        </w:rPr>
        <w:t>3534</w:t>
      </w:r>
      <w:r w:rsidRPr="003304EA">
        <w:rPr>
          <w:rFonts w:ascii="Times New Roman" w:hAnsi="Times New Roman"/>
          <w:b w:val="0"/>
          <w:kern w:val="0"/>
          <w:szCs w:val="28"/>
          <w:lang w:val="en-US"/>
        </w:rPr>
        <w:t xml:space="preserve"> OF 20</w:t>
      </w:r>
      <w:r w:rsidR="00664170">
        <w:rPr>
          <w:rFonts w:ascii="Times New Roman" w:hAnsi="Times New Roman"/>
          <w:b w:val="0"/>
          <w:kern w:val="0"/>
          <w:szCs w:val="28"/>
          <w:lang w:val="en-US"/>
        </w:rPr>
        <w:t>19</w:t>
      </w:r>
    </w:p>
    <w:p w14:paraId="32FA6417" w14:textId="77777777" w:rsidR="00FB72FF" w:rsidRPr="006E39C1" w:rsidRDefault="00FB72FF" w:rsidP="00B62226">
      <w:pPr>
        <w:spacing w:line="360" w:lineRule="auto"/>
        <w:rPr>
          <w:szCs w:val="28"/>
          <w:lang w:val="en-GB" w:eastAsia="zh-TW"/>
        </w:rPr>
      </w:pPr>
    </w:p>
    <w:p w14:paraId="4ADE824C" w14:textId="77777777" w:rsidR="00664170" w:rsidRPr="00664170" w:rsidRDefault="00664170" w:rsidP="00664170">
      <w:pPr>
        <w:tabs>
          <w:tab w:val="clear" w:pos="1440"/>
          <w:tab w:val="clear" w:pos="4320"/>
          <w:tab w:val="clear" w:pos="9072"/>
          <w:tab w:val="left" w:pos="2100"/>
        </w:tabs>
        <w:spacing w:line="360" w:lineRule="auto"/>
        <w:jc w:val="center"/>
        <w:rPr>
          <w:rFonts w:eastAsia="PMingLiU"/>
          <w:caps/>
          <w:szCs w:val="28"/>
          <w:lang w:eastAsia="zh-TW"/>
        </w:rPr>
      </w:pPr>
      <w:r w:rsidRPr="00664170">
        <w:rPr>
          <w:rFonts w:eastAsia="PMingLiU"/>
          <w:caps/>
          <w:szCs w:val="28"/>
          <w:lang w:eastAsia="zh-TW"/>
        </w:rPr>
        <w:t>--</w:t>
      </w:r>
      <w:r>
        <w:rPr>
          <w:rFonts w:eastAsia="PMingLiU"/>
          <w:caps/>
          <w:szCs w:val="28"/>
          <w:lang w:eastAsia="zh-TW"/>
        </w:rPr>
        <w:t>--------------</w:t>
      </w:r>
      <w:r w:rsidRPr="00664170">
        <w:rPr>
          <w:rFonts w:eastAsia="PMingLiU" w:hint="eastAsia"/>
          <w:caps/>
          <w:szCs w:val="28"/>
          <w:lang w:eastAsia="zh-TW"/>
        </w:rPr>
        <w:t>----</w:t>
      </w:r>
      <w:r w:rsidRPr="00664170">
        <w:rPr>
          <w:rFonts w:eastAsia="PMingLiU"/>
          <w:caps/>
          <w:szCs w:val="28"/>
          <w:lang w:eastAsia="zh-TW"/>
        </w:rPr>
        <w:t>---------------------</w:t>
      </w:r>
    </w:p>
    <w:p w14:paraId="55398370" w14:textId="77777777" w:rsidR="006E39C1" w:rsidRPr="006E39C1" w:rsidRDefault="006E39C1" w:rsidP="006E39C1">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14:paraId="1A7433C2" w14:textId="77777777" w:rsidR="006E39C1" w:rsidRPr="006E39C1" w:rsidRDefault="006E39C1" w:rsidP="006E39C1">
      <w:pPr>
        <w:tabs>
          <w:tab w:val="clear" w:pos="1440"/>
          <w:tab w:val="clear" w:pos="4320"/>
          <w:tab w:val="clear" w:pos="9072"/>
          <w:tab w:val="center" w:pos="4230"/>
          <w:tab w:val="right" w:pos="8280"/>
        </w:tabs>
        <w:snapToGrid/>
        <w:spacing w:line="360" w:lineRule="auto"/>
        <w:rPr>
          <w:bCs/>
          <w:szCs w:val="28"/>
          <w:lang w:val="en-GB"/>
        </w:rPr>
      </w:pPr>
      <w:r w:rsidRPr="006E39C1">
        <w:rPr>
          <w:bCs/>
          <w:szCs w:val="28"/>
          <w:lang w:val="en-GB"/>
        </w:rPr>
        <w:tab/>
      </w:r>
      <w:r w:rsidR="006544E6">
        <w:rPr>
          <w:bCs/>
          <w:szCs w:val="28"/>
          <w:lang w:val="en-GB"/>
        </w:rPr>
        <w:t>ZHAO HUIJUN</w:t>
      </w:r>
      <w:r w:rsidRPr="00664170">
        <w:rPr>
          <w:bCs/>
          <w:szCs w:val="28"/>
          <w:lang w:val="en-GB"/>
        </w:rPr>
        <w:tab/>
      </w:r>
      <w:r w:rsidR="001F4BBA">
        <w:rPr>
          <w:bCs/>
          <w:szCs w:val="28"/>
          <w:lang w:val="en-GB"/>
        </w:rPr>
        <w:t>Plaintiff</w:t>
      </w:r>
    </w:p>
    <w:p w14:paraId="76F26BAB" w14:textId="77777777" w:rsidR="006E39C1" w:rsidRPr="006E39C1" w:rsidRDefault="006E39C1" w:rsidP="006E39C1">
      <w:pPr>
        <w:tabs>
          <w:tab w:val="clear" w:pos="1440"/>
          <w:tab w:val="clear" w:pos="4320"/>
          <w:tab w:val="clear" w:pos="9072"/>
          <w:tab w:val="center" w:pos="4230"/>
        </w:tabs>
        <w:snapToGrid/>
        <w:spacing w:line="360" w:lineRule="auto"/>
        <w:jc w:val="center"/>
        <w:rPr>
          <w:bCs/>
          <w:szCs w:val="28"/>
          <w:lang w:val="en-GB"/>
        </w:rPr>
      </w:pPr>
      <w:r w:rsidRPr="006E39C1">
        <w:rPr>
          <w:bCs/>
          <w:szCs w:val="28"/>
          <w:lang w:val="en-GB"/>
        </w:rPr>
        <w:t>and</w:t>
      </w:r>
    </w:p>
    <w:p w14:paraId="4D19894A" w14:textId="77777777" w:rsidR="006544E6" w:rsidRDefault="006E39C1" w:rsidP="006544E6">
      <w:pPr>
        <w:tabs>
          <w:tab w:val="clear" w:pos="4320"/>
          <w:tab w:val="clear" w:pos="9072"/>
          <w:tab w:val="center" w:pos="4140"/>
          <w:tab w:val="right" w:pos="8280"/>
        </w:tabs>
        <w:rPr>
          <w:bCs/>
          <w:szCs w:val="28"/>
          <w:lang w:val="en-GB"/>
        </w:rPr>
      </w:pPr>
      <w:r w:rsidRPr="006E39C1">
        <w:rPr>
          <w:bCs/>
          <w:szCs w:val="28"/>
          <w:lang w:val="en-GB"/>
        </w:rPr>
        <w:tab/>
      </w:r>
      <w:r w:rsidR="006544E6">
        <w:rPr>
          <w:bCs/>
          <w:szCs w:val="28"/>
          <w:lang w:val="en-GB"/>
        </w:rPr>
        <w:t xml:space="preserve">WILSON PARKING (HOLDINGS) </w:t>
      </w:r>
      <w:r w:rsidR="00664170" w:rsidRPr="00664170">
        <w:rPr>
          <w:szCs w:val="28"/>
        </w:rPr>
        <w:t>LIMITED</w:t>
      </w:r>
      <w:r w:rsidRPr="00664170">
        <w:rPr>
          <w:bCs/>
          <w:szCs w:val="28"/>
          <w:lang w:val="en-GB"/>
        </w:rPr>
        <w:tab/>
      </w:r>
    </w:p>
    <w:p w14:paraId="67B4B39F" w14:textId="77777777" w:rsidR="006E39C1" w:rsidRPr="00664170" w:rsidRDefault="006544E6" w:rsidP="006544E6">
      <w:pPr>
        <w:tabs>
          <w:tab w:val="clear" w:pos="4320"/>
          <w:tab w:val="clear" w:pos="9072"/>
          <w:tab w:val="center" w:pos="4140"/>
          <w:tab w:val="right" w:pos="8280"/>
        </w:tabs>
        <w:rPr>
          <w:bCs/>
          <w:szCs w:val="28"/>
          <w:lang w:val="en-GB"/>
        </w:rPr>
      </w:pPr>
      <w:r>
        <w:rPr>
          <w:bCs/>
          <w:szCs w:val="28"/>
          <w:lang w:val="en-GB"/>
        </w:rPr>
        <w:tab/>
      </w:r>
      <w:r>
        <w:rPr>
          <w:rFonts w:eastAsia="PMingLiU" w:hint="eastAsia"/>
          <w:bCs/>
          <w:szCs w:val="28"/>
          <w:lang w:eastAsia="zh-TW"/>
        </w:rPr>
        <w:t>（</w:t>
      </w:r>
      <w:r>
        <w:rPr>
          <w:rFonts w:eastAsia="PMingLiU" w:hint="eastAsia"/>
          <w:bCs/>
          <w:szCs w:val="28"/>
          <w:lang w:eastAsia="zh-HK"/>
        </w:rPr>
        <w:t>威信停車場管理</w:t>
      </w:r>
      <w:r>
        <w:rPr>
          <w:rFonts w:eastAsia="PMingLiU" w:hint="eastAsia"/>
          <w:bCs/>
          <w:szCs w:val="28"/>
          <w:lang w:eastAsia="zh-TW"/>
        </w:rPr>
        <w:t>（</w:t>
      </w:r>
      <w:r>
        <w:rPr>
          <w:rFonts w:eastAsia="PMingLiU" w:hint="eastAsia"/>
          <w:bCs/>
          <w:szCs w:val="28"/>
          <w:lang w:eastAsia="zh-HK"/>
        </w:rPr>
        <w:t>控股</w:t>
      </w:r>
      <w:r>
        <w:rPr>
          <w:rFonts w:eastAsia="PMingLiU" w:hint="eastAsia"/>
          <w:bCs/>
          <w:szCs w:val="28"/>
          <w:lang w:eastAsia="zh-TW"/>
        </w:rPr>
        <w:t>）</w:t>
      </w:r>
      <w:r>
        <w:rPr>
          <w:rFonts w:eastAsia="PMingLiU" w:hint="eastAsia"/>
          <w:bCs/>
          <w:szCs w:val="28"/>
          <w:lang w:eastAsia="zh-HK"/>
        </w:rPr>
        <w:t>有限公司</w:t>
      </w:r>
      <w:r>
        <w:rPr>
          <w:rFonts w:eastAsia="PMingLiU" w:hint="eastAsia"/>
          <w:bCs/>
          <w:szCs w:val="28"/>
          <w:lang w:eastAsia="zh-TW"/>
        </w:rPr>
        <w:t>）</w:t>
      </w:r>
      <w:r>
        <w:rPr>
          <w:rFonts w:eastAsia="PMingLiU"/>
          <w:bCs/>
          <w:szCs w:val="28"/>
          <w:lang w:eastAsia="zh-TW"/>
        </w:rPr>
        <w:tab/>
      </w:r>
      <w:r>
        <w:rPr>
          <w:rFonts w:eastAsiaTheme="minorEastAsia"/>
          <w:bCs/>
          <w:szCs w:val="28"/>
        </w:rPr>
        <w:t>1</w:t>
      </w:r>
      <w:r>
        <w:rPr>
          <w:rFonts w:eastAsiaTheme="minorEastAsia"/>
          <w:bCs/>
          <w:szCs w:val="28"/>
          <w:vertAlign w:val="superscript"/>
        </w:rPr>
        <w:t xml:space="preserve">st </w:t>
      </w:r>
      <w:r w:rsidR="001F4BBA">
        <w:rPr>
          <w:bCs/>
          <w:szCs w:val="28"/>
          <w:lang w:val="en-GB"/>
        </w:rPr>
        <w:t>Defendant</w:t>
      </w:r>
    </w:p>
    <w:p w14:paraId="1A5BCF81" w14:textId="77777777" w:rsidR="006544E6" w:rsidRDefault="006544E6" w:rsidP="00664170">
      <w:pPr>
        <w:tabs>
          <w:tab w:val="clear" w:pos="1440"/>
          <w:tab w:val="clear" w:pos="4320"/>
          <w:tab w:val="clear" w:pos="9072"/>
          <w:tab w:val="left" w:pos="2100"/>
        </w:tabs>
        <w:spacing w:line="360" w:lineRule="auto"/>
        <w:jc w:val="center"/>
        <w:rPr>
          <w:rFonts w:eastAsia="PMingLiU"/>
          <w:caps/>
          <w:szCs w:val="28"/>
          <w:lang w:eastAsia="zh-TW"/>
        </w:rPr>
      </w:pPr>
    </w:p>
    <w:p w14:paraId="4F343B30" w14:textId="77777777" w:rsidR="006544E6" w:rsidRDefault="006544E6" w:rsidP="006544E6">
      <w:pPr>
        <w:tabs>
          <w:tab w:val="clear" w:pos="4320"/>
          <w:tab w:val="clear" w:pos="9072"/>
          <w:tab w:val="center" w:pos="4140"/>
          <w:tab w:val="right" w:pos="8280"/>
        </w:tabs>
        <w:rPr>
          <w:bCs/>
          <w:szCs w:val="28"/>
          <w:lang w:val="en-GB"/>
        </w:rPr>
      </w:pPr>
      <w:r>
        <w:rPr>
          <w:bCs/>
          <w:szCs w:val="28"/>
          <w:lang w:val="en-GB"/>
        </w:rPr>
        <w:tab/>
        <w:t xml:space="preserve">LINK PROPERTIES </w:t>
      </w:r>
      <w:r w:rsidRPr="00664170">
        <w:rPr>
          <w:szCs w:val="28"/>
        </w:rPr>
        <w:t>LIMITED</w:t>
      </w:r>
      <w:r w:rsidRPr="00664170">
        <w:rPr>
          <w:bCs/>
          <w:szCs w:val="28"/>
          <w:lang w:val="en-GB"/>
        </w:rPr>
        <w:tab/>
      </w:r>
    </w:p>
    <w:p w14:paraId="21CF8A8A" w14:textId="77777777" w:rsidR="006544E6" w:rsidRPr="00664170" w:rsidRDefault="006544E6" w:rsidP="006544E6">
      <w:pPr>
        <w:tabs>
          <w:tab w:val="clear" w:pos="4320"/>
          <w:tab w:val="clear" w:pos="9072"/>
          <w:tab w:val="center" w:pos="4140"/>
          <w:tab w:val="right" w:pos="8280"/>
        </w:tabs>
        <w:rPr>
          <w:bCs/>
          <w:szCs w:val="28"/>
          <w:lang w:val="en-GB"/>
        </w:rPr>
      </w:pPr>
      <w:r>
        <w:rPr>
          <w:bCs/>
          <w:szCs w:val="28"/>
          <w:lang w:val="en-GB"/>
        </w:rPr>
        <w:tab/>
      </w:r>
      <w:r>
        <w:rPr>
          <w:rFonts w:eastAsia="PMingLiU" w:hint="eastAsia"/>
          <w:bCs/>
          <w:szCs w:val="28"/>
          <w:lang w:eastAsia="zh-TW"/>
        </w:rPr>
        <w:t>（</w:t>
      </w:r>
      <w:r>
        <w:rPr>
          <w:rFonts w:eastAsia="PMingLiU" w:hint="eastAsia"/>
          <w:bCs/>
          <w:szCs w:val="28"/>
          <w:lang w:eastAsia="zh-HK"/>
        </w:rPr>
        <w:t>領展物業有限公司</w:t>
      </w:r>
      <w:r>
        <w:rPr>
          <w:rFonts w:eastAsia="PMingLiU" w:hint="eastAsia"/>
          <w:bCs/>
          <w:szCs w:val="28"/>
          <w:lang w:eastAsia="zh-TW"/>
        </w:rPr>
        <w:t>）</w:t>
      </w:r>
      <w:r>
        <w:rPr>
          <w:rFonts w:eastAsia="PMingLiU"/>
          <w:bCs/>
          <w:szCs w:val="28"/>
          <w:lang w:eastAsia="zh-TW"/>
        </w:rPr>
        <w:tab/>
      </w:r>
      <w:r>
        <w:rPr>
          <w:rFonts w:eastAsia="PMingLiU" w:hint="eastAsia"/>
          <w:bCs/>
          <w:szCs w:val="28"/>
          <w:lang w:eastAsia="zh-TW"/>
        </w:rPr>
        <w:t>2</w:t>
      </w:r>
      <w:r>
        <w:rPr>
          <w:rFonts w:eastAsia="PMingLiU" w:hint="eastAsia"/>
          <w:bCs/>
          <w:szCs w:val="28"/>
          <w:vertAlign w:val="superscript"/>
          <w:lang w:eastAsia="zh-HK"/>
        </w:rPr>
        <w:t xml:space="preserve">nd </w:t>
      </w:r>
      <w:r>
        <w:rPr>
          <w:bCs/>
          <w:szCs w:val="28"/>
          <w:lang w:val="en-GB"/>
        </w:rPr>
        <w:t>Defendant</w:t>
      </w:r>
    </w:p>
    <w:p w14:paraId="32028B67" w14:textId="77777777" w:rsidR="006544E6" w:rsidRDefault="006544E6" w:rsidP="00664170">
      <w:pPr>
        <w:tabs>
          <w:tab w:val="clear" w:pos="1440"/>
          <w:tab w:val="clear" w:pos="4320"/>
          <w:tab w:val="clear" w:pos="9072"/>
          <w:tab w:val="left" w:pos="2100"/>
        </w:tabs>
        <w:spacing w:line="360" w:lineRule="auto"/>
        <w:jc w:val="center"/>
        <w:rPr>
          <w:rFonts w:eastAsia="PMingLiU"/>
          <w:caps/>
          <w:szCs w:val="28"/>
          <w:lang w:eastAsia="zh-TW"/>
        </w:rPr>
      </w:pPr>
    </w:p>
    <w:p w14:paraId="26AABBE5" w14:textId="77777777" w:rsidR="006544E6" w:rsidRDefault="006544E6" w:rsidP="006544E6">
      <w:pPr>
        <w:tabs>
          <w:tab w:val="clear" w:pos="4320"/>
          <w:tab w:val="clear" w:pos="9072"/>
          <w:tab w:val="center" w:pos="4140"/>
          <w:tab w:val="right" w:pos="8280"/>
        </w:tabs>
        <w:rPr>
          <w:bCs/>
          <w:szCs w:val="28"/>
          <w:lang w:val="en-GB"/>
        </w:rPr>
      </w:pPr>
      <w:r>
        <w:rPr>
          <w:bCs/>
          <w:szCs w:val="28"/>
          <w:lang w:val="en-GB"/>
        </w:rPr>
        <w:tab/>
        <w:t>LINK ASSET MANAGEM</w:t>
      </w:r>
      <w:r w:rsidR="007F1BDA">
        <w:rPr>
          <w:bCs/>
          <w:szCs w:val="28"/>
          <w:lang w:val="en-GB"/>
        </w:rPr>
        <w:t>E</w:t>
      </w:r>
      <w:r>
        <w:rPr>
          <w:bCs/>
          <w:szCs w:val="28"/>
          <w:lang w:val="en-GB"/>
        </w:rPr>
        <w:t xml:space="preserve">NT </w:t>
      </w:r>
      <w:r w:rsidRPr="00664170">
        <w:rPr>
          <w:szCs w:val="28"/>
        </w:rPr>
        <w:t>LIMITED</w:t>
      </w:r>
      <w:r w:rsidRPr="00664170">
        <w:rPr>
          <w:bCs/>
          <w:szCs w:val="28"/>
          <w:lang w:val="en-GB"/>
        </w:rPr>
        <w:tab/>
      </w:r>
    </w:p>
    <w:p w14:paraId="7EF712FC" w14:textId="77777777" w:rsidR="006544E6" w:rsidRPr="00664170" w:rsidRDefault="006544E6" w:rsidP="006544E6">
      <w:pPr>
        <w:tabs>
          <w:tab w:val="clear" w:pos="4320"/>
          <w:tab w:val="clear" w:pos="9072"/>
          <w:tab w:val="center" w:pos="4140"/>
          <w:tab w:val="right" w:pos="8280"/>
        </w:tabs>
        <w:rPr>
          <w:bCs/>
          <w:szCs w:val="28"/>
          <w:lang w:val="en-GB"/>
        </w:rPr>
      </w:pPr>
      <w:r>
        <w:rPr>
          <w:bCs/>
          <w:szCs w:val="28"/>
          <w:lang w:val="en-GB"/>
        </w:rPr>
        <w:tab/>
      </w:r>
      <w:r>
        <w:rPr>
          <w:rFonts w:eastAsia="PMingLiU" w:hint="eastAsia"/>
          <w:bCs/>
          <w:szCs w:val="28"/>
          <w:lang w:eastAsia="zh-TW"/>
        </w:rPr>
        <w:t>（</w:t>
      </w:r>
      <w:r>
        <w:rPr>
          <w:rFonts w:eastAsia="PMingLiU" w:hint="eastAsia"/>
          <w:bCs/>
          <w:szCs w:val="28"/>
          <w:lang w:eastAsia="zh-HK"/>
        </w:rPr>
        <w:t>領展資產管理有限公司</w:t>
      </w:r>
      <w:r>
        <w:rPr>
          <w:rFonts w:eastAsia="PMingLiU" w:hint="eastAsia"/>
          <w:bCs/>
          <w:szCs w:val="28"/>
          <w:lang w:eastAsia="zh-TW"/>
        </w:rPr>
        <w:t>）</w:t>
      </w:r>
      <w:r>
        <w:rPr>
          <w:rFonts w:eastAsia="PMingLiU"/>
          <w:bCs/>
          <w:szCs w:val="28"/>
          <w:lang w:eastAsia="zh-TW"/>
        </w:rPr>
        <w:tab/>
      </w:r>
      <w:r>
        <w:rPr>
          <w:rFonts w:eastAsia="PMingLiU" w:hint="eastAsia"/>
          <w:bCs/>
          <w:szCs w:val="28"/>
          <w:lang w:eastAsia="zh-TW"/>
        </w:rPr>
        <w:t>3</w:t>
      </w:r>
      <w:r>
        <w:rPr>
          <w:rFonts w:eastAsia="PMingLiU" w:hint="eastAsia"/>
          <w:bCs/>
          <w:szCs w:val="28"/>
          <w:vertAlign w:val="superscript"/>
          <w:lang w:eastAsia="zh-HK"/>
        </w:rPr>
        <w:t xml:space="preserve">rd </w:t>
      </w:r>
      <w:r>
        <w:rPr>
          <w:bCs/>
          <w:szCs w:val="28"/>
          <w:lang w:val="en-GB"/>
        </w:rPr>
        <w:t>Defendant</w:t>
      </w:r>
    </w:p>
    <w:p w14:paraId="67A042BC" w14:textId="77777777" w:rsidR="00FB72FF" w:rsidRPr="00664170" w:rsidRDefault="00FB72FF" w:rsidP="00664170">
      <w:pPr>
        <w:tabs>
          <w:tab w:val="clear" w:pos="1440"/>
          <w:tab w:val="clear" w:pos="4320"/>
          <w:tab w:val="clear" w:pos="9072"/>
          <w:tab w:val="left" w:pos="2100"/>
        </w:tabs>
        <w:spacing w:line="360" w:lineRule="auto"/>
        <w:jc w:val="center"/>
        <w:rPr>
          <w:rFonts w:eastAsia="PMingLiU"/>
          <w:caps/>
          <w:szCs w:val="28"/>
          <w:lang w:eastAsia="zh-TW"/>
        </w:rPr>
      </w:pPr>
      <w:r w:rsidRPr="00664170">
        <w:rPr>
          <w:rFonts w:eastAsia="PMingLiU"/>
          <w:caps/>
          <w:szCs w:val="28"/>
          <w:lang w:eastAsia="zh-TW"/>
        </w:rPr>
        <w:t>--</w:t>
      </w:r>
      <w:r w:rsidR="00664170">
        <w:rPr>
          <w:rFonts w:eastAsia="PMingLiU"/>
          <w:caps/>
          <w:szCs w:val="28"/>
          <w:lang w:eastAsia="zh-TW"/>
        </w:rPr>
        <w:t>--------------</w:t>
      </w:r>
      <w:r w:rsidRPr="00664170">
        <w:rPr>
          <w:rFonts w:eastAsia="PMingLiU" w:hint="eastAsia"/>
          <w:caps/>
          <w:szCs w:val="28"/>
          <w:lang w:eastAsia="zh-TW"/>
        </w:rPr>
        <w:t>----</w:t>
      </w:r>
      <w:r w:rsidRPr="00664170">
        <w:rPr>
          <w:rFonts w:eastAsia="PMingLiU"/>
          <w:caps/>
          <w:szCs w:val="28"/>
          <w:lang w:eastAsia="zh-TW"/>
        </w:rPr>
        <w:t>---------------------</w:t>
      </w:r>
    </w:p>
    <w:p w14:paraId="0A2D0370" w14:textId="77777777" w:rsidR="006E39C1" w:rsidRPr="00664170" w:rsidRDefault="006E39C1" w:rsidP="00664170">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14:paraId="7BE98AB1" w14:textId="77777777" w:rsidR="00664170" w:rsidRPr="00664170" w:rsidRDefault="006E39C1" w:rsidP="00664170">
      <w:pPr>
        <w:spacing w:line="360" w:lineRule="auto"/>
        <w:rPr>
          <w:szCs w:val="28"/>
        </w:rPr>
      </w:pPr>
      <w:r w:rsidRPr="00664170">
        <w:rPr>
          <w:rFonts w:eastAsia="PMingLiU" w:hAnsi="Arial Unicode MS" w:cs="Arial Unicode MS"/>
          <w:color w:val="000000"/>
          <w:szCs w:val="28"/>
          <w:u w:color="000000"/>
          <w:bdr w:val="nil"/>
          <w:lang w:eastAsia="en-US"/>
        </w:rPr>
        <w:t xml:space="preserve">Before: </w:t>
      </w:r>
      <w:r w:rsidR="00664170" w:rsidRPr="00664170">
        <w:rPr>
          <w:szCs w:val="28"/>
        </w:rPr>
        <w:t>D</w:t>
      </w:r>
      <w:r w:rsidR="00033986">
        <w:rPr>
          <w:szCs w:val="28"/>
        </w:rPr>
        <w:t xml:space="preserve">eputy </w:t>
      </w:r>
      <w:r w:rsidR="00664170" w:rsidRPr="00664170">
        <w:rPr>
          <w:szCs w:val="28"/>
        </w:rPr>
        <w:t>D</w:t>
      </w:r>
      <w:r w:rsidR="00033986">
        <w:rPr>
          <w:szCs w:val="28"/>
        </w:rPr>
        <w:t xml:space="preserve">istrict </w:t>
      </w:r>
      <w:r w:rsidR="00664170" w:rsidRPr="00664170">
        <w:rPr>
          <w:szCs w:val="28"/>
        </w:rPr>
        <w:t>J</w:t>
      </w:r>
      <w:r w:rsidR="00033986">
        <w:rPr>
          <w:szCs w:val="28"/>
        </w:rPr>
        <w:t>udge</w:t>
      </w:r>
      <w:r w:rsidR="00664170" w:rsidRPr="00664170">
        <w:rPr>
          <w:szCs w:val="28"/>
        </w:rPr>
        <w:t xml:space="preserve"> </w:t>
      </w:r>
      <w:r w:rsidR="00033986">
        <w:rPr>
          <w:szCs w:val="28"/>
        </w:rPr>
        <w:t xml:space="preserve">Connie Lee in </w:t>
      </w:r>
      <w:r w:rsidR="00664170">
        <w:rPr>
          <w:szCs w:val="28"/>
        </w:rPr>
        <w:t>C</w:t>
      </w:r>
      <w:r w:rsidR="00664170" w:rsidRPr="00664170">
        <w:rPr>
          <w:szCs w:val="28"/>
        </w:rPr>
        <w:t>ourt</w:t>
      </w:r>
    </w:p>
    <w:p w14:paraId="497AB28B" w14:textId="77777777" w:rsidR="006E39C1" w:rsidRPr="00664170" w:rsidRDefault="006E39C1" w:rsidP="006E39C1">
      <w:pPr>
        <w:pBdr>
          <w:top w:val="nil"/>
          <w:left w:val="nil"/>
          <w:bottom w:val="nil"/>
          <w:right w:val="nil"/>
          <w:between w:val="nil"/>
          <w:bar w:val="nil"/>
        </w:pBdr>
        <w:tabs>
          <w:tab w:val="clear" w:pos="9072"/>
          <w:tab w:val="right" w:pos="8280"/>
        </w:tabs>
        <w:snapToGrid/>
        <w:spacing w:line="360" w:lineRule="auto"/>
        <w:jc w:val="both"/>
        <w:rPr>
          <w:rFonts w:eastAsia="PMingLiU" w:hAnsi="Arial Unicode MS" w:cs="Arial Unicode MS"/>
          <w:color w:val="000000"/>
          <w:szCs w:val="28"/>
          <w:u w:color="000000"/>
          <w:bdr w:val="nil"/>
          <w:lang w:eastAsia="en-US"/>
        </w:rPr>
      </w:pPr>
      <w:r w:rsidRPr="00664170">
        <w:rPr>
          <w:rFonts w:eastAsia="PMingLiU" w:hAnsi="Arial Unicode MS" w:cs="Arial Unicode MS"/>
          <w:color w:val="000000"/>
          <w:szCs w:val="28"/>
          <w:u w:color="000000"/>
          <w:bdr w:val="nil"/>
          <w:lang w:eastAsia="en-US"/>
        </w:rPr>
        <w:t>Date</w:t>
      </w:r>
      <w:r w:rsidR="00664170" w:rsidRPr="00664170">
        <w:rPr>
          <w:rFonts w:eastAsia="PMingLiU" w:hAnsi="Arial Unicode MS" w:cs="Arial Unicode MS"/>
          <w:color w:val="000000"/>
          <w:szCs w:val="28"/>
          <w:u w:color="000000"/>
          <w:bdr w:val="nil"/>
          <w:lang w:eastAsia="en-US"/>
        </w:rPr>
        <w:t>s</w:t>
      </w:r>
      <w:r w:rsidRPr="00664170">
        <w:rPr>
          <w:rFonts w:eastAsia="PMingLiU" w:hAnsi="Arial Unicode MS" w:cs="Arial Unicode MS"/>
          <w:color w:val="000000"/>
          <w:szCs w:val="28"/>
          <w:u w:color="000000"/>
          <w:bdr w:val="nil"/>
          <w:lang w:eastAsia="en-US"/>
        </w:rPr>
        <w:t xml:space="preserve"> of Hearing: </w:t>
      </w:r>
      <w:r w:rsidR="00664170" w:rsidRPr="00664170">
        <w:rPr>
          <w:rFonts w:eastAsia="PMingLiU" w:hAnsi="Arial Unicode MS" w:cs="Arial Unicode MS"/>
          <w:color w:val="000000"/>
          <w:szCs w:val="28"/>
          <w:u w:color="000000"/>
          <w:bdr w:val="nil"/>
          <w:lang w:eastAsia="en-US"/>
        </w:rPr>
        <w:t>2</w:t>
      </w:r>
      <w:r w:rsidR="00033986">
        <w:rPr>
          <w:rFonts w:eastAsia="PMingLiU" w:hAnsi="Arial Unicode MS" w:cs="Arial Unicode MS"/>
          <w:color w:val="000000"/>
          <w:szCs w:val="28"/>
          <w:u w:color="000000"/>
          <w:bdr w:val="nil"/>
          <w:lang w:eastAsia="en-US"/>
        </w:rPr>
        <w:t xml:space="preserve">1-24 March </w:t>
      </w:r>
      <w:r w:rsidRPr="00664170">
        <w:rPr>
          <w:rFonts w:eastAsia="PMingLiU" w:hAnsi="Arial Unicode MS" w:cs="Arial Unicode MS"/>
          <w:color w:val="000000"/>
          <w:szCs w:val="28"/>
          <w:u w:color="000000"/>
          <w:bdr w:val="nil"/>
          <w:lang w:eastAsia="en-US"/>
        </w:rPr>
        <w:t>20</w:t>
      </w:r>
      <w:r w:rsidR="00664170" w:rsidRPr="00664170">
        <w:rPr>
          <w:rFonts w:eastAsia="PMingLiU" w:hAnsi="Arial Unicode MS" w:cs="Arial Unicode MS"/>
          <w:color w:val="000000"/>
          <w:szCs w:val="28"/>
          <w:u w:color="000000"/>
          <w:bdr w:val="nil"/>
          <w:lang w:eastAsia="en-US"/>
        </w:rPr>
        <w:t>2</w:t>
      </w:r>
      <w:r w:rsidR="00033986">
        <w:rPr>
          <w:rFonts w:eastAsia="PMingLiU" w:hAnsi="Arial Unicode MS" w:cs="Arial Unicode MS"/>
          <w:color w:val="000000"/>
          <w:szCs w:val="28"/>
          <w:u w:color="000000"/>
          <w:bdr w:val="nil"/>
          <w:lang w:eastAsia="en-US"/>
        </w:rPr>
        <w:t>3</w:t>
      </w:r>
    </w:p>
    <w:p w14:paraId="03205D49" w14:textId="04C02F9C" w:rsidR="006E39C1" w:rsidRPr="00664170" w:rsidRDefault="006E39C1" w:rsidP="006E39C1">
      <w:pPr>
        <w:pBdr>
          <w:top w:val="nil"/>
          <w:left w:val="nil"/>
          <w:bottom w:val="nil"/>
          <w:right w:val="nil"/>
          <w:between w:val="nil"/>
          <w:bar w:val="nil"/>
        </w:pBdr>
        <w:tabs>
          <w:tab w:val="clear" w:pos="4320"/>
          <w:tab w:val="clear" w:pos="9072"/>
        </w:tabs>
        <w:snapToGrid/>
        <w:spacing w:line="360" w:lineRule="auto"/>
        <w:jc w:val="both"/>
        <w:rPr>
          <w:rFonts w:eastAsia="PMingLiU" w:hAnsi="Arial Unicode MS" w:cs="Arial Unicode MS"/>
          <w:color w:val="000000"/>
          <w:szCs w:val="28"/>
          <w:u w:color="000000"/>
          <w:bdr w:val="nil"/>
          <w:lang w:eastAsia="en-US"/>
        </w:rPr>
      </w:pPr>
      <w:r w:rsidRPr="00664170">
        <w:rPr>
          <w:rFonts w:eastAsia="PMingLiU" w:hAnsi="Arial Unicode MS" w:cs="Arial Unicode MS"/>
          <w:color w:val="000000"/>
          <w:szCs w:val="28"/>
          <w:u w:color="000000"/>
          <w:bdr w:val="nil"/>
          <w:lang w:eastAsia="en-US"/>
        </w:rPr>
        <w:t xml:space="preserve">Date of Judgement: </w:t>
      </w:r>
      <w:r w:rsidR="007B6BC9">
        <w:rPr>
          <w:rFonts w:eastAsia="PMingLiU" w:hAnsi="Arial Unicode MS" w:cs="Arial Unicode MS"/>
          <w:color w:val="000000"/>
          <w:szCs w:val="28"/>
          <w:u w:color="000000"/>
          <w:bdr w:val="nil"/>
          <w:lang w:eastAsia="en-US"/>
        </w:rPr>
        <w:t>17</w:t>
      </w:r>
      <w:r w:rsidR="00033986">
        <w:rPr>
          <w:rFonts w:eastAsia="PMingLiU" w:hAnsi="Arial Unicode MS" w:cs="Arial Unicode MS"/>
          <w:color w:val="000000"/>
          <w:szCs w:val="28"/>
          <w:u w:color="000000"/>
          <w:bdr w:val="nil"/>
          <w:lang w:eastAsia="en-US"/>
        </w:rPr>
        <w:t xml:space="preserve"> May </w:t>
      </w:r>
      <w:r w:rsidRPr="00664170">
        <w:rPr>
          <w:rFonts w:eastAsia="PMingLiU" w:hAnsi="Arial Unicode MS" w:cs="Arial Unicode MS"/>
          <w:color w:val="000000"/>
          <w:szCs w:val="28"/>
          <w:u w:color="000000"/>
          <w:bdr w:val="nil"/>
          <w:lang w:eastAsia="en-US"/>
        </w:rPr>
        <w:t>20</w:t>
      </w:r>
      <w:r w:rsidR="00664170" w:rsidRPr="00664170">
        <w:rPr>
          <w:rFonts w:eastAsia="PMingLiU" w:hAnsi="Arial Unicode MS" w:cs="Arial Unicode MS"/>
          <w:color w:val="000000"/>
          <w:szCs w:val="28"/>
          <w:u w:color="000000"/>
          <w:bdr w:val="nil"/>
          <w:lang w:eastAsia="en-US"/>
        </w:rPr>
        <w:t>2</w:t>
      </w:r>
      <w:r w:rsidR="00033986">
        <w:rPr>
          <w:rFonts w:eastAsia="PMingLiU" w:hAnsi="Arial Unicode MS" w:cs="Arial Unicode MS"/>
          <w:color w:val="000000"/>
          <w:szCs w:val="28"/>
          <w:u w:color="000000"/>
          <w:bdr w:val="nil"/>
          <w:lang w:eastAsia="en-US"/>
        </w:rPr>
        <w:t>3</w:t>
      </w:r>
    </w:p>
    <w:p w14:paraId="0BA76462" w14:textId="77777777" w:rsidR="00664170" w:rsidRPr="00664170" w:rsidRDefault="00664170" w:rsidP="006E39C1">
      <w:pPr>
        <w:tabs>
          <w:tab w:val="clear" w:pos="1440"/>
          <w:tab w:val="clear" w:pos="4320"/>
          <w:tab w:val="clear" w:pos="9072"/>
          <w:tab w:val="left" w:pos="2160"/>
        </w:tabs>
        <w:snapToGrid/>
        <w:spacing w:line="360" w:lineRule="auto"/>
        <w:ind w:left="2160" w:hanging="2160"/>
        <w:jc w:val="both"/>
        <w:rPr>
          <w:bCs/>
          <w:szCs w:val="28"/>
        </w:rPr>
      </w:pPr>
    </w:p>
    <w:p w14:paraId="2FC2B32F" w14:textId="77777777" w:rsidR="006E39C1" w:rsidRPr="006E39C1" w:rsidRDefault="006E39C1" w:rsidP="006E39C1">
      <w:pPr>
        <w:tabs>
          <w:tab w:val="clear" w:pos="1440"/>
          <w:tab w:val="clear" w:pos="4320"/>
          <w:tab w:val="clear" w:pos="9072"/>
        </w:tabs>
        <w:snapToGrid/>
        <w:spacing w:line="360" w:lineRule="auto"/>
        <w:jc w:val="center"/>
        <w:rPr>
          <w:bCs/>
          <w:szCs w:val="28"/>
          <w:lang w:val="en-GB"/>
        </w:rPr>
      </w:pPr>
      <w:r w:rsidRPr="006E39C1">
        <w:rPr>
          <w:bCs/>
          <w:szCs w:val="28"/>
          <w:lang w:val="en-GB"/>
        </w:rPr>
        <w:t>--------------------------</w:t>
      </w:r>
    </w:p>
    <w:p w14:paraId="5B60E9A8" w14:textId="77777777" w:rsidR="006E39C1" w:rsidRPr="006E39C1" w:rsidRDefault="006E39C1" w:rsidP="006E39C1">
      <w:pPr>
        <w:tabs>
          <w:tab w:val="clear" w:pos="1440"/>
          <w:tab w:val="clear" w:pos="4320"/>
          <w:tab w:val="clear" w:pos="9072"/>
        </w:tabs>
        <w:snapToGrid/>
        <w:spacing w:line="360" w:lineRule="auto"/>
        <w:jc w:val="center"/>
        <w:rPr>
          <w:bCs/>
          <w:szCs w:val="28"/>
          <w:lang w:val="en-GB"/>
        </w:rPr>
      </w:pPr>
      <w:r w:rsidRPr="006E39C1">
        <w:rPr>
          <w:bCs/>
          <w:szCs w:val="28"/>
          <w:lang w:val="en-GB"/>
        </w:rPr>
        <w:t>JUDGMENT</w:t>
      </w:r>
    </w:p>
    <w:p w14:paraId="2FF0A996" w14:textId="77777777" w:rsidR="006E39C1" w:rsidRPr="006E39C1" w:rsidRDefault="006E39C1" w:rsidP="006E39C1">
      <w:pPr>
        <w:tabs>
          <w:tab w:val="clear" w:pos="1440"/>
          <w:tab w:val="clear" w:pos="4320"/>
          <w:tab w:val="clear" w:pos="9072"/>
        </w:tabs>
        <w:snapToGrid/>
        <w:spacing w:line="360" w:lineRule="auto"/>
        <w:jc w:val="center"/>
        <w:rPr>
          <w:bCs/>
          <w:szCs w:val="28"/>
          <w:lang w:val="en-GB"/>
        </w:rPr>
      </w:pPr>
      <w:r w:rsidRPr="006E39C1">
        <w:rPr>
          <w:bCs/>
          <w:szCs w:val="28"/>
          <w:lang w:val="en-GB"/>
        </w:rPr>
        <w:t>--------------------------</w:t>
      </w:r>
    </w:p>
    <w:p w14:paraId="3EA6AFAA" w14:textId="77777777" w:rsidR="006E39C1" w:rsidRPr="00033986" w:rsidRDefault="006E39C1" w:rsidP="00033986">
      <w:pPr>
        <w:tabs>
          <w:tab w:val="clear" w:pos="4320"/>
        </w:tabs>
        <w:spacing w:line="360" w:lineRule="auto"/>
        <w:jc w:val="both"/>
        <w:rPr>
          <w:szCs w:val="28"/>
        </w:rPr>
      </w:pPr>
    </w:p>
    <w:p w14:paraId="1BADF43C" w14:textId="77777777" w:rsidR="00033986" w:rsidRPr="007F1BDA" w:rsidRDefault="007F1BDA" w:rsidP="007F1BDA">
      <w:pPr>
        <w:pStyle w:val="ListParagraph"/>
        <w:keepNext/>
        <w:keepLines/>
        <w:widowControl w:val="0"/>
        <w:tabs>
          <w:tab w:val="clear" w:pos="4320"/>
        </w:tabs>
        <w:spacing w:line="360" w:lineRule="auto"/>
        <w:ind w:left="0"/>
        <w:jc w:val="both"/>
        <w:rPr>
          <w:b/>
          <w:bCs/>
          <w:i/>
          <w:szCs w:val="28"/>
        </w:rPr>
      </w:pPr>
      <w:r w:rsidRPr="007F1BDA">
        <w:rPr>
          <w:b/>
          <w:bCs/>
          <w:i/>
          <w:szCs w:val="28"/>
        </w:rPr>
        <w:lastRenderedPageBreak/>
        <w:t xml:space="preserve">A. </w:t>
      </w:r>
      <w:r w:rsidR="00033986" w:rsidRPr="007F1BDA">
        <w:rPr>
          <w:b/>
          <w:bCs/>
          <w:i/>
          <w:szCs w:val="28"/>
        </w:rPr>
        <w:t>Introduction</w:t>
      </w:r>
    </w:p>
    <w:p w14:paraId="7B7F75B7" w14:textId="77777777" w:rsidR="00033986" w:rsidRPr="00033986" w:rsidRDefault="00033986" w:rsidP="007F1BDA">
      <w:pPr>
        <w:keepNext/>
        <w:keepLines/>
        <w:widowControl w:val="0"/>
        <w:tabs>
          <w:tab w:val="clear" w:pos="4320"/>
        </w:tabs>
        <w:spacing w:line="360" w:lineRule="auto"/>
        <w:jc w:val="both"/>
        <w:rPr>
          <w:bCs/>
          <w:szCs w:val="28"/>
          <w:u w:val="single"/>
        </w:rPr>
      </w:pPr>
    </w:p>
    <w:p w14:paraId="63D3D81A" w14:textId="77777777" w:rsidR="00033986" w:rsidRPr="00033986" w:rsidRDefault="00033986" w:rsidP="006F407B">
      <w:pPr>
        <w:pStyle w:val="ListParagraph"/>
        <w:keepNext/>
        <w:keepLines/>
        <w:widowControl w:val="0"/>
        <w:numPr>
          <w:ilvl w:val="0"/>
          <w:numId w:val="1"/>
        </w:numPr>
        <w:tabs>
          <w:tab w:val="clear" w:pos="4320"/>
        </w:tabs>
        <w:spacing w:line="360" w:lineRule="auto"/>
        <w:ind w:left="0" w:firstLine="0"/>
        <w:jc w:val="both"/>
        <w:rPr>
          <w:szCs w:val="28"/>
        </w:rPr>
      </w:pPr>
      <w:r w:rsidRPr="00033986">
        <w:rPr>
          <w:szCs w:val="28"/>
        </w:rPr>
        <w:t>This action concerns a slip and fall accident which is said to have happened in the small hours of 12 November 2016 at Wo Ming Court Carpark, 9 Ngan O Road, Tsueng Kwan O, Territories (the “Carpark”).</w:t>
      </w:r>
    </w:p>
    <w:p w14:paraId="51164991" w14:textId="77777777" w:rsidR="00033986" w:rsidRPr="00033986" w:rsidRDefault="00033986" w:rsidP="00033986">
      <w:pPr>
        <w:tabs>
          <w:tab w:val="clear" w:pos="4320"/>
        </w:tabs>
        <w:spacing w:line="360" w:lineRule="auto"/>
        <w:jc w:val="both"/>
        <w:rPr>
          <w:szCs w:val="28"/>
        </w:rPr>
      </w:pPr>
    </w:p>
    <w:p w14:paraId="5F111DA2"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At the material time, the </w:t>
      </w:r>
      <w:r w:rsidR="007F1BDA">
        <w:rPr>
          <w:szCs w:val="28"/>
        </w:rPr>
        <w:t>p</w:t>
      </w:r>
      <w:r w:rsidRPr="00033986">
        <w:rPr>
          <w:szCs w:val="28"/>
        </w:rPr>
        <w:t>laintiff was employed by the 1</w:t>
      </w:r>
      <w:r w:rsidRPr="00033986">
        <w:rPr>
          <w:szCs w:val="28"/>
          <w:vertAlign w:val="superscript"/>
        </w:rPr>
        <w:t>st</w:t>
      </w:r>
      <w:r w:rsidRPr="00033986">
        <w:rPr>
          <w:szCs w:val="28"/>
        </w:rPr>
        <w:t xml:space="preserve"> </w:t>
      </w:r>
      <w:r w:rsidR="007F1BDA">
        <w:rPr>
          <w:szCs w:val="28"/>
        </w:rPr>
        <w:t>d</w:t>
      </w:r>
      <w:r w:rsidRPr="00033986">
        <w:rPr>
          <w:szCs w:val="28"/>
        </w:rPr>
        <w:t xml:space="preserve">efendant (“D1”) as a security guard working at the Carpark. </w:t>
      </w:r>
      <w:r w:rsidR="007F1BDA">
        <w:rPr>
          <w:szCs w:val="28"/>
        </w:rPr>
        <w:t xml:space="preserve"> </w:t>
      </w:r>
      <w:r w:rsidRPr="00033986">
        <w:rPr>
          <w:szCs w:val="28"/>
        </w:rPr>
        <w:t>The 2</w:t>
      </w:r>
      <w:r w:rsidRPr="00033986">
        <w:rPr>
          <w:szCs w:val="28"/>
          <w:vertAlign w:val="superscript"/>
        </w:rPr>
        <w:t>nd</w:t>
      </w:r>
      <w:r w:rsidRPr="00033986">
        <w:rPr>
          <w:szCs w:val="28"/>
        </w:rPr>
        <w:t xml:space="preserve"> </w:t>
      </w:r>
      <w:r w:rsidR="007F1BDA">
        <w:rPr>
          <w:szCs w:val="28"/>
        </w:rPr>
        <w:t>d</w:t>
      </w:r>
      <w:r w:rsidRPr="00033986">
        <w:rPr>
          <w:szCs w:val="28"/>
        </w:rPr>
        <w:t xml:space="preserve">efendant (“D2”) was the owner of the Carpark. </w:t>
      </w:r>
      <w:r w:rsidR="007F1BDA">
        <w:rPr>
          <w:szCs w:val="28"/>
        </w:rPr>
        <w:t xml:space="preserve"> </w:t>
      </w:r>
      <w:r w:rsidRPr="00033986">
        <w:rPr>
          <w:szCs w:val="28"/>
        </w:rPr>
        <w:t>D1 was in turn a subcontractor of the 3</w:t>
      </w:r>
      <w:r w:rsidRPr="00033986">
        <w:rPr>
          <w:szCs w:val="28"/>
          <w:vertAlign w:val="superscript"/>
        </w:rPr>
        <w:t>rd</w:t>
      </w:r>
      <w:r w:rsidRPr="00033986">
        <w:rPr>
          <w:szCs w:val="28"/>
        </w:rPr>
        <w:t xml:space="preserve"> </w:t>
      </w:r>
      <w:r w:rsidR="007F1BDA">
        <w:rPr>
          <w:szCs w:val="28"/>
        </w:rPr>
        <w:t>d</w:t>
      </w:r>
      <w:r w:rsidRPr="00033986">
        <w:rPr>
          <w:szCs w:val="28"/>
        </w:rPr>
        <w:t xml:space="preserve">efendant (“D3”) who was the principal contractor responsible for the management of the Carpark. </w:t>
      </w:r>
    </w:p>
    <w:p w14:paraId="2EAAC783" w14:textId="77777777" w:rsidR="00033986" w:rsidRPr="00033986" w:rsidRDefault="00033986" w:rsidP="00033986">
      <w:pPr>
        <w:tabs>
          <w:tab w:val="clear" w:pos="4320"/>
        </w:tabs>
        <w:spacing w:line="360" w:lineRule="auto"/>
        <w:jc w:val="both"/>
        <w:rPr>
          <w:szCs w:val="28"/>
        </w:rPr>
      </w:pPr>
    </w:p>
    <w:p w14:paraId="68B4C980"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It is the </w:t>
      </w:r>
      <w:r w:rsidR="007F1BDA">
        <w:rPr>
          <w:szCs w:val="28"/>
        </w:rPr>
        <w:t>p</w:t>
      </w:r>
      <w:r w:rsidRPr="00033986">
        <w:rPr>
          <w:szCs w:val="28"/>
        </w:rPr>
        <w:t xml:space="preserve">laintiff’s case that on 12 November 2016 at around 00:25, whilst she was performing patrolling duties inside the Carpark and was walking down a staircase now identified by her as staircase </w:t>
      </w:r>
      <w:r w:rsidR="007F1BDA">
        <w:rPr>
          <w:szCs w:val="28"/>
        </w:rPr>
        <w:t>N</w:t>
      </w:r>
      <w:r w:rsidRPr="00033986">
        <w:rPr>
          <w:szCs w:val="28"/>
        </w:rPr>
        <w:t>o 1 (the “Staircase”) from the 3</w:t>
      </w:r>
      <w:r w:rsidRPr="00033986">
        <w:rPr>
          <w:szCs w:val="28"/>
          <w:vertAlign w:val="superscript"/>
        </w:rPr>
        <w:t>rd</w:t>
      </w:r>
      <w:r w:rsidRPr="00033986">
        <w:rPr>
          <w:szCs w:val="28"/>
        </w:rPr>
        <w:t xml:space="preserve"> floor to the 2</w:t>
      </w:r>
      <w:r w:rsidRPr="00033986">
        <w:rPr>
          <w:szCs w:val="28"/>
          <w:vertAlign w:val="superscript"/>
        </w:rPr>
        <w:t>nd</w:t>
      </w:r>
      <w:r w:rsidRPr="00033986">
        <w:rPr>
          <w:szCs w:val="28"/>
        </w:rPr>
        <w:t xml:space="preserve"> floor of the Carpark, she stepped on something wet and slippery at approximately 3 steps above the staircase landing at the 2</w:t>
      </w:r>
      <w:r w:rsidRPr="00033986">
        <w:rPr>
          <w:szCs w:val="28"/>
          <w:vertAlign w:val="superscript"/>
        </w:rPr>
        <w:t>nd</w:t>
      </w:r>
      <w:r w:rsidRPr="00033986">
        <w:rPr>
          <w:szCs w:val="28"/>
        </w:rPr>
        <w:t xml:space="preserve"> floor. </w:t>
      </w:r>
      <w:r w:rsidR="007F1BDA">
        <w:rPr>
          <w:szCs w:val="28"/>
        </w:rPr>
        <w:t xml:space="preserve"> </w:t>
      </w:r>
      <w:r w:rsidRPr="00033986">
        <w:rPr>
          <w:szCs w:val="28"/>
        </w:rPr>
        <w:t xml:space="preserve">It is said that she lost her balance and fell forward, landing with her knees and wrists. </w:t>
      </w:r>
      <w:r w:rsidR="007F1BDA">
        <w:rPr>
          <w:szCs w:val="28"/>
        </w:rPr>
        <w:t xml:space="preserve"> </w:t>
      </w:r>
      <w:r w:rsidRPr="00033986">
        <w:rPr>
          <w:szCs w:val="28"/>
        </w:rPr>
        <w:t xml:space="preserve">At the time of the accident, the </w:t>
      </w:r>
      <w:r w:rsidR="007F1BDA">
        <w:rPr>
          <w:szCs w:val="28"/>
        </w:rPr>
        <w:t>p</w:t>
      </w:r>
      <w:r w:rsidRPr="00033986">
        <w:rPr>
          <w:szCs w:val="28"/>
        </w:rPr>
        <w:t xml:space="preserve">laintiff was 48 years old. </w:t>
      </w:r>
    </w:p>
    <w:p w14:paraId="7AA31654" w14:textId="77777777" w:rsidR="00033986" w:rsidRPr="00033986" w:rsidRDefault="00033986" w:rsidP="00033986">
      <w:pPr>
        <w:tabs>
          <w:tab w:val="clear" w:pos="4320"/>
        </w:tabs>
        <w:spacing w:line="360" w:lineRule="auto"/>
        <w:jc w:val="both"/>
        <w:rPr>
          <w:szCs w:val="28"/>
        </w:rPr>
      </w:pPr>
    </w:p>
    <w:p w14:paraId="5D9C84C2"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7F1BDA">
        <w:rPr>
          <w:szCs w:val="28"/>
        </w:rPr>
        <w:t>p</w:t>
      </w:r>
      <w:r w:rsidRPr="00033986">
        <w:rPr>
          <w:szCs w:val="28"/>
        </w:rPr>
        <w:t xml:space="preserve">laintiff therefore claims against the </w:t>
      </w:r>
      <w:r w:rsidR="007F1BDA">
        <w:rPr>
          <w:szCs w:val="28"/>
        </w:rPr>
        <w:t>d</w:t>
      </w:r>
      <w:r w:rsidRPr="00033986">
        <w:rPr>
          <w:szCs w:val="28"/>
        </w:rPr>
        <w:t>efendants for damages in the sum of HK$1,148,656.55 plus interest</w:t>
      </w:r>
      <w:r w:rsidRPr="00033986">
        <w:rPr>
          <w:rStyle w:val="FootnoteReference"/>
          <w:szCs w:val="28"/>
        </w:rPr>
        <w:footnoteReference w:id="1"/>
      </w:r>
      <w:r w:rsidRPr="00033986">
        <w:rPr>
          <w:szCs w:val="28"/>
        </w:rPr>
        <w:t xml:space="preserve">. </w:t>
      </w:r>
      <w:r w:rsidR="007F1BDA">
        <w:rPr>
          <w:szCs w:val="28"/>
        </w:rPr>
        <w:t xml:space="preserve"> </w:t>
      </w:r>
      <w:r w:rsidRPr="00033986">
        <w:rPr>
          <w:szCs w:val="28"/>
        </w:rPr>
        <w:t xml:space="preserve">The same has already taken into account the employees’ compensation of HK$314,649. </w:t>
      </w:r>
    </w:p>
    <w:p w14:paraId="589DE436" w14:textId="77777777" w:rsidR="00033986" w:rsidRPr="00033986" w:rsidRDefault="00033986" w:rsidP="00033986">
      <w:pPr>
        <w:tabs>
          <w:tab w:val="clear" w:pos="4320"/>
        </w:tabs>
        <w:spacing w:line="360" w:lineRule="auto"/>
        <w:jc w:val="both"/>
        <w:rPr>
          <w:szCs w:val="28"/>
        </w:rPr>
      </w:pPr>
    </w:p>
    <w:p w14:paraId="3C48CE60"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lastRenderedPageBreak/>
        <w:t xml:space="preserve">The </w:t>
      </w:r>
      <w:r w:rsidR="007F1BDA">
        <w:rPr>
          <w:szCs w:val="28"/>
        </w:rPr>
        <w:t>d</w:t>
      </w:r>
      <w:r w:rsidRPr="00033986">
        <w:rPr>
          <w:szCs w:val="28"/>
        </w:rPr>
        <w:t xml:space="preserve">efendants dispute the accident occurred in the way pleaded. </w:t>
      </w:r>
      <w:r w:rsidR="007F1BDA">
        <w:rPr>
          <w:szCs w:val="28"/>
        </w:rPr>
        <w:t xml:space="preserve"> </w:t>
      </w:r>
      <w:r w:rsidRPr="00033986">
        <w:rPr>
          <w:szCs w:val="28"/>
        </w:rPr>
        <w:t xml:space="preserve">Upon clarification by the </w:t>
      </w:r>
      <w:r w:rsidR="007F1BDA">
        <w:rPr>
          <w:szCs w:val="28"/>
        </w:rPr>
        <w:t>d</w:t>
      </w:r>
      <w:r w:rsidRPr="00033986">
        <w:rPr>
          <w:szCs w:val="28"/>
        </w:rPr>
        <w:t xml:space="preserve">efendants’ counsel ie Mr Simon Wong, the </w:t>
      </w:r>
      <w:r w:rsidR="007F1BDA">
        <w:rPr>
          <w:szCs w:val="28"/>
        </w:rPr>
        <w:t>d</w:t>
      </w:r>
      <w:r w:rsidRPr="00033986">
        <w:rPr>
          <w:szCs w:val="28"/>
        </w:rPr>
        <w:t xml:space="preserve">efendants are putting forward a positive case that the accident as pleaded is fabricated. </w:t>
      </w:r>
      <w:r w:rsidR="007F1BDA">
        <w:rPr>
          <w:szCs w:val="28"/>
        </w:rPr>
        <w:t xml:space="preserve"> </w:t>
      </w:r>
      <w:r w:rsidRPr="00033986">
        <w:rPr>
          <w:szCs w:val="28"/>
        </w:rPr>
        <w:t xml:space="preserve">This is perhaps why initially, D1 included a counterclaim for the sum of HK$314,649 together with relevant costs incurred by D1 as well as that paid to the </w:t>
      </w:r>
      <w:r w:rsidR="007F1BDA">
        <w:rPr>
          <w:szCs w:val="28"/>
        </w:rPr>
        <w:t>p</w:t>
      </w:r>
      <w:r w:rsidRPr="00033986">
        <w:rPr>
          <w:szCs w:val="28"/>
        </w:rPr>
        <w:t xml:space="preserve">laintiff. </w:t>
      </w:r>
      <w:r w:rsidR="007F1BDA">
        <w:rPr>
          <w:szCs w:val="28"/>
        </w:rPr>
        <w:t xml:space="preserve"> </w:t>
      </w:r>
      <w:r w:rsidRPr="00033986">
        <w:rPr>
          <w:szCs w:val="28"/>
        </w:rPr>
        <w:t xml:space="preserve">It is said that the same was mistakenly paid out and incurred in the </w:t>
      </w:r>
      <w:r w:rsidR="007F1BDA">
        <w:rPr>
          <w:szCs w:val="28"/>
        </w:rPr>
        <w:t>p</w:t>
      </w:r>
      <w:r w:rsidRPr="00033986">
        <w:rPr>
          <w:szCs w:val="28"/>
        </w:rPr>
        <w:t xml:space="preserve">laintiff’s employees’ compensation claim in DCEC No 2266/2018 (the “EC Proceedings”). </w:t>
      </w:r>
    </w:p>
    <w:p w14:paraId="5021FBC9" w14:textId="77777777" w:rsidR="00033986" w:rsidRPr="00033986" w:rsidRDefault="00033986" w:rsidP="00033986">
      <w:pPr>
        <w:tabs>
          <w:tab w:val="clear" w:pos="4320"/>
        </w:tabs>
        <w:spacing w:line="360" w:lineRule="auto"/>
        <w:jc w:val="both"/>
        <w:rPr>
          <w:szCs w:val="28"/>
        </w:rPr>
      </w:pPr>
    </w:p>
    <w:p w14:paraId="42C52FBA"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There is no serious dispute that in the EC Proceedings, the </w:t>
      </w:r>
      <w:r w:rsidR="007F1BDA">
        <w:rPr>
          <w:szCs w:val="28"/>
        </w:rPr>
        <w:t>p</w:t>
      </w:r>
      <w:r w:rsidRPr="00033986">
        <w:rPr>
          <w:szCs w:val="28"/>
        </w:rPr>
        <w:t>laintiff claimed against D1 for employees’ compensation in respect of the same accident which is now the subject matter of this very action</w:t>
      </w:r>
      <w:r w:rsidRPr="00033986">
        <w:rPr>
          <w:rStyle w:val="FootnoteReference"/>
          <w:szCs w:val="28"/>
        </w:rPr>
        <w:footnoteReference w:id="2"/>
      </w:r>
      <w:r w:rsidRPr="00033986">
        <w:rPr>
          <w:szCs w:val="28"/>
        </w:rPr>
        <w:t>.  By the Order of H</w:t>
      </w:r>
      <w:r w:rsidR="007F1BDA">
        <w:rPr>
          <w:szCs w:val="28"/>
        </w:rPr>
        <w:t xml:space="preserve"> </w:t>
      </w:r>
      <w:r w:rsidRPr="00033986">
        <w:rPr>
          <w:szCs w:val="28"/>
        </w:rPr>
        <w:t>H Judge MK</w:t>
      </w:r>
      <w:r w:rsidR="007F1BDA">
        <w:rPr>
          <w:szCs w:val="28"/>
        </w:rPr>
        <w:t xml:space="preserve"> </w:t>
      </w:r>
      <w:r w:rsidRPr="00033986">
        <w:rPr>
          <w:szCs w:val="28"/>
        </w:rPr>
        <w:t>Liu dated 9 January 2019</w:t>
      </w:r>
      <w:r w:rsidRPr="00033986">
        <w:rPr>
          <w:rStyle w:val="FootnoteReference"/>
          <w:szCs w:val="28"/>
        </w:rPr>
        <w:footnoteReference w:id="3"/>
      </w:r>
      <w:r w:rsidRPr="00033986">
        <w:rPr>
          <w:szCs w:val="28"/>
        </w:rPr>
        <w:t xml:space="preserve">, interlocutory judgment on liability was entered by consent in favour of the </w:t>
      </w:r>
      <w:r w:rsidR="007F1BDA">
        <w:rPr>
          <w:szCs w:val="28"/>
        </w:rPr>
        <w:t>p</w:t>
      </w:r>
      <w:r w:rsidRPr="00033986">
        <w:rPr>
          <w:szCs w:val="28"/>
        </w:rPr>
        <w:t xml:space="preserve">laintiff against D1, leaving compensation to be assessed. </w:t>
      </w:r>
      <w:r w:rsidR="007F1BDA">
        <w:rPr>
          <w:szCs w:val="28"/>
        </w:rPr>
        <w:t xml:space="preserve"> </w:t>
      </w:r>
      <w:r w:rsidRPr="00033986">
        <w:rPr>
          <w:szCs w:val="28"/>
        </w:rPr>
        <w:t>Pursuant to the Consent Order dated 8 January 2020,</w:t>
      </w:r>
      <w:r w:rsidRPr="00033986">
        <w:rPr>
          <w:rStyle w:val="FootnoteReference"/>
          <w:szCs w:val="28"/>
        </w:rPr>
        <w:footnoteReference w:id="4"/>
      </w:r>
      <w:r w:rsidRPr="00033986">
        <w:rPr>
          <w:szCs w:val="28"/>
        </w:rPr>
        <w:t xml:space="preserve"> D1 paid the sum of HK$314,649 (the “Settlement Sum”) as full and final settlement of the </w:t>
      </w:r>
      <w:r w:rsidR="007F1BDA">
        <w:rPr>
          <w:szCs w:val="28"/>
        </w:rPr>
        <w:t>p</w:t>
      </w:r>
      <w:r w:rsidRPr="00033986">
        <w:rPr>
          <w:szCs w:val="28"/>
        </w:rPr>
        <w:t xml:space="preserve">laintiff’s claim in the EC Proceedings with credit to be given to the advanced payments in the sum of HK$114,649. </w:t>
      </w:r>
      <w:r w:rsidR="007F1BDA">
        <w:rPr>
          <w:szCs w:val="28"/>
        </w:rPr>
        <w:t xml:space="preserve"> </w:t>
      </w:r>
      <w:r w:rsidRPr="00033986">
        <w:rPr>
          <w:szCs w:val="28"/>
        </w:rPr>
        <w:t xml:space="preserve">Further, D1 agreed to pay the </w:t>
      </w:r>
      <w:r w:rsidR="007F1BDA">
        <w:rPr>
          <w:szCs w:val="28"/>
        </w:rPr>
        <w:t>p</w:t>
      </w:r>
      <w:r w:rsidRPr="00033986">
        <w:rPr>
          <w:szCs w:val="28"/>
        </w:rPr>
        <w:t xml:space="preserve">laintiff’s costs of the EC Proceedings, to be taxed if not agreed. </w:t>
      </w:r>
      <w:r w:rsidR="007F1BDA">
        <w:rPr>
          <w:szCs w:val="28"/>
        </w:rPr>
        <w:t xml:space="preserve"> </w:t>
      </w:r>
      <w:r w:rsidRPr="00033986">
        <w:rPr>
          <w:szCs w:val="28"/>
        </w:rPr>
        <w:t xml:space="preserve">Pursuant to Paragraph 5 of the said Consent Order, upon full payment of the balance of the Settlement Sum and costs, D1 be fully discharged from all liabilities in respect of the </w:t>
      </w:r>
      <w:r w:rsidR="007F1BDA">
        <w:rPr>
          <w:szCs w:val="28"/>
        </w:rPr>
        <w:t>p</w:t>
      </w:r>
      <w:r w:rsidRPr="00033986">
        <w:rPr>
          <w:szCs w:val="28"/>
        </w:rPr>
        <w:t xml:space="preserve">laintiff’s claim arising out of the accident on 12 November 2016, except the connecting common law claim in DCPI No 3534 of 2019 ie the action herein. </w:t>
      </w:r>
    </w:p>
    <w:p w14:paraId="21C4C704" w14:textId="77777777" w:rsidR="00033986" w:rsidRPr="00033986" w:rsidRDefault="00033986" w:rsidP="00033986">
      <w:pPr>
        <w:tabs>
          <w:tab w:val="clear" w:pos="4320"/>
        </w:tabs>
        <w:spacing w:line="360" w:lineRule="auto"/>
        <w:jc w:val="both"/>
        <w:rPr>
          <w:szCs w:val="28"/>
        </w:rPr>
      </w:pPr>
    </w:p>
    <w:p w14:paraId="1513B321"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lastRenderedPageBreak/>
        <w:t xml:space="preserve">There is also no dispute that D1 was represented by the same firm of solicitors in the EC Proceedings who is now representing all of the </w:t>
      </w:r>
      <w:r w:rsidR="007F1BDA">
        <w:rPr>
          <w:szCs w:val="28"/>
        </w:rPr>
        <w:t>d</w:t>
      </w:r>
      <w:r w:rsidRPr="00033986">
        <w:rPr>
          <w:szCs w:val="28"/>
        </w:rPr>
        <w:t xml:space="preserve">efendants herein. </w:t>
      </w:r>
    </w:p>
    <w:p w14:paraId="2FCBC830" w14:textId="77777777" w:rsidR="00033986" w:rsidRPr="00033986" w:rsidRDefault="00033986" w:rsidP="00033986">
      <w:pPr>
        <w:tabs>
          <w:tab w:val="clear" w:pos="4320"/>
        </w:tabs>
        <w:spacing w:line="360" w:lineRule="auto"/>
        <w:jc w:val="both"/>
        <w:rPr>
          <w:szCs w:val="28"/>
        </w:rPr>
      </w:pPr>
    </w:p>
    <w:p w14:paraId="37CBB30D"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Shortly before the trial was heard before me from 21 March 2023 to 24 March 2023, D1 abandoned its counterclaim. </w:t>
      </w:r>
    </w:p>
    <w:p w14:paraId="1CA0DCDB" w14:textId="77777777" w:rsidR="00033986" w:rsidRPr="00033986" w:rsidRDefault="00033986" w:rsidP="00033986">
      <w:pPr>
        <w:tabs>
          <w:tab w:val="clear" w:pos="4320"/>
        </w:tabs>
        <w:spacing w:line="360" w:lineRule="auto"/>
        <w:jc w:val="both"/>
        <w:rPr>
          <w:szCs w:val="28"/>
        </w:rPr>
      </w:pPr>
    </w:p>
    <w:p w14:paraId="62457CF2" w14:textId="77777777" w:rsidR="00033986" w:rsidRPr="007F1BDA" w:rsidRDefault="007F1BDA" w:rsidP="007F1BDA">
      <w:pPr>
        <w:pStyle w:val="ListParagraph"/>
        <w:tabs>
          <w:tab w:val="clear" w:pos="4320"/>
        </w:tabs>
        <w:spacing w:line="360" w:lineRule="auto"/>
        <w:ind w:left="0"/>
        <w:jc w:val="both"/>
        <w:rPr>
          <w:b/>
          <w:bCs/>
          <w:i/>
          <w:szCs w:val="28"/>
        </w:rPr>
      </w:pPr>
      <w:r>
        <w:rPr>
          <w:b/>
          <w:bCs/>
          <w:i/>
          <w:szCs w:val="28"/>
        </w:rPr>
        <w:t xml:space="preserve">B. </w:t>
      </w:r>
      <w:r w:rsidR="00033986" w:rsidRPr="007F1BDA">
        <w:rPr>
          <w:b/>
          <w:bCs/>
          <w:i/>
          <w:szCs w:val="28"/>
        </w:rPr>
        <w:t>The Parties’ Respective Case</w:t>
      </w:r>
    </w:p>
    <w:p w14:paraId="1ED74362" w14:textId="77777777" w:rsidR="00033986" w:rsidRPr="00033986" w:rsidRDefault="00033986" w:rsidP="00033986">
      <w:pPr>
        <w:tabs>
          <w:tab w:val="clear" w:pos="4320"/>
        </w:tabs>
        <w:spacing w:line="360" w:lineRule="auto"/>
        <w:jc w:val="both"/>
        <w:rPr>
          <w:bCs/>
          <w:szCs w:val="28"/>
          <w:u w:val="single"/>
        </w:rPr>
      </w:pPr>
    </w:p>
    <w:p w14:paraId="4340B68E"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7F1BDA">
        <w:rPr>
          <w:szCs w:val="28"/>
        </w:rPr>
        <w:t>p</w:t>
      </w:r>
      <w:r w:rsidRPr="00033986">
        <w:rPr>
          <w:szCs w:val="28"/>
        </w:rPr>
        <w:t>laintiff’s case can be briefly summarised as follows:-</w:t>
      </w:r>
    </w:p>
    <w:p w14:paraId="24A84905" w14:textId="77777777" w:rsidR="00033986" w:rsidRPr="00033986" w:rsidRDefault="00033986" w:rsidP="00033986">
      <w:pPr>
        <w:tabs>
          <w:tab w:val="clear" w:pos="4320"/>
        </w:tabs>
        <w:spacing w:line="360" w:lineRule="auto"/>
        <w:jc w:val="both"/>
        <w:rPr>
          <w:szCs w:val="28"/>
        </w:rPr>
      </w:pPr>
    </w:p>
    <w:p w14:paraId="6705F9B7" w14:textId="77777777" w:rsidR="00033986" w:rsidRPr="00033986" w:rsidRDefault="00033986" w:rsidP="006F407B">
      <w:pPr>
        <w:pStyle w:val="ListParagraph"/>
        <w:numPr>
          <w:ilvl w:val="0"/>
          <w:numId w:val="2"/>
        </w:numPr>
        <w:tabs>
          <w:tab w:val="clear" w:pos="4320"/>
          <w:tab w:val="left" w:pos="2160"/>
        </w:tabs>
        <w:spacing w:line="360" w:lineRule="auto"/>
        <w:ind w:left="2160" w:hanging="720"/>
        <w:jc w:val="both"/>
        <w:rPr>
          <w:szCs w:val="28"/>
        </w:rPr>
      </w:pPr>
      <w:r w:rsidRPr="00033986">
        <w:rPr>
          <w:szCs w:val="28"/>
        </w:rPr>
        <w:t xml:space="preserve">On 12 November 2016 at around 00:25, the </w:t>
      </w:r>
      <w:r w:rsidR="007F1BDA">
        <w:rPr>
          <w:szCs w:val="28"/>
        </w:rPr>
        <w:t>p</w:t>
      </w:r>
      <w:r w:rsidRPr="00033986">
        <w:rPr>
          <w:szCs w:val="28"/>
        </w:rPr>
        <w:t>laintiff was performing patrolling duties inside the Carpark.</w:t>
      </w:r>
    </w:p>
    <w:p w14:paraId="6B49C475" w14:textId="77777777" w:rsidR="00033986" w:rsidRPr="00033986" w:rsidRDefault="00033986" w:rsidP="007F1BDA">
      <w:pPr>
        <w:tabs>
          <w:tab w:val="clear" w:pos="4320"/>
          <w:tab w:val="left" w:pos="2160"/>
        </w:tabs>
        <w:spacing w:line="360" w:lineRule="auto"/>
        <w:ind w:left="2160" w:hanging="720"/>
        <w:jc w:val="both"/>
        <w:rPr>
          <w:szCs w:val="28"/>
        </w:rPr>
      </w:pPr>
    </w:p>
    <w:p w14:paraId="0802BAB0" w14:textId="77777777" w:rsidR="00033986" w:rsidRPr="00033986" w:rsidRDefault="00033986" w:rsidP="006F407B">
      <w:pPr>
        <w:pStyle w:val="ListParagraph"/>
        <w:numPr>
          <w:ilvl w:val="0"/>
          <w:numId w:val="2"/>
        </w:numPr>
        <w:tabs>
          <w:tab w:val="clear" w:pos="4320"/>
          <w:tab w:val="left" w:pos="2160"/>
        </w:tabs>
        <w:spacing w:line="360" w:lineRule="auto"/>
        <w:ind w:left="2160" w:hanging="720"/>
        <w:jc w:val="both"/>
        <w:rPr>
          <w:szCs w:val="28"/>
        </w:rPr>
      </w:pPr>
      <w:r w:rsidRPr="00033986">
        <w:rPr>
          <w:szCs w:val="28"/>
        </w:rPr>
        <w:t>Whilst she was walking down the Staircase from the 3</w:t>
      </w:r>
      <w:r w:rsidRPr="00033986">
        <w:rPr>
          <w:szCs w:val="28"/>
          <w:vertAlign w:val="superscript"/>
        </w:rPr>
        <w:t>rd</w:t>
      </w:r>
      <w:r w:rsidRPr="00033986">
        <w:rPr>
          <w:szCs w:val="28"/>
        </w:rPr>
        <w:t xml:space="preserve"> floor to the 2</w:t>
      </w:r>
      <w:r w:rsidRPr="00033986">
        <w:rPr>
          <w:szCs w:val="28"/>
          <w:vertAlign w:val="superscript"/>
        </w:rPr>
        <w:t>nd</w:t>
      </w:r>
      <w:r w:rsidRPr="00033986">
        <w:rPr>
          <w:szCs w:val="28"/>
        </w:rPr>
        <w:t xml:space="preserve"> floor, she stepped on something wet and slippery at approximately 3 steps above the staircase landing at the 2</w:t>
      </w:r>
      <w:r w:rsidRPr="00033986">
        <w:rPr>
          <w:szCs w:val="28"/>
          <w:vertAlign w:val="superscript"/>
        </w:rPr>
        <w:t>nd</w:t>
      </w:r>
      <w:r w:rsidRPr="00033986">
        <w:rPr>
          <w:szCs w:val="28"/>
        </w:rPr>
        <w:t xml:space="preserve"> floor. </w:t>
      </w:r>
      <w:r w:rsidR="007F1BDA">
        <w:rPr>
          <w:szCs w:val="28"/>
        </w:rPr>
        <w:t xml:space="preserve"> </w:t>
      </w:r>
      <w:r w:rsidRPr="00033986">
        <w:rPr>
          <w:szCs w:val="28"/>
        </w:rPr>
        <w:t>She lost her balance and fell forward, landing with her knees and wrists.</w:t>
      </w:r>
      <w:r w:rsidR="007F1BDA">
        <w:rPr>
          <w:szCs w:val="28"/>
        </w:rPr>
        <w:t xml:space="preserve"> </w:t>
      </w:r>
      <w:r w:rsidRPr="00033986">
        <w:rPr>
          <w:szCs w:val="28"/>
        </w:rPr>
        <w:t xml:space="preserve"> She continued to slide down the stairs until she reached the staircase landing at the 2</w:t>
      </w:r>
      <w:r w:rsidRPr="00033986">
        <w:rPr>
          <w:szCs w:val="28"/>
          <w:vertAlign w:val="superscript"/>
        </w:rPr>
        <w:t>nd</w:t>
      </w:r>
      <w:r w:rsidRPr="00033986">
        <w:rPr>
          <w:szCs w:val="28"/>
        </w:rPr>
        <w:t xml:space="preserve"> floor (the “Accident”).</w:t>
      </w:r>
    </w:p>
    <w:p w14:paraId="6BC0A0EA" w14:textId="77777777" w:rsidR="00033986" w:rsidRPr="00033986" w:rsidRDefault="00033986" w:rsidP="007F1BDA">
      <w:pPr>
        <w:tabs>
          <w:tab w:val="clear" w:pos="4320"/>
          <w:tab w:val="left" w:pos="2160"/>
        </w:tabs>
        <w:spacing w:line="360" w:lineRule="auto"/>
        <w:ind w:left="2160" w:hanging="720"/>
        <w:jc w:val="both"/>
        <w:rPr>
          <w:szCs w:val="28"/>
        </w:rPr>
      </w:pPr>
    </w:p>
    <w:p w14:paraId="57EA2CF0" w14:textId="77777777" w:rsidR="00033986" w:rsidRPr="00033986" w:rsidRDefault="00033986" w:rsidP="006F407B">
      <w:pPr>
        <w:pStyle w:val="ListParagraph"/>
        <w:numPr>
          <w:ilvl w:val="0"/>
          <w:numId w:val="2"/>
        </w:numPr>
        <w:tabs>
          <w:tab w:val="clear" w:pos="4320"/>
          <w:tab w:val="left" w:pos="2160"/>
        </w:tabs>
        <w:spacing w:line="360" w:lineRule="auto"/>
        <w:ind w:left="2160" w:hanging="720"/>
        <w:jc w:val="both"/>
        <w:rPr>
          <w:szCs w:val="28"/>
        </w:rPr>
      </w:pPr>
      <w:r w:rsidRPr="00033986">
        <w:rPr>
          <w:szCs w:val="28"/>
        </w:rPr>
        <w:t xml:space="preserve">After the Accident, she saw the floor surface area near where she slipped was wet. </w:t>
      </w:r>
      <w:r w:rsidR="007F1BDA">
        <w:rPr>
          <w:szCs w:val="28"/>
        </w:rPr>
        <w:t xml:space="preserve"> </w:t>
      </w:r>
      <w:r w:rsidRPr="00033986">
        <w:rPr>
          <w:szCs w:val="28"/>
        </w:rPr>
        <w:t xml:space="preserve">It is said that there were a few slices of poked lemon on the steps and a paper cup near the wall. </w:t>
      </w:r>
      <w:r w:rsidR="007F1BDA">
        <w:rPr>
          <w:szCs w:val="28"/>
        </w:rPr>
        <w:t xml:space="preserve"> </w:t>
      </w:r>
      <w:r w:rsidRPr="00033986">
        <w:rPr>
          <w:szCs w:val="28"/>
        </w:rPr>
        <w:t>She believed she stepped on the lemon slice(s) or the wet surface area and slipped and fell.</w:t>
      </w:r>
    </w:p>
    <w:p w14:paraId="4DCADDCF" w14:textId="77777777" w:rsidR="00033986" w:rsidRPr="00033986" w:rsidRDefault="00033986" w:rsidP="007F1BDA">
      <w:pPr>
        <w:tabs>
          <w:tab w:val="clear" w:pos="4320"/>
          <w:tab w:val="left" w:pos="2160"/>
        </w:tabs>
        <w:spacing w:line="360" w:lineRule="auto"/>
        <w:ind w:left="2160" w:hanging="720"/>
        <w:jc w:val="both"/>
        <w:rPr>
          <w:szCs w:val="28"/>
        </w:rPr>
      </w:pPr>
    </w:p>
    <w:p w14:paraId="7AAC3A3E" w14:textId="77777777" w:rsidR="00033986" w:rsidRPr="00033986" w:rsidRDefault="00033986" w:rsidP="006F407B">
      <w:pPr>
        <w:pStyle w:val="ListParagraph"/>
        <w:numPr>
          <w:ilvl w:val="0"/>
          <w:numId w:val="2"/>
        </w:numPr>
        <w:tabs>
          <w:tab w:val="clear" w:pos="4320"/>
          <w:tab w:val="left" w:pos="2160"/>
        </w:tabs>
        <w:spacing w:line="360" w:lineRule="auto"/>
        <w:ind w:left="2160" w:hanging="720"/>
        <w:jc w:val="both"/>
        <w:rPr>
          <w:szCs w:val="28"/>
        </w:rPr>
      </w:pPr>
      <w:r w:rsidRPr="00033986">
        <w:rPr>
          <w:szCs w:val="28"/>
        </w:rPr>
        <w:lastRenderedPageBreak/>
        <w:t xml:space="preserve">After she slipped and fell, she felt that her right wrist, both knees and right ankle was very painful. </w:t>
      </w:r>
      <w:r w:rsidR="007F1BDA">
        <w:rPr>
          <w:szCs w:val="28"/>
        </w:rPr>
        <w:t xml:space="preserve"> </w:t>
      </w:r>
      <w:r w:rsidRPr="00033986">
        <w:rPr>
          <w:szCs w:val="28"/>
        </w:rPr>
        <w:t xml:space="preserve">After resting for a while, she slowly stood up and walked down the Staircase to ground floor. </w:t>
      </w:r>
      <w:r w:rsidR="007F1BDA">
        <w:rPr>
          <w:szCs w:val="28"/>
        </w:rPr>
        <w:t xml:space="preserve"> </w:t>
      </w:r>
      <w:r w:rsidRPr="00033986">
        <w:rPr>
          <w:szCs w:val="28"/>
        </w:rPr>
        <w:t>She returned to the office of the Carpark to rest.</w:t>
      </w:r>
    </w:p>
    <w:p w14:paraId="3C4359E1" w14:textId="77777777" w:rsidR="00033986" w:rsidRPr="00033986" w:rsidRDefault="00033986" w:rsidP="007F1BDA">
      <w:pPr>
        <w:tabs>
          <w:tab w:val="clear" w:pos="4320"/>
          <w:tab w:val="left" w:pos="2160"/>
        </w:tabs>
        <w:spacing w:line="360" w:lineRule="auto"/>
        <w:ind w:left="2160" w:hanging="720"/>
        <w:jc w:val="both"/>
        <w:rPr>
          <w:szCs w:val="28"/>
        </w:rPr>
      </w:pPr>
    </w:p>
    <w:p w14:paraId="7EDBE23A" w14:textId="77777777" w:rsidR="00033986" w:rsidRPr="00033986" w:rsidRDefault="00033986" w:rsidP="006F407B">
      <w:pPr>
        <w:pStyle w:val="ListParagraph"/>
        <w:numPr>
          <w:ilvl w:val="0"/>
          <w:numId w:val="2"/>
        </w:numPr>
        <w:tabs>
          <w:tab w:val="clear" w:pos="4320"/>
          <w:tab w:val="left" w:pos="2160"/>
        </w:tabs>
        <w:spacing w:line="360" w:lineRule="auto"/>
        <w:ind w:left="2160" w:hanging="720"/>
        <w:jc w:val="both"/>
        <w:rPr>
          <w:szCs w:val="28"/>
        </w:rPr>
      </w:pPr>
      <w:r w:rsidRPr="00033986">
        <w:rPr>
          <w:szCs w:val="28"/>
        </w:rPr>
        <w:t xml:space="preserve">She was the only one on duty. </w:t>
      </w:r>
      <w:r w:rsidR="007F1BDA">
        <w:rPr>
          <w:szCs w:val="28"/>
        </w:rPr>
        <w:t xml:space="preserve"> </w:t>
      </w:r>
      <w:r w:rsidRPr="00033986">
        <w:rPr>
          <w:szCs w:val="28"/>
        </w:rPr>
        <w:t xml:space="preserve">Out of fear of being scolded or blamed by her supervisor, she did not immediately report the Accident. </w:t>
      </w:r>
      <w:r w:rsidR="007F1BDA">
        <w:rPr>
          <w:szCs w:val="28"/>
        </w:rPr>
        <w:t xml:space="preserve"> </w:t>
      </w:r>
      <w:r w:rsidRPr="00033986">
        <w:rPr>
          <w:szCs w:val="28"/>
        </w:rPr>
        <w:t xml:space="preserve">She continued to stay on duty until 7 am when her shift ended and her supervisor, ie </w:t>
      </w:r>
      <w:r w:rsidRPr="007F1BDA">
        <w:rPr>
          <w:rFonts w:ascii="PMingLiU" w:eastAsia="PMingLiU" w:hAnsi="PMingLiU"/>
          <w:szCs w:val="28"/>
        </w:rPr>
        <w:t>黃觀玉</w:t>
      </w:r>
      <w:r w:rsidRPr="00033986">
        <w:rPr>
          <w:szCs w:val="28"/>
        </w:rPr>
        <w:t xml:space="preserve"> (“Madam Wong”) took over.</w:t>
      </w:r>
    </w:p>
    <w:p w14:paraId="5482D4F0" w14:textId="77777777" w:rsidR="00033986" w:rsidRPr="00033986" w:rsidRDefault="00033986" w:rsidP="007F1BDA">
      <w:pPr>
        <w:tabs>
          <w:tab w:val="clear" w:pos="4320"/>
          <w:tab w:val="left" w:pos="2160"/>
        </w:tabs>
        <w:spacing w:line="360" w:lineRule="auto"/>
        <w:ind w:left="2160" w:hanging="720"/>
        <w:jc w:val="both"/>
        <w:rPr>
          <w:szCs w:val="28"/>
        </w:rPr>
      </w:pPr>
    </w:p>
    <w:p w14:paraId="3A2FDD6B" w14:textId="77777777" w:rsidR="00033986" w:rsidRPr="00033986" w:rsidRDefault="00033986" w:rsidP="006F407B">
      <w:pPr>
        <w:pStyle w:val="ListParagraph"/>
        <w:numPr>
          <w:ilvl w:val="0"/>
          <w:numId w:val="2"/>
        </w:numPr>
        <w:tabs>
          <w:tab w:val="clear" w:pos="4320"/>
          <w:tab w:val="left" w:pos="2160"/>
        </w:tabs>
        <w:spacing w:line="360" w:lineRule="auto"/>
        <w:ind w:left="2160" w:hanging="720"/>
        <w:jc w:val="both"/>
        <w:rPr>
          <w:szCs w:val="28"/>
        </w:rPr>
      </w:pPr>
      <w:r w:rsidRPr="00033986">
        <w:rPr>
          <w:szCs w:val="28"/>
        </w:rPr>
        <w:t xml:space="preserve">After work, she went home to rest. </w:t>
      </w:r>
      <w:r w:rsidR="007F1BDA">
        <w:rPr>
          <w:szCs w:val="28"/>
        </w:rPr>
        <w:t xml:space="preserve"> </w:t>
      </w:r>
      <w:r w:rsidRPr="00033986">
        <w:rPr>
          <w:szCs w:val="28"/>
        </w:rPr>
        <w:t>She felt the pain was unbearable and attended the Orthopaedics &amp; Traumatology (“O&amp;T) Out-patient clinic of St Teresa Hospital (“STH”) for treatment.</w:t>
      </w:r>
      <w:r w:rsidR="007F1BDA">
        <w:rPr>
          <w:szCs w:val="28"/>
        </w:rPr>
        <w:t xml:space="preserve"> </w:t>
      </w:r>
      <w:r w:rsidRPr="00033986">
        <w:rPr>
          <w:szCs w:val="28"/>
        </w:rPr>
        <w:t xml:space="preserve"> Physical examination revealed that there was tenderness at right ankle with swelling at peroneal tendon but X-ray revealed no fracture nor dislocation. </w:t>
      </w:r>
      <w:r w:rsidR="007418CE">
        <w:rPr>
          <w:szCs w:val="28"/>
        </w:rPr>
        <w:t xml:space="preserve"> </w:t>
      </w:r>
      <w:r w:rsidRPr="00033986">
        <w:rPr>
          <w:szCs w:val="28"/>
        </w:rPr>
        <w:t xml:space="preserve">There was also right wrist tenderness, right knee effusion with limited range-of-movement. </w:t>
      </w:r>
      <w:r w:rsidR="007418CE">
        <w:rPr>
          <w:szCs w:val="28"/>
        </w:rPr>
        <w:t xml:space="preserve"> </w:t>
      </w:r>
      <w:r w:rsidRPr="00033986">
        <w:rPr>
          <w:szCs w:val="28"/>
        </w:rPr>
        <w:t xml:space="preserve">She was then admitted on the same day for further care. </w:t>
      </w:r>
      <w:r w:rsidR="007418CE">
        <w:rPr>
          <w:szCs w:val="28"/>
        </w:rPr>
        <w:t xml:space="preserve"> </w:t>
      </w:r>
      <w:r w:rsidRPr="00033986">
        <w:rPr>
          <w:szCs w:val="28"/>
        </w:rPr>
        <w:t>MRI right knee revealed cartilage loss at lateral facet of patella and she was treated with physiotherapy and intraarticular injection of hyaluronic acid.</w:t>
      </w:r>
    </w:p>
    <w:p w14:paraId="594E30BB" w14:textId="77777777" w:rsidR="00033986" w:rsidRPr="00033986" w:rsidRDefault="00033986" w:rsidP="007F1BDA">
      <w:pPr>
        <w:tabs>
          <w:tab w:val="clear" w:pos="4320"/>
          <w:tab w:val="left" w:pos="2160"/>
        </w:tabs>
        <w:spacing w:line="360" w:lineRule="auto"/>
        <w:ind w:left="2160" w:hanging="720"/>
        <w:jc w:val="both"/>
        <w:rPr>
          <w:szCs w:val="28"/>
        </w:rPr>
      </w:pPr>
    </w:p>
    <w:p w14:paraId="27B04E20" w14:textId="77777777" w:rsidR="00033986" w:rsidRPr="00033986" w:rsidRDefault="00033986" w:rsidP="006F407B">
      <w:pPr>
        <w:pStyle w:val="ListParagraph"/>
        <w:numPr>
          <w:ilvl w:val="0"/>
          <w:numId w:val="2"/>
        </w:numPr>
        <w:tabs>
          <w:tab w:val="clear" w:pos="4320"/>
          <w:tab w:val="left" w:pos="2160"/>
        </w:tabs>
        <w:spacing w:line="360" w:lineRule="auto"/>
        <w:ind w:left="2160" w:hanging="720"/>
        <w:jc w:val="both"/>
        <w:rPr>
          <w:szCs w:val="28"/>
        </w:rPr>
      </w:pPr>
      <w:r w:rsidRPr="00033986">
        <w:rPr>
          <w:szCs w:val="28"/>
        </w:rPr>
        <w:t xml:space="preserve">Upon being told she had to be admitted for further care, she called Madam Wong to inform her that she had a </w:t>
      </w:r>
      <w:r w:rsidRPr="00033986">
        <w:rPr>
          <w:szCs w:val="28"/>
        </w:rPr>
        <w:lastRenderedPageBreak/>
        <w:t xml:space="preserve">fall and is hospitalized such that she would not be able to go to work and would need to take leave. </w:t>
      </w:r>
      <w:r w:rsidR="007418CE">
        <w:rPr>
          <w:szCs w:val="28"/>
        </w:rPr>
        <w:t xml:space="preserve"> </w:t>
      </w:r>
      <w:r w:rsidRPr="00033986">
        <w:rPr>
          <w:szCs w:val="28"/>
        </w:rPr>
        <w:t>She did however tell Madam Wong that she fell at the staircase.</w:t>
      </w:r>
    </w:p>
    <w:p w14:paraId="31B1F373" w14:textId="77777777" w:rsidR="00033986" w:rsidRPr="00033986" w:rsidRDefault="00033986" w:rsidP="007F1BDA">
      <w:pPr>
        <w:tabs>
          <w:tab w:val="clear" w:pos="4320"/>
          <w:tab w:val="left" w:pos="2160"/>
        </w:tabs>
        <w:spacing w:line="360" w:lineRule="auto"/>
        <w:ind w:left="2160" w:hanging="720"/>
        <w:jc w:val="both"/>
        <w:rPr>
          <w:szCs w:val="28"/>
        </w:rPr>
      </w:pPr>
    </w:p>
    <w:p w14:paraId="12D543BE" w14:textId="77777777" w:rsidR="00033986" w:rsidRPr="00033986" w:rsidRDefault="00033986" w:rsidP="006F407B">
      <w:pPr>
        <w:pStyle w:val="ListParagraph"/>
        <w:numPr>
          <w:ilvl w:val="0"/>
          <w:numId w:val="2"/>
        </w:numPr>
        <w:tabs>
          <w:tab w:val="clear" w:pos="4320"/>
          <w:tab w:val="left" w:pos="2160"/>
        </w:tabs>
        <w:spacing w:line="360" w:lineRule="auto"/>
        <w:ind w:left="2160" w:hanging="720"/>
        <w:jc w:val="both"/>
        <w:rPr>
          <w:szCs w:val="28"/>
        </w:rPr>
      </w:pPr>
      <w:r w:rsidRPr="00033986">
        <w:rPr>
          <w:szCs w:val="28"/>
        </w:rPr>
        <w:t>She was discharged on 15 November 2016.  On the same day, she went to the Carpark with her husband to make a report for injury.</w:t>
      </w:r>
      <w:r w:rsidR="007418CE">
        <w:rPr>
          <w:szCs w:val="28"/>
        </w:rPr>
        <w:t xml:space="preserve"> </w:t>
      </w:r>
      <w:r w:rsidRPr="00033986">
        <w:rPr>
          <w:szCs w:val="28"/>
        </w:rPr>
        <w:t xml:space="preserve"> According to the </w:t>
      </w:r>
      <w:r w:rsidR="007418CE">
        <w:rPr>
          <w:szCs w:val="28"/>
        </w:rPr>
        <w:t>p</w:t>
      </w:r>
      <w:r w:rsidRPr="00033986">
        <w:rPr>
          <w:szCs w:val="28"/>
        </w:rPr>
        <w:t xml:space="preserve">laintiff, Madam Wong told her to write an accident report. </w:t>
      </w:r>
      <w:r w:rsidR="007418CE">
        <w:rPr>
          <w:szCs w:val="28"/>
        </w:rPr>
        <w:t xml:space="preserve"> </w:t>
      </w:r>
      <w:r w:rsidRPr="00033986">
        <w:rPr>
          <w:szCs w:val="28"/>
        </w:rPr>
        <w:t xml:space="preserve">As the </w:t>
      </w:r>
      <w:r w:rsidR="007418CE">
        <w:rPr>
          <w:szCs w:val="28"/>
        </w:rPr>
        <w:t>p</w:t>
      </w:r>
      <w:r w:rsidRPr="00033986">
        <w:rPr>
          <w:szCs w:val="28"/>
        </w:rPr>
        <w:t>laintiff did not know how to write, Madam Wong helped her wrote the same on a piece of paper so that her husband could copy the same onto another piece of paper</w:t>
      </w:r>
      <w:r w:rsidRPr="00033986">
        <w:rPr>
          <w:rStyle w:val="FootnoteReference"/>
          <w:szCs w:val="28"/>
        </w:rPr>
        <w:footnoteReference w:id="5"/>
      </w:r>
      <w:r w:rsidRPr="00033986">
        <w:rPr>
          <w:szCs w:val="28"/>
        </w:rPr>
        <w:t xml:space="preserve"> as well as the Link Incident Report (</w:t>
      </w:r>
      <w:r w:rsidRPr="007418CE">
        <w:rPr>
          <w:rFonts w:ascii="PMingLiU" w:eastAsia="PMingLiU" w:hAnsi="PMingLiU"/>
          <w:szCs w:val="28"/>
        </w:rPr>
        <w:t>領展事件報告</w:t>
      </w:r>
      <w:r w:rsidRPr="00033986">
        <w:rPr>
          <w:szCs w:val="28"/>
        </w:rPr>
        <w:t>)</w:t>
      </w:r>
      <w:r w:rsidRPr="00033986">
        <w:rPr>
          <w:rStyle w:val="FootnoteReference"/>
          <w:szCs w:val="28"/>
        </w:rPr>
        <w:footnoteReference w:id="6"/>
      </w:r>
      <w:r w:rsidRPr="00033986">
        <w:rPr>
          <w:szCs w:val="28"/>
        </w:rPr>
        <w:t>.</w:t>
      </w:r>
    </w:p>
    <w:p w14:paraId="1A949602" w14:textId="77777777" w:rsidR="00033986" w:rsidRPr="00033986" w:rsidRDefault="00033986" w:rsidP="00033986">
      <w:pPr>
        <w:tabs>
          <w:tab w:val="clear" w:pos="4320"/>
        </w:tabs>
        <w:spacing w:line="360" w:lineRule="auto"/>
        <w:jc w:val="both"/>
        <w:rPr>
          <w:szCs w:val="28"/>
        </w:rPr>
      </w:pPr>
    </w:p>
    <w:p w14:paraId="514B973A"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7418CE">
        <w:rPr>
          <w:szCs w:val="28"/>
        </w:rPr>
        <w:t>p</w:t>
      </w:r>
      <w:r w:rsidRPr="00033986">
        <w:rPr>
          <w:szCs w:val="28"/>
        </w:rPr>
        <w:t xml:space="preserve">laintiff’s case is that the Accident was caused by the </w:t>
      </w:r>
      <w:r w:rsidR="007418CE">
        <w:rPr>
          <w:szCs w:val="28"/>
        </w:rPr>
        <w:t>d</w:t>
      </w:r>
      <w:r w:rsidRPr="00033986">
        <w:rPr>
          <w:szCs w:val="28"/>
        </w:rPr>
        <w:t xml:space="preserve">efendants’ negligence such that the </w:t>
      </w:r>
      <w:r w:rsidR="007418CE">
        <w:rPr>
          <w:szCs w:val="28"/>
        </w:rPr>
        <w:t>p</w:t>
      </w:r>
      <w:r w:rsidRPr="00033986">
        <w:rPr>
          <w:szCs w:val="28"/>
        </w:rPr>
        <w:t xml:space="preserve">laintiff had sustained right knee, right wrist, right ankle and psychiatric injuries. </w:t>
      </w:r>
      <w:r w:rsidR="007418CE">
        <w:rPr>
          <w:szCs w:val="28"/>
        </w:rPr>
        <w:t xml:space="preserve"> </w:t>
      </w:r>
      <w:r w:rsidRPr="00033986">
        <w:rPr>
          <w:szCs w:val="28"/>
        </w:rPr>
        <w:t xml:space="preserve">It is therefore said that the </w:t>
      </w:r>
      <w:r w:rsidR="007418CE">
        <w:rPr>
          <w:szCs w:val="28"/>
        </w:rPr>
        <w:t>d</w:t>
      </w:r>
      <w:r w:rsidRPr="00033986">
        <w:rPr>
          <w:szCs w:val="28"/>
        </w:rPr>
        <w:t xml:space="preserve">efendants were in breach of their common law duty of care and/or statutory duty as employer as well as occupier(s).  </w:t>
      </w:r>
    </w:p>
    <w:p w14:paraId="5BF5775E" w14:textId="77777777" w:rsidR="00033986" w:rsidRPr="00033986" w:rsidRDefault="00033986" w:rsidP="00033986">
      <w:pPr>
        <w:tabs>
          <w:tab w:val="clear" w:pos="4320"/>
        </w:tabs>
        <w:spacing w:line="360" w:lineRule="auto"/>
        <w:jc w:val="both"/>
        <w:rPr>
          <w:szCs w:val="28"/>
        </w:rPr>
      </w:pPr>
    </w:p>
    <w:p w14:paraId="72F12F2E"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7418CE">
        <w:rPr>
          <w:szCs w:val="28"/>
        </w:rPr>
        <w:t>d</w:t>
      </w:r>
      <w:r w:rsidRPr="00033986">
        <w:rPr>
          <w:szCs w:val="28"/>
        </w:rPr>
        <w:t xml:space="preserve">efendants dispute whether the Accident did in fact occur or occur as described or pleaded by the </w:t>
      </w:r>
      <w:r w:rsidR="007418CE">
        <w:rPr>
          <w:szCs w:val="28"/>
        </w:rPr>
        <w:t>p</w:t>
      </w:r>
      <w:r w:rsidRPr="00033986">
        <w:rPr>
          <w:szCs w:val="28"/>
        </w:rPr>
        <w:t xml:space="preserve">laintiff. </w:t>
      </w:r>
      <w:r w:rsidR="007418CE">
        <w:rPr>
          <w:szCs w:val="28"/>
        </w:rPr>
        <w:t xml:space="preserve"> </w:t>
      </w:r>
      <w:r w:rsidRPr="00033986">
        <w:rPr>
          <w:szCs w:val="28"/>
        </w:rPr>
        <w:t xml:space="preserve">Whilst D1 has abandoned its counterclaim, the </w:t>
      </w:r>
      <w:r w:rsidR="007418CE">
        <w:rPr>
          <w:szCs w:val="28"/>
        </w:rPr>
        <w:t>d</w:t>
      </w:r>
      <w:r w:rsidRPr="00033986">
        <w:rPr>
          <w:szCs w:val="28"/>
        </w:rPr>
        <w:t xml:space="preserve">efendants nevertheless maintain that the Accident ie the </w:t>
      </w:r>
      <w:r w:rsidR="007418CE">
        <w:rPr>
          <w:szCs w:val="28"/>
        </w:rPr>
        <w:t>p</w:t>
      </w:r>
      <w:r w:rsidRPr="00033986">
        <w:rPr>
          <w:szCs w:val="28"/>
        </w:rPr>
        <w:t xml:space="preserve">laintiff slipped and fell on the Staircase after she stepped on something wet and slippery, is a fabrication. </w:t>
      </w:r>
      <w:r w:rsidR="007418CE">
        <w:rPr>
          <w:szCs w:val="28"/>
        </w:rPr>
        <w:t xml:space="preserve"> </w:t>
      </w:r>
      <w:r w:rsidRPr="00033986">
        <w:rPr>
          <w:szCs w:val="28"/>
        </w:rPr>
        <w:t xml:space="preserve">In particular, the </w:t>
      </w:r>
      <w:r w:rsidR="007418CE">
        <w:rPr>
          <w:szCs w:val="28"/>
        </w:rPr>
        <w:t>d</w:t>
      </w:r>
      <w:r w:rsidRPr="00033986">
        <w:rPr>
          <w:szCs w:val="28"/>
        </w:rPr>
        <w:t xml:space="preserve">efendants are adamant that the </w:t>
      </w:r>
      <w:r w:rsidR="007418CE">
        <w:rPr>
          <w:szCs w:val="28"/>
        </w:rPr>
        <w:t>p</w:t>
      </w:r>
      <w:r w:rsidRPr="00033986">
        <w:rPr>
          <w:szCs w:val="28"/>
        </w:rPr>
        <w:t xml:space="preserve">laintiff had first rang Madam Wong on 12 November 2016 that </w:t>
      </w:r>
      <w:r w:rsidRPr="00033986">
        <w:rPr>
          <w:szCs w:val="28"/>
        </w:rPr>
        <w:lastRenderedPageBreak/>
        <w:t>she had a fall when taking transportation or getting on/off the bus on 11 November 2016.</w:t>
      </w:r>
    </w:p>
    <w:p w14:paraId="29ABF657" w14:textId="77777777" w:rsidR="00033986" w:rsidRPr="00033986" w:rsidRDefault="00033986" w:rsidP="00033986">
      <w:pPr>
        <w:tabs>
          <w:tab w:val="clear" w:pos="4320"/>
        </w:tabs>
        <w:spacing w:line="360" w:lineRule="auto"/>
        <w:jc w:val="both"/>
        <w:rPr>
          <w:szCs w:val="28"/>
        </w:rPr>
      </w:pPr>
    </w:p>
    <w:p w14:paraId="4516408C"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Even if the Accident had in fact occurred, the </w:t>
      </w:r>
      <w:r w:rsidR="007418CE">
        <w:rPr>
          <w:szCs w:val="28"/>
        </w:rPr>
        <w:t>d</w:t>
      </w:r>
      <w:r w:rsidRPr="00033986">
        <w:rPr>
          <w:szCs w:val="28"/>
        </w:rPr>
        <w:t xml:space="preserve">efendants’ case is that they should not be held liable for the same. </w:t>
      </w:r>
      <w:r w:rsidR="007418CE">
        <w:rPr>
          <w:szCs w:val="28"/>
        </w:rPr>
        <w:t xml:space="preserve"> </w:t>
      </w:r>
      <w:r w:rsidRPr="00033986">
        <w:rPr>
          <w:szCs w:val="28"/>
        </w:rPr>
        <w:t xml:space="preserve">If and insofar as liability is established, the Accident was also caused by or contributed to by the </w:t>
      </w:r>
      <w:r w:rsidR="007418CE">
        <w:rPr>
          <w:szCs w:val="28"/>
        </w:rPr>
        <w:t>p</w:t>
      </w:r>
      <w:r w:rsidRPr="00033986">
        <w:rPr>
          <w:szCs w:val="28"/>
        </w:rPr>
        <w:t xml:space="preserve">laintiff’s own negligence. </w:t>
      </w:r>
      <w:r w:rsidR="007418CE">
        <w:rPr>
          <w:szCs w:val="28"/>
        </w:rPr>
        <w:t xml:space="preserve"> </w:t>
      </w:r>
      <w:r w:rsidRPr="00033986">
        <w:rPr>
          <w:szCs w:val="28"/>
        </w:rPr>
        <w:t xml:space="preserve">At the same time, the </w:t>
      </w:r>
      <w:r w:rsidR="007418CE">
        <w:rPr>
          <w:szCs w:val="28"/>
        </w:rPr>
        <w:t>d</w:t>
      </w:r>
      <w:r w:rsidRPr="00033986">
        <w:rPr>
          <w:szCs w:val="28"/>
        </w:rPr>
        <w:t>efendants also dispute the quantum claimed.</w:t>
      </w:r>
    </w:p>
    <w:p w14:paraId="01B705A4" w14:textId="77777777" w:rsidR="00033986" w:rsidRPr="00033986" w:rsidRDefault="00033986" w:rsidP="00033986">
      <w:pPr>
        <w:tabs>
          <w:tab w:val="clear" w:pos="4320"/>
        </w:tabs>
        <w:spacing w:line="360" w:lineRule="auto"/>
        <w:jc w:val="both"/>
        <w:rPr>
          <w:szCs w:val="28"/>
        </w:rPr>
      </w:pPr>
    </w:p>
    <w:p w14:paraId="656022B1" w14:textId="77777777" w:rsidR="00033986" w:rsidRPr="007418CE" w:rsidRDefault="007418CE" w:rsidP="007418CE">
      <w:pPr>
        <w:pStyle w:val="ListParagraph"/>
        <w:tabs>
          <w:tab w:val="clear" w:pos="4320"/>
        </w:tabs>
        <w:spacing w:line="360" w:lineRule="auto"/>
        <w:ind w:left="0"/>
        <w:jc w:val="both"/>
        <w:rPr>
          <w:b/>
          <w:bCs/>
          <w:i/>
          <w:szCs w:val="28"/>
        </w:rPr>
      </w:pPr>
      <w:r w:rsidRPr="007418CE">
        <w:rPr>
          <w:b/>
          <w:bCs/>
          <w:i/>
          <w:szCs w:val="28"/>
        </w:rPr>
        <w:t xml:space="preserve">C. </w:t>
      </w:r>
      <w:r w:rsidR="00033986" w:rsidRPr="007418CE">
        <w:rPr>
          <w:b/>
          <w:bCs/>
          <w:i/>
          <w:szCs w:val="28"/>
        </w:rPr>
        <w:t>Relevant Issues</w:t>
      </w:r>
    </w:p>
    <w:p w14:paraId="341FD066" w14:textId="77777777" w:rsidR="00033986" w:rsidRPr="00033986" w:rsidRDefault="00033986" w:rsidP="00033986">
      <w:pPr>
        <w:tabs>
          <w:tab w:val="clear" w:pos="4320"/>
        </w:tabs>
        <w:spacing w:line="360" w:lineRule="auto"/>
        <w:jc w:val="both"/>
        <w:rPr>
          <w:bCs/>
          <w:szCs w:val="28"/>
          <w:u w:val="single"/>
        </w:rPr>
      </w:pPr>
    </w:p>
    <w:p w14:paraId="438A9958"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The parties agreed the key issues are:-</w:t>
      </w:r>
    </w:p>
    <w:p w14:paraId="372998F7" w14:textId="77777777" w:rsidR="00033986" w:rsidRPr="00033986" w:rsidRDefault="00033986" w:rsidP="00033986">
      <w:pPr>
        <w:tabs>
          <w:tab w:val="clear" w:pos="4320"/>
        </w:tabs>
        <w:spacing w:line="360" w:lineRule="auto"/>
        <w:jc w:val="both"/>
        <w:rPr>
          <w:szCs w:val="28"/>
        </w:rPr>
      </w:pPr>
    </w:p>
    <w:p w14:paraId="51DE06F5" w14:textId="77777777" w:rsidR="00033986" w:rsidRDefault="00033986" w:rsidP="006F407B">
      <w:pPr>
        <w:pStyle w:val="ListParagraph"/>
        <w:numPr>
          <w:ilvl w:val="0"/>
          <w:numId w:val="3"/>
        </w:numPr>
        <w:tabs>
          <w:tab w:val="clear" w:pos="4320"/>
          <w:tab w:val="left" w:pos="2160"/>
        </w:tabs>
        <w:spacing w:line="360" w:lineRule="auto"/>
        <w:ind w:left="2160" w:hanging="720"/>
        <w:jc w:val="both"/>
        <w:rPr>
          <w:szCs w:val="28"/>
        </w:rPr>
      </w:pPr>
      <w:r w:rsidRPr="00033986">
        <w:rPr>
          <w:szCs w:val="28"/>
        </w:rPr>
        <w:t xml:space="preserve">Whether the Accident occurred ie whether the </w:t>
      </w:r>
      <w:r w:rsidR="007418CE">
        <w:rPr>
          <w:szCs w:val="28"/>
        </w:rPr>
        <w:t>p</w:t>
      </w:r>
      <w:r w:rsidRPr="00033986">
        <w:rPr>
          <w:szCs w:val="28"/>
        </w:rPr>
        <w:t>laintiff slipped and f</w:t>
      </w:r>
      <w:r w:rsidR="007418CE">
        <w:rPr>
          <w:szCs w:val="28"/>
        </w:rPr>
        <w:t>ell on the Staircase as alleged?</w:t>
      </w:r>
    </w:p>
    <w:p w14:paraId="4DBDCCEE" w14:textId="77777777" w:rsidR="007418CE" w:rsidRPr="00033986" w:rsidRDefault="007418CE" w:rsidP="007418CE">
      <w:pPr>
        <w:pStyle w:val="ListParagraph"/>
        <w:tabs>
          <w:tab w:val="clear" w:pos="4320"/>
          <w:tab w:val="left" w:pos="2160"/>
        </w:tabs>
        <w:spacing w:line="360" w:lineRule="auto"/>
        <w:ind w:left="2160"/>
        <w:jc w:val="both"/>
        <w:rPr>
          <w:szCs w:val="28"/>
        </w:rPr>
      </w:pPr>
    </w:p>
    <w:p w14:paraId="056B9DD5" w14:textId="77777777" w:rsidR="00033986" w:rsidRPr="00033986" w:rsidRDefault="00033986" w:rsidP="006F407B">
      <w:pPr>
        <w:pStyle w:val="ListParagraph"/>
        <w:numPr>
          <w:ilvl w:val="0"/>
          <w:numId w:val="3"/>
        </w:numPr>
        <w:tabs>
          <w:tab w:val="clear" w:pos="4320"/>
          <w:tab w:val="left" w:pos="2160"/>
        </w:tabs>
        <w:spacing w:line="360" w:lineRule="auto"/>
        <w:ind w:left="2160" w:hanging="720"/>
        <w:jc w:val="both"/>
        <w:rPr>
          <w:szCs w:val="28"/>
        </w:rPr>
      </w:pPr>
      <w:r w:rsidRPr="00033986">
        <w:rPr>
          <w:szCs w:val="28"/>
        </w:rPr>
        <w:t>Whether the slip was caused by the alleged wet and slippery substance on the Staircase?</w:t>
      </w:r>
    </w:p>
    <w:p w14:paraId="0C929FEA" w14:textId="77777777" w:rsidR="00033986" w:rsidRPr="00033986" w:rsidRDefault="00033986" w:rsidP="007418CE">
      <w:pPr>
        <w:tabs>
          <w:tab w:val="clear" w:pos="4320"/>
          <w:tab w:val="left" w:pos="2160"/>
        </w:tabs>
        <w:spacing w:line="360" w:lineRule="auto"/>
        <w:ind w:left="2160" w:hanging="720"/>
        <w:jc w:val="both"/>
        <w:rPr>
          <w:szCs w:val="28"/>
        </w:rPr>
      </w:pPr>
    </w:p>
    <w:p w14:paraId="700D9BF0" w14:textId="77777777" w:rsidR="00033986" w:rsidRPr="00033986" w:rsidRDefault="00033986" w:rsidP="006F407B">
      <w:pPr>
        <w:pStyle w:val="ListParagraph"/>
        <w:numPr>
          <w:ilvl w:val="0"/>
          <w:numId w:val="3"/>
        </w:numPr>
        <w:tabs>
          <w:tab w:val="clear" w:pos="4320"/>
          <w:tab w:val="left" w:pos="2160"/>
        </w:tabs>
        <w:spacing w:line="360" w:lineRule="auto"/>
        <w:ind w:left="2160" w:hanging="720"/>
        <w:jc w:val="both"/>
        <w:rPr>
          <w:szCs w:val="28"/>
        </w:rPr>
      </w:pPr>
      <w:r w:rsidRPr="00033986">
        <w:rPr>
          <w:szCs w:val="28"/>
        </w:rPr>
        <w:t xml:space="preserve">Whether each of the </w:t>
      </w:r>
      <w:r w:rsidR="007418CE">
        <w:rPr>
          <w:szCs w:val="28"/>
        </w:rPr>
        <w:t>d</w:t>
      </w:r>
      <w:r w:rsidRPr="00033986">
        <w:rPr>
          <w:szCs w:val="28"/>
        </w:rPr>
        <w:t>efendants was liable for the Accident?</w:t>
      </w:r>
    </w:p>
    <w:p w14:paraId="55242E69" w14:textId="77777777" w:rsidR="00033986" w:rsidRPr="00033986" w:rsidRDefault="00033986" w:rsidP="007418CE">
      <w:pPr>
        <w:tabs>
          <w:tab w:val="clear" w:pos="4320"/>
          <w:tab w:val="left" w:pos="2160"/>
        </w:tabs>
        <w:spacing w:line="360" w:lineRule="auto"/>
        <w:ind w:left="2160" w:hanging="720"/>
        <w:jc w:val="both"/>
        <w:rPr>
          <w:szCs w:val="28"/>
        </w:rPr>
      </w:pPr>
    </w:p>
    <w:p w14:paraId="68156575" w14:textId="77777777" w:rsidR="00033986" w:rsidRPr="00033986" w:rsidRDefault="00033986" w:rsidP="006F407B">
      <w:pPr>
        <w:pStyle w:val="ListParagraph"/>
        <w:numPr>
          <w:ilvl w:val="0"/>
          <w:numId w:val="3"/>
        </w:numPr>
        <w:tabs>
          <w:tab w:val="clear" w:pos="4320"/>
          <w:tab w:val="left" w:pos="2160"/>
        </w:tabs>
        <w:spacing w:line="360" w:lineRule="auto"/>
        <w:ind w:left="2160" w:hanging="720"/>
        <w:jc w:val="both"/>
        <w:rPr>
          <w:szCs w:val="28"/>
        </w:rPr>
      </w:pPr>
      <w:r w:rsidRPr="00033986">
        <w:rPr>
          <w:szCs w:val="28"/>
        </w:rPr>
        <w:t xml:space="preserve">Was there contributory negligence on the part of the </w:t>
      </w:r>
      <w:r w:rsidR="007418CE">
        <w:rPr>
          <w:szCs w:val="28"/>
        </w:rPr>
        <w:t>p</w:t>
      </w:r>
      <w:r w:rsidRPr="00033986">
        <w:rPr>
          <w:szCs w:val="28"/>
        </w:rPr>
        <w:t>laintiff?</w:t>
      </w:r>
    </w:p>
    <w:p w14:paraId="17E22840" w14:textId="77777777" w:rsidR="00033986" w:rsidRPr="00033986" w:rsidRDefault="00033986" w:rsidP="007418CE">
      <w:pPr>
        <w:tabs>
          <w:tab w:val="clear" w:pos="4320"/>
          <w:tab w:val="left" w:pos="2160"/>
        </w:tabs>
        <w:spacing w:line="360" w:lineRule="auto"/>
        <w:ind w:left="2160" w:hanging="720"/>
        <w:jc w:val="both"/>
        <w:rPr>
          <w:szCs w:val="28"/>
        </w:rPr>
      </w:pPr>
    </w:p>
    <w:p w14:paraId="5A2EE48F" w14:textId="77777777" w:rsidR="00033986" w:rsidRPr="00033986" w:rsidRDefault="00033986" w:rsidP="006F407B">
      <w:pPr>
        <w:pStyle w:val="ListParagraph"/>
        <w:numPr>
          <w:ilvl w:val="0"/>
          <w:numId w:val="3"/>
        </w:numPr>
        <w:tabs>
          <w:tab w:val="clear" w:pos="4320"/>
          <w:tab w:val="left" w:pos="2160"/>
        </w:tabs>
        <w:spacing w:line="360" w:lineRule="auto"/>
        <w:ind w:left="2160" w:hanging="720"/>
        <w:jc w:val="both"/>
        <w:rPr>
          <w:szCs w:val="28"/>
        </w:rPr>
      </w:pPr>
      <w:r w:rsidRPr="00033986">
        <w:rPr>
          <w:szCs w:val="28"/>
        </w:rPr>
        <w:t xml:space="preserve">What is the quantum of damages payable to the </w:t>
      </w:r>
      <w:r w:rsidR="007418CE">
        <w:rPr>
          <w:szCs w:val="28"/>
        </w:rPr>
        <w:t xml:space="preserve">plaintiff </w:t>
      </w:r>
      <w:r w:rsidRPr="00033986">
        <w:rPr>
          <w:szCs w:val="28"/>
        </w:rPr>
        <w:t>(if any)?</w:t>
      </w:r>
    </w:p>
    <w:p w14:paraId="54031C76" w14:textId="77777777" w:rsidR="00033986" w:rsidRPr="00033986" w:rsidRDefault="00033986" w:rsidP="00033986">
      <w:pPr>
        <w:tabs>
          <w:tab w:val="clear" w:pos="4320"/>
        </w:tabs>
        <w:spacing w:line="360" w:lineRule="auto"/>
        <w:jc w:val="both"/>
        <w:rPr>
          <w:szCs w:val="28"/>
        </w:rPr>
      </w:pPr>
    </w:p>
    <w:p w14:paraId="1667C4E5" w14:textId="77777777" w:rsidR="00033986" w:rsidRPr="007418CE" w:rsidRDefault="007418CE" w:rsidP="007418CE">
      <w:pPr>
        <w:pStyle w:val="ListParagraph"/>
        <w:tabs>
          <w:tab w:val="clear" w:pos="4320"/>
        </w:tabs>
        <w:spacing w:line="360" w:lineRule="auto"/>
        <w:ind w:left="0"/>
        <w:jc w:val="both"/>
        <w:rPr>
          <w:b/>
          <w:bCs/>
          <w:i/>
          <w:szCs w:val="28"/>
        </w:rPr>
      </w:pPr>
      <w:r w:rsidRPr="007418CE">
        <w:rPr>
          <w:b/>
          <w:bCs/>
          <w:i/>
          <w:szCs w:val="28"/>
        </w:rPr>
        <w:lastRenderedPageBreak/>
        <w:t xml:space="preserve">D. </w:t>
      </w:r>
      <w:r w:rsidR="00033986" w:rsidRPr="007418CE">
        <w:rPr>
          <w:b/>
          <w:bCs/>
          <w:i/>
          <w:szCs w:val="28"/>
        </w:rPr>
        <w:t xml:space="preserve">The </w:t>
      </w:r>
      <w:r w:rsidR="00033986" w:rsidRPr="007418CE">
        <w:rPr>
          <w:b/>
          <w:bCs/>
          <w:i/>
          <w:iCs/>
          <w:szCs w:val="28"/>
        </w:rPr>
        <w:t>Viva Voce</w:t>
      </w:r>
      <w:r w:rsidR="00033986" w:rsidRPr="007418CE">
        <w:rPr>
          <w:b/>
          <w:bCs/>
          <w:i/>
          <w:szCs w:val="28"/>
        </w:rPr>
        <w:t xml:space="preserve"> Evidence </w:t>
      </w:r>
    </w:p>
    <w:p w14:paraId="25F9397E" w14:textId="77777777" w:rsidR="00033986" w:rsidRPr="00033986" w:rsidRDefault="00033986" w:rsidP="00033986">
      <w:pPr>
        <w:tabs>
          <w:tab w:val="clear" w:pos="4320"/>
        </w:tabs>
        <w:spacing w:line="360" w:lineRule="auto"/>
        <w:jc w:val="both"/>
        <w:rPr>
          <w:bCs/>
          <w:szCs w:val="28"/>
          <w:u w:val="single"/>
        </w:rPr>
      </w:pPr>
    </w:p>
    <w:p w14:paraId="651F685E"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core questions above are mainly questions of fact. </w:t>
      </w:r>
      <w:r w:rsidR="007418CE">
        <w:rPr>
          <w:szCs w:val="28"/>
        </w:rPr>
        <w:t xml:space="preserve"> </w:t>
      </w:r>
      <w:r w:rsidRPr="00033986">
        <w:rPr>
          <w:szCs w:val="28"/>
        </w:rPr>
        <w:t>It is common ground that there was no eye-witness of the Accident and that there was no CCTV camera installed in the Staircase.</w:t>
      </w:r>
      <w:r w:rsidR="007418CE">
        <w:rPr>
          <w:szCs w:val="28"/>
        </w:rPr>
        <w:t xml:space="preserve"> </w:t>
      </w:r>
      <w:r w:rsidRPr="00033986">
        <w:rPr>
          <w:szCs w:val="28"/>
        </w:rPr>
        <w:t xml:space="preserve"> Where the </w:t>
      </w:r>
      <w:r w:rsidR="007418CE">
        <w:rPr>
          <w:szCs w:val="28"/>
        </w:rPr>
        <w:t>d</w:t>
      </w:r>
      <w:r w:rsidRPr="00033986">
        <w:rPr>
          <w:szCs w:val="28"/>
        </w:rPr>
        <w:t xml:space="preserve">efendants seriously dispute the factual accounts pertaining to the Accident put forward by the </w:t>
      </w:r>
      <w:r w:rsidR="007418CE">
        <w:rPr>
          <w:szCs w:val="28"/>
        </w:rPr>
        <w:t>p</w:t>
      </w:r>
      <w:r w:rsidRPr="00033986">
        <w:rPr>
          <w:szCs w:val="28"/>
        </w:rPr>
        <w:t xml:space="preserve">laintiff, they will have to be resolved on credibility of the witnesses as found by the </w:t>
      </w:r>
      <w:r w:rsidR="007418CE">
        <w:rPr>
          <w:szCs w:val="28"/>
        </w:rPr>
        <w:t>c</w:t>
      </w:r>
      <w:r w:rsidRPr="00033986">
        <w:rPr>
          <w:szCs w:val="28"/>
        </w:rPr>
        <w:t>ourt.</w:t>
      </w:r>
    </w:p>
    <w:p w14:paraId="00F3D6F0" w14:textId="77777777" w:rsidR="00033986" w:rsidRPr="00033986" w:rsidRDefault="00033986" w:rsidP="00033986">
      <w:pPr>
        <w:tabs>
          <w:tab w:val="clear" w:pos="4320"/>
        </w:tabs>
        <w:spacing w:line="360" w:lineRule="auto"/>
        <w:jc w:val="both"/>
        <w:rPr>
          <w:szCs w:val="28"/>
        </w:rPr>
      </w:pPr>
    </w:p>
    <w:p w14:paraId="2589612C"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The approach for the assessment of the credibility of witnesses is trite:-</w:t>
      </w:r>
    </w:p>
    <w:p w14:paraId="2261A05E" w14:textId="77777777" w:rsidR="00033986" w:rsidRPr="00033986" w:rsidRDefault="00033986" w:rsidP="00033986">
      <w:pPr>
        <w:tabs>
          <w:tab w:val="clear" w:pos="4320"/>
        </w:tabs>
        <w:spacing w:line="360" w:lineRule="auto"/>
        <w:jc w:val="both"/>
        <w:rPr>
          <w:szCs w:val="28"/>
        </w:rPr>
      </w:pPr>
    </w:p>
    <w:p w14:paraId="1651EACA" w14:textId="77777777" w:rsidR="00033986" w:rsidRPr="00033986" w:rsidRDefault="00033986" w:rsidP="006F407B">
      <w:pPr>
        <w:pStyle w:val="ListParagraph"/>
        <w:numPr>
          <w:ilvl w:val="0"/>
          <w:numId w:val="4"/>
        </w:numPr>
        <w:tabs>
          <w:tab w:val="clear" w:pos="4320"/>
          <w:tab w:val="left" w:pos="2160"/>
        </w:tabs>
        <w:spacing w:line="360" w:lineRule="auto"/>
        <w:ind w:left="2160" w:hanging="720"/>
        <w:jc w:val="both"/>
        <w:rPr>
          <w:szCs w:val="28"/>
        </w:rPr>
      </w:pPr>
      <w:r w:rsidRPr="00033986">
        <w:rPr>
          <w:szCs w:val="28"/>
        </w:rPr>
        <w:t>Contemporaneous written documents and documents which came into existence before the problems in question emerged are of the greatest importance in assessing credibility.</w:t>
      </w:r>
    </w:p>
    <w:p w14:paraId="5FA8FECA" w14:textId="77777777" w:rsidR="00033986" w:rsidRPr="00033986" w:rsidRDefault="00033986" w:rsidP="007418CE">
      <w:pPr>
        <w:tabs>
          <w:tab w:val="clear" w:pos="4320"/>
          <w:tab w:val="left" w:pos="2160"/>
        </w:tabs>
        <w:spacing w:line="360" w:lineRule="auto"/>
        <w:ind w:left="2160" w:hanging="720"/>
        <w:jc w:val="both"/>
        <w:rPr>
          <w:szCs w:val="28"/>
        </w:rPr>
      </w:pPr>
    </w:p>
    <w:p w14:paraId="714384CD" w14:textId="77777777" w:rsidR="00033986" w:rsidRPr="00033986" w:rsidRDefault="00033986" w:rsidP="006F407B">
      <w:pPr>
        <w:pStyle w:val="ListParagraph"/>
        <w:numPr>
          <w:ilvl w:val="0"/>
          <w:numId w:val="4"/>
        </w:numPr>
        <w:tabs>
          <w:tab w:val="clear" w:pos="4320"/>
          <w:tab w:val="left" w:pos="2160"/>
        </w:tabs>
        <w:spacing w:line="360" w:lineRule="auto"/>
        <w:ind w:left="2160" w:hanging="720"/>
        <w:jc w:val="both"/>
        <w:rPr>
          <w:szCs w:val="28"/>
        </w:rPr>
      </w:pPr>
      <w:r w:rsidRPr="00033986">
        <w:rPr>
          <w:szCs w:val="28"/>
        </w:rPr>
        <w:t xml:space="preserve">In deciding whether to accept a witness’s account, importance should also be attached to the inherent likelihood or unlikelihood of an event having happened, or the apparent logic of events. </w:t>
      </w:r>
    </w:p>
    <w:p w14:paraId="464AA6E8" w14:textId="77777777" w:rsidR="00033986" w:rsidRPr="00033986" w:rsidRDefault="00033986" w:rsidP="007418CE">
      <w:pPr>
        <w:tabs>
          <w:tab w:val="clear" w:pos="4320"/>
          <w:tab w:val="left" w:pos="2160"/>
        </w:tabs>
        <w:spacing w:line="360" w:lineRule="auto"/>
        <w:ind w:left="2160" w:hanging="720"/>
        <w:jc w:val="both"/>
        <w:rPr>
          <w:szCs w:val="28"/>
        </w:rPr>
      </w:pPr>
    </w:p>
    <w:p w14:paraId="38F1E4A1" w14:textId="77777777" w:rsidR="00033986" w:rsidRPr="00033986" w:rsidRDefault="00033986" w:rsidP="006F407B">
      <w:pPr>
        <w:pStyle w:val="ListParagraph"/>
        <w:numPr>
          <w:ilvl w:val="0"/>
          <w:numId w:val="4"/>
        </w:numPr>
        <w:tabs>
          <w:tab w:val="clear" w:pos="4320"/>
          <w:tab w:val="left" w:pos="2160"/>
        </w:tabs>
        <w:spacing w:line="360" w:lineRule="auto"/>
        <w:ind w:left="2160" w:hanging="720"/>
        <w:jc w:val="both"/>
        <w:rPr>
          <w:szCs w:val="28"/>
        </w:rPr>
      </w:pPr>
      <w:r w:rsidRPr="00033986">
        <w:rPr>
          <w:szCs w:val="28"/>
        </w:rPr>
        <w:t xml:space="preserve">In determining a witness’s credibility, it is also important to have regard to the consistency of the witness’s evidence with undisputed or indisputable evidence, and the internal consistency of the witness’s evidence, which type of consistency is often tested by </w:t>
      </w:r>
      <w:r w:rsidRPr="00033986">
        <w:rPr>
          <w:szCs w:val="28"/>
        </w:rPr>
        <w:lastRenderedPageBreak/>
        <w:t xml:space="preserve">a comparison between the witness’s oral testimony and his or her witness statement. </w:t>
      </w:r>
    </w:p>
    <w:p w14:paraId="32DCBFDE" w14:textId="77777777" w:rsidR="00033986" w:rsidRPr="00033986" w:rsidRDefault="00033986" w:rsidP="00033986">
      <w:pPr>
        <w:tabs>
          <w:tab w:val="clear" w:pos="4320"/>
        </w:tabs>
        <w:spacing w:line="360" w:lineRule="auto"/>
        <w:jc w:val="both"/>
        <w:rPr>
          <w:szCs w:val="28"/>
        </w:rPr>
      </w:pPr>
    </w:p>
    <w:p w14:paraId="59B97725" w14:textId="77777777" w:rsidR="00033986" w:rsidRPr="00033986" w:rsidRDefault="00EC7D02" w:rsidP="00EC7D02">
      <w:pPr>
        <w:pStyle w:val="ListParagraph"/>
        <w:tabs>
          <w:tab w:val="clear" w:pos="4320"/>
        </w:tabs>
        <w:spacing w:line="360" w:lineRule="auto"/>
        <w:ind w:left="0"/>
        <w:jc w:val="both"/>
        <w:rPr>
          <w:i/>
          <w:iCs/>
          <w:szCs w:val="28"/>
        </w:rPr>
      </w:pPr>
      <w:r>
        <w:rPr>
          <w:szCs w:val="28"/>
        </w:rPr>
        <w:tab/>
      </w:r>
      <w:r w:rsidR="00033986" w:rsidRPr="00033986">
        <w:rPr>
          <w:szCs w:val="28"/>
        </w:rPr>
        <w:t xml:space="preserve">See: </w:t>
      </w:r>
      <w:r w:rsidR="00033986" w:rsidRPr="00033986">
        <w:rPr>
          <w:i/>
          <w:iCs/>
          <w:szCs w:val="28"/>
        </w:rPr>
        <w:t>Hui Cheung Fai v Daiwa Development Limited &amp; Ors</w:t>
      </w:r>
      <w:r w:rsidR="00033986" w:rsidRPr="00033986">
        <w:rPr>
          <w:rStyle w:val="FootnoteReference"/>
          <w:i/>
          <w:iCs/>
          <w:szCs w:val="28"/>
        </w:rPr>
        <w:footnoteReference w:id="7"/>
      </w:r>
    </w:p>
    <w:p w14:paraId="3B1CBBEE" w14:textId="77777777" w:rsidR="00033986" w:rsidRPr="00033986" w:rsidRDefault="00033986" w:rsidP="00033986">
      <w:pPr>
        <w:tabs>
          <w:tab w:val="clear" w:pos="4320"/>
        </w:tabs>
        <w:spacing w:line="360" w:lineRule="auto"/>
        <w:jc w:val="both"/>
        <w:rPr>
          <w:i/>
          <w:iCs/>
          <w:szCs w:val="28"/>
        </w:rPr>
      </w:pPr>
    </w:p>
    <w:p w14:paraId="58626C1B" w14:textId="77777777" w:rsidR="00033986" w:rsidRPr="00EC7D02" w:rsidRDefault="00033986" w:rsidP="00EC7D02">
      <w:pPr>
        <w:pStyle w:val="ListParagraph"/>
        <w:tabs>
          <w:tab w:val="clear" w:pos="4320"/>
        </w:tabs>
        <w:spacing w:line="360" w:lineRule="auto"/>
        <w:ind w:left="0"/>
        <w:jc w:val="both"/>
        <w:rPr>
          <w:bCs/>
          <w:i/>
          <w:szCs w:val="28"/>
        </w:rPr>
      </w:pPr>
      <w:r w:rsidRPr="00EC7D02">
        <w:rPr>
          <w:bCs/>
          <w:i/>
          <w:szCs w:val="28"/>
        </w:rPr>
        <w:t>D</w:t>
      </w:r>
      <w:r w:rsidR="00EC7D02" w:rsidRPr="00EC7D02">
        <w:rPr>
          <w:bCs/>
          <w:i/>
          <w:szCs w:val="28"/>
        </w:rPr>
        <w:t>.</w:t>
      </w:r>
      <w:r w:rsidRPr="00EC7D02">
        <w:rPr>
          <w:bCs/>
          <w:i/>
          <w:szCs w:val="28"/>
        </w:rPr>
        <w:t>1</w:t>
      </w:r>
      <w:r w:rsidR="00EC7D02" w:rsidRPr="00EC7D02">
        <w:rPr>
          <w:bCs/>
          <w:i/>
          <w:szCs w:val="28"/>
        </w:rPr>
        <w:t xml:space="preserve"> </w:t>
      </w:r>
      <w:r w:rsidRPr="00EC7D02">
        <w:rPr>
          <w:bCs/>
          <w:i/>
          <w:szCs w:val="28"/>
        </w:rPr>
        <w:t xml:space="preserve">The </w:t>
      </w:r>
      <w:r w:rsidR="00EC7D02" w:rsidRPr="00EC7D02">
        <w:rPr>
          <w:bCs/>
          <w:i/>
          <w:szCs w:val="28"/>
        </w:rPr>
        <w:t>E</w:t>
      </w:r>
      <w:r w:rsidRPr="00EC7D02">
        <w:rPr>
          <w:bCs/>
          <w:i/>
          <w:szCs w:val="28"/>
        </w:rPr>
        <w:t xml:space="preserve">vidence of </w:t>
      </w:r>
      <w:r w:rsidR="00EC7D02" w:rsidRPr="00EC7D02">
        <w:rPr>
          <w:bCs/>
          <w:i/>
          <w:szCs w:val="28"/>
        </w:rPr>
        <w:t>t</w:t>
      </w:r>
      <w:r w:rsidRPr="00EC7D02">
        <w:rPr>
          <w:bCs/>
          <w:i/>
          <w:szCs w:val="28"/>
        </w:rPr>
        <w:t xml:space="preserve">he </w:t>
      </w:r>
      <w:r w:rsidR="00EC7D02" w:rsidRPr="00EC7D02">
        <w:rPr>
          <w:bCs/>
          <w:i/>
          <w:szCs w:val="28"/>
        </w:rPr>
        <w:t>p</w:t>
      </w:r>
      <w:r w:rsidRPr="00EC7D02">
        <w:rPr>
          <w:bCs/>
          <w:i/>
          <w:szCs w:val="28"/>
        </w:rPr>
        <w:t>laintiff</w:t>
      </w:r>
    </w:p>
    <w:p w14:paraId="52DA2F0F" w14:textId="77777777" w:rsidR="00033986" w:rsidRPr="00033986" w:rsidRDefault="00033986" w:rsidP="00033986">
      <w:pPr>
        <w:tabs>
          <w:tab w:val="clear" w:pos="4320"/>
        </w:tabs>
        <w:spacing w:line="360" w:lineRule="auto"/>
        <w:jc w:val="both"/>
        <w:rPr>
          <w:bCs/>
          <w:szCs w:val="28"/>
          <w:u w:val="single"/>
        </w:rPr>
      </w:pPr>
    </w:p>
    <w:p w14:paraId="174C37D4"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EC7D02">
        <w:rPr>
          <w:szCs w:val="28"/>
        </w:rPr>
        <w:t>p</w:t>
      </w:r>
      <w:r w:rsidRPr="00033986">
        <w:rPr>
          <w:szCs w:val="28"/>
        </w:rPr>
        <w:t>laintiff is the only witness giving evidence for her case.</w:t>
      </w:r>
    </w:p>
    <w:p w14:paraId="620690A3" w14:textId="77777777" w:rsidR="00033986" w:rsidRPr="00033986" w:rsidRDefault="00033986" w:rsidP="00033986">
      <w:pPr>
        <w:tabs>
          <w:tab w:val="clear" w:pos="4320"/>
        </w:tabs>
        <w:spacing w:line="360" w:lineRule="auto"/>
        <w:jc w:val="both"/>
        <w:rPr>
          <w:szCs w:val="28"/>
        </w:rPr>
      </w:pPr>
    </w:p>
    <w:p w14:paraId="30E7A824"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EC7D02">
        <w:rPr>
          <w:szCs w:val="28"/>
        </w:rPr>
        <w:t>p</w:t>
      </w:r>
      <w:r w:rsidRPr="00033986">
        <w:rPr>
          <w:szCs w:val="28"/>
        </w:rPr>
        <w:t>laintiff only received education up to year 2 in primary school back in the People’s Republic of China (the “</w:t>
      </w:r>
      <w:r w:rsidRPr="00033986">
        <w:rPr>
          <w:bCs/>
          <w:szCs w:val="28"/>
        </w:rPr>
        <w:t>PRC</w:t>
      </w:r>
      <w:r w:rsidRPr="00033986">
        <w:rPr>
          <w:szCs w:val="28"/>
        </w:rPr>
        <w:t xml:space="preserve">”). </w:t>
      </w:r>
      <w:r w:rsidR="00EC7D02">
        <w:rPr>
          <w:szCs w:val="28"/>
        </w:rPr>
        <w:t xml:space="preserve"> </w:t>
      </w:r>
      <w:r w:rsidRPr="00033986">
        <w:rPr>
          <w:szCs w:val="28"/>
        </w:rPr>
        <w:t xml:space="preserve">Save for very simple Chinese, she does not really know how to read or write. </w:t>
      </w:r>
      <w:r w:rsidR="00EC7D02">
        <w:rPr>
          <w:szCs w:val="28"/>
        </w:rPr>
        <w:t xml:space="preserve"> </w:t>
      </w:r>
      <w:r w:rsidRPr="00033986">
        <w:rPr>
          <w:szCs w:val="28"/>
        </w:rPr>
        <w:t>She had been a housewife until she moved to Hong Kong in or about 2009.</w:t>
      </w:r>
      <w:r w:rsidR="00EC7D02">
        <w:rPr>
          <w:szCs w:val="28"/>
        </w:rPr>
        <w:t xml:space="preserve"> </w:t>
      </w:r>
      <w:r w:rsidRPr="00033986">
        <w:rPr>
          <w:szCs w:val="28"/>
        </w:rPr>
        <w:t xml:space="preserve"> Her Cantonese is not very good and she speaks with a heavy accent of the Chiu Chow dialect.</w:t>
      </w:r>
    </w:p>
    <w:p w14:paraId="422A2846" w14:textId="77777777" w:rsidR="00033986" w:rsidRPr="00033986" w:rsidRDefault="00033986" w:rsidP="00033986">
      <w:pPr>
        <w:tabs>
          <w:tab w:val="clear" w:pos="4320"/>
        </w:tabs>
        <w:spacing w:line="360" w:lineRule="auto"/>
        <w:jc w:val="both"/>
        <w:rPr>
          <w:szCs w:val="28"/>
        </w:rPr>
      </w:pPr>
    </w:p>
    <w:p w14:paraId="6657CBEF"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EC7D02">
        <w:rPr>
          <w:szCs w:val="28"/>
        </w:rPr>
        <w:t>d</w:t>
      </w:r>
      <w:r w:rsidRPr="00033986">
        <w:rPr>
          <w:szCs w:val="28"/>
        </w:rPr>
        <w:t xml:space="preserve">efendants’ counsel made multifarious attacks regarding the credibility and reliability of the </w:t>
      </w:r>
      <w:r w:rsidR="00EC7D02">
        <w:rPr>
          <w:szCs w:val="28"/>
        </w:rPr>
        <w:t>p</w:t>
      </w:r>
      <w:r w:rsidRPr="00033986">
        <w:rPr>
          <w:szCs w:val="28"/>
        </w:rPr>
        <w:t xml:space="preserve">laintiff’s evidence. </w:t>
      </w:r>
      <w:r w:rsidR="00EC7D02">
        <w:rPr>
          <w:szCs w:val="28"/>
        </w:rPr>
        <w:t xml:space="preserve"> </w:t>
      </w:r>
      <w:r w:rsidRPr="00033986">
        <w:rPr>
          <w:szCs w:val="28"/>
        </w:rPr>
        <w:t xml:space="preserve">As the </w:t>
      </w:r>
      <w:r w:rsidR="00EC7D02">
        <w:rPr>
          <w:szCs w:val="28"/>
        </w:rPr>
        <w:t>p</w:t>
      </w:r>
      <w:r w:rsidRPr="00033986">
        <w:rPr>
          <w:szCs w:val="28"/>
        </w:rPr>
        <w:t xml:space="preserve">laintiff’s counsel fairly acknowledged and I also agree, parts of her evidence are unsatisfactory and confusing. </w:t>
      </w:r>
      <w:r w:rsidR="00EC7D02">
        <w:rPr>
          <w:szCs w:val="28"/>
        </w:rPr>
        <w:t xml:space="preserve"> </w:t>
      </w:r>
      <w:r w:rsidRPr="00033986">
        <w:rPr>
          <w:szCs w:val="28"/>
        </w:rPr>
        <w:t xml:space="preserve">Even having regard to her background and the obvious fact that she is not an articulated nor sophisticated person, I must say some of her evidence was simply unreliable. </w:t>
      </w:r>
      <w:r w:rsidR="00EC7D02">
        <w:rPr>
          <w:szCs w:val="28"/>
        </w:rPr>
        <w:t xml:space="preserve"> </w:t>
      </w:r>
      <w:r w:rsidRPr="00033986">
        <w:rPr>
          <w:szCs w:val="28"/>
        </w:rPr>
        <w:t xml:space="preserve">In particular, when asked whether she picked up the lemon slices after the Accident, her explanations including that she took a detour to the washroom in East Point City with the lemon slices such that the same could be thrown in a bin </w:t>
      </w:r>
      <w:r w:rsidRPr="00033986">
        <w:rPr>
          <w:szCs w:val="28"/>
        </w:rPr>
        <w:lastRenderedPageBreak/>
        <w:t xml:space="preserve">located there were, in my view incredible. </w:t>
      </w:r>
      <w:r w:rsidR="00EC7D02">
        <w:rPr>
          <w:szCs w:val="28"/>
        </w:rPr>
        <w:t xml:space="preserve"> </w:t>
      </w:r>
      <w:r w:rsidRPr="00033986">
        <w:rPr>
          <w:szCs w:val="28"/>
        </w:rPr>
        <w:t xml:space="preserve">The same was never mentioned in her witness statement and was subsequently retracted. </w:t>
      </w:r>
    </w:p>
    <w:p w14:paraId="51378D1B" w14:textId="77777777" w:rsidR="00033986" w:rsidRPr="00033986" w:rsidRDefault="00033986" w:rsidP="00033986">
      <w:pPr>
        <w:tabs>
          <w:tab w:val="clear" w:pos="4320"/>
        </w:tabs>
        <w:spacing w:line="360" w:lineRule="auto"/>
        <w:jc w:val="both"/>
        <w:rPr>
          <w:szCs w:val="28"/>
        </w:rPr>
      </w:pPr>
    </w:p>
    <w:p w14:paraId="5B2D1342"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There were other instances where the </w:t>
      </w:r>
      <w:r w:rsidR="00EC7D02">
        <w:rPr>
          <w:szCs w:val="28"/>
        </w:rPr>
        <w:t>p</w:t>
      </w:r>
      <w:r w:rsidRPr="00033986">
        <w:rPr>
          <w:szCs w:val="28"/>
        </w:rPr>
        <w:t xml:space="preserve">laintiff would always give a quick answer and then when being pressed would either retract the same or simply say her mind was muddled, she could not think or she did not remember. </w:t>
      </w:r>
      <w:r w:rsidR="00EC7D02">
        <w:rPr>
          <w:szCs w:val="28"/>
        </w:rPr>
        <w:t xml:space="preserve"> </w:t>
      </w:r>
      <w:r w:rsidRPr="00033986">
        <w:rPr>
          <w:szCs w:val="28"/>
        </w:rPr>
        <w:t>At one point, she even suggested that she had never</w:t>
      </w:r>
      <w:r w:rsidR="00EC7D02">
        <w:rPr>
          <w:szCs w:val="28"/>
        </w:rPr>
        <w:t xml:space="preserve"> been to a public hospital nor ou</w:t>
      </w:r>
      <w:r w:rsidRPr="00033986">
        <w:rPr>
          <w:szCs w:val="28"/>
        </w:rPr>
        <w:t xml:space="preserve">t-patient clinic in Hong Kong before the Accident. </w:t>
      </w:r>
      <w:r w:rsidR="00EC7D02">
        <w:rPr>
          <w:szCs w:val="28"/>
        </w:rPr>
        <w:t xml:space="preserve"> </w:t>
      </w:r>
      <w:r w:rsidRPr="00033986">
        <w:rPr>
          <w:szCs w:val="28"/>
        </w:rPr>
        <w:t>When it was put to her that she used to go to a</w:t>
      </w:r>
      <w:r w:rsidR="00EC7D02">
        <w:rPr>
          <w:szCs w:val="28"/>
        </w:rPr>
        <w:t>n</w:t>
      </w:r>
      <w:r w:rsidRPr="00033986">
        <w:rPr>
          <w:szCs w:val="28"/>
        </w:rPr>
        <w:t xml:space="preserve"> </w:t>
      </w:r>
      <w:r w:rsidR="00EC7D02">
        <w:rPr>
          <w:szCs w:val="28"/>
        </w:rPr>
        <w:t>o</w:t>
      </w:r>
      <w:r w:rsidRPr="00033986">
        <w:rPr>
          <w:szCs w:val="28"/>
        </w:rPr>
        <w:t>ut-patient clinic in Ngau Tau Kok, she again said she did not remember (</w:t>
      </w:r>
      <w:r w:rsidRPr="00EC7D02">
        <w:rPr>
          <w:rFonts w:ascii="PMingLiU" w:eastAsia="PMingLiU" w:hAnsi="PMingLiU"/>
          <w:szCs w:val="28"/>
        </w:rPr>
        <w:t>以前嘅事我唔記得</w:t>
      </w:r>
      <w:r w:rsidRPr="00033986">
        <w:rPr>
          <w:szCs w:val="28"/>
        </w:rPr>
        <w:t>).</w:t>
      </w:r>
    </w:p>
    <w:p w14:paraId="6B48ABA2" w14:textId="77777777" w:rsidR="00033986" w:rsidRPr="00033986" w:rsidRDefault="00033986" w:rsidP="00033986">
      <w:pPr>
        <w:tabs>
          <w:tab w:val="clear" w:pos="4320"/>
        </w:tabs>
        <w:spacing w:line="360" w:lineRule="auto"/>
        <w:jc w:val="both"/>
        <w:rPr>
          <w:szCs w:val="28"/>
        </w:rPr>
      </w:pPr>
    </w:p>
    <w:p w14:paraId="5DED4BD4"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However, that does not mean the entirety of the </w:t>
      </w:r>
      <w:r w:rsidR="00EC7D02">
        <w:rPr>
          <w:szCs w:val="28"/>
        </w:rPr>
        <w:t>p</w:t>
      </w:r>
      <w:r w:rsidRPr="00033986">
        <w:rPr>
          <w:szCs w:val="28"/>
        </w:rPr>
        <w:t xml:space="preserve">laintiff’s evidence should be rejected. </w:t>
      </w:r>
      <w:r w:rsidR="00EC7D02">
        <w:rPr>
          <w:szCs w:val="28"/>
        </w:rPr>
        <w:t xml:space="preserve"> </w:t>
      </w:r>
      <w:r w:rsidRPr="00033986">
        <w:rPr>
          <w:szCs w:val="28"/>
        </w:rPr>
        <w:t xml:space="preserve">Indeed, the credit of a witness in matters not germane to the litigation was of less assistance and that the demeanor of a witness was on the whole not a reliable pointer to a witness’s honesty: </w:t>
      </w:r>
      <w:r w:rsidRPr="00033986">
        <w:rPr>
          <w:i/>
          <w:iCs/>
          <w:szCs w:val="28"/>
        </w:rPr>
        <w:t>Northampton Borough Council v Cardoza &amp; ors</w:t>
      </w:r>
      <w:r w:rsidRPr="00033986">
        <w:rPr>
          <w:rStyle w:val="FootnoteReference"/>
          <w:szCs w:val="28"/>
        </w:rPr>
        <w:footnoteReference w:id="8"/>
      </w:r>
      <w:r w:rsidR="00EC7D02">
        <w:rPr>
          <w:szCs w:val="28"/>
        </w:rPr>
        <w:t xml:space="preserve">.  </w:t>
      </w:r>
      <w:r w:rsidRPr="00033986">
        <w:rPr>
          <w:szCs w:val="28"/>
        </w:rPr>
        <w:t xml:space="preserve">Even lies themselves do not mean necessarily that the entirety of a witness’s evidence is to be rejected. </w:t>
      </w:r>
      <w:r w:rsidR="00EC7D02">
        <w:rPr>
          <w:szCs w:val="28"/>
        </w:rPr>
        <w:t xml:space="preserve"> </w:t>
      </w:r>
      <w:r w:rsidRPr="00033986">
        <w:rPr>
          <w:szCs w:val="28"/>
        </w:rPr>
        <w:t xml:space="preserve">A witness may lie in a stupid attempt to bolster his case, but the actual case nevertheless remains good irrespective of the lie: </w:t>
      </w:r>
      <w:r w:rsidRPr="00033986">
        <w:rPr>
          <w:i/>
          <w:iCs/>
          <w:szCs w:val="28"/>
        </w:rPr>
        <w:t>Macau First Universal International Limited v Ding Xiao Hong &amp; Ors</w:t>
      </w:r>
      <w:r w:rsidRPr="00033986">
        <w:rPr>
          <w:rStyle w:val="FootnoteReference"/>
          <w:i/>
          <w:iCs/>
          <w:szCs w:val="28"/>
        </w:rPr>
        <w:footnoteReference w:id="9"/>
      </w:r>
      <w:r w:rsidR="00EC7D02">
        <w:rPr>
          <w:szCs w:val="28"/>
        </w:rPr>
        <w:t xml:space="preserve">.  </w:t>
      </w:r>
      <w:r w:rsidRPr="00033986">
        <w:rPr>
          <w:szCs w:val="28"/>
        </w:rPr>
        <w:t xml:space="preserve">In short, where the </w:t>
      </w:r>
      <w:r w:rsidR="00EC7D02">
        <w:rPr>
          <w:szCs w:val="28"/>
        </w:rPr>
        <w:t>p</w:t>
      </w:r>
      <w:r w:rsidRPr="00033986">
        <w:rPr>
          <w:szCs w:val="28"/>
        </w:rPr>
        <w:t xml:space="preserve">laintiff’s evidence or explanation on the central issues was supported by documentary or other evidence or findings, I shall give weight and accept the same. </w:t>
      </w:r>
    </w:p>
    <w:p w14:paraId="7382E618" w14:textId="77777777" w:rsidR="00033986" w:rsidRPr="00033986" w:rsidRDefault="00033986" w:rsidP="00033986">
      <w:pPr>
        <w:tabs>
          <w:tab w:val="clear" w:pos="4320"/>
        </w:tabs>
        <w:spacing w:line="360" w:lineRule="auto"/>
        <w:jc w:val="both"/>
        <w:rPr>
          <w:szCs w:val="28"/>
        </w:rPr>
      </w:pPr>
    </w:p>
    <w:p w14:paraId="7FC21E00"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lastRenderedPageBreak/>
        <w:t xml:space="preserve">As the </w:t>
      </w:r>
      <w:r w:rsidR="00EC7D02">
        <w:rPr>
          <w:szCs w:val="28"/>
        </w:rPr>
        <w:t>p</w:t>
      </w:r>
      <w:r w:rsidRPr="00033986">
        <w:rPr>
          <w:szCs w:val="28"/>
        </w:rPr>
        <w:t xml:space="preserve">laintiff’s evidence was material to the key issues or questions, I shall deal with the relevant parts of her evidence when I come to the analysis of the key issues below. </w:t>
      </w:r>
    </w:p>
    <w:p w14:paraId="5505ECCC" w14:textId="77777777" w:rsidR="00033986" w:rsidRPr="00033986" w:rsidRDefault="00033986" w:rsidP="00033986">
      <w:pPr>
        <w:tabs>
          <w:tab w:val="clear" w:pos="4320"/>
        </w:tabs>
        <w:spacing w:line="360" w:lineRule="auto"/>
        <w:jc w:val="both"/>
        <w:rPr>
          <w:szCs w:val="28"/>
        </w:rPr>
      </w:pPr>
    </w:p>
    <w:p w14:paraId="5F5A1F41" w14:textId="77777777" w:rsidR="00033986" w:rsidRPr="004F4700" w:rsidRDefault="00033986" w:rsidP="00EC7D02">
      <w:pPr>
        <w:pStyle w:val="ListParagraph"/>
        <w:tabs>
          <w:tab w:val="clear" w:pos="4320"/>
        </w:tabs>
        <w:spacing w:line="360" w:lineRule="auto"/>
        <w:ind w:left="0"/>
        <w:jc w:val="both"/>
        <w:rPr>
          <w:bCs/>
          <w:i/>
          <w:szCs w:val="28"/>
        </w:rPr>
      </w:pPr>
      <w:r w:rsidRPr="004F4700">
        <w:rPr>
          <w:bCs/>
          <w:i/>
          <w:szCs w:val="28"/>
        </w:rPr>
        <w:t>D</w:t>
      </w:r>
      <w:r w:rsidR="004F4700" w:rsidRPr="004F4700">
        <w:rPr>
          <w:bCs/>
          <w:i/>
          <w:szCs w:val="28"/>
        </w:rPr>
        <w:t>.</w:t>
      </w:r>
      <w:r w:rsidRPr="004F4700">
        <w:rPr>
          <w:bCs/>
          <w:i/>
          <w:szCs w:val="28"/>
        </w:rPr>
        <w:t>2</w:t>
      </w:r>
      <w:r w:rsidR="004F4700" w:rsidRPr="004F4700">
        <w:rPr>
          <w:bCs/>
          <w:i/>
          <w:szCs w:val="28"/>
        </w:rPr>
        <w:t xml:space="preserve"> </w:t>
      </w:r>
      <w:r w:rsidRPr="004F4700">
        <w:rPr>
          <w:bCs/>
          <w:i/>
          <w:szCs w:val="28"/>
        </w:rPr>
        <w:t xml:space="preserve">The Evidence of the </w:t>
      </w:r>
      <w:r w:rsidR="004F4700">
        <w:rPr>
          <w:bCs/>
          <w:i/>
          <w:szCs w:val="28"/>
        </w:rPr>
        <w:t>d</w:t>
      </w:r>
      <w:r w:rsidRPr="004F4700">
        <w:rPr>
          <w:bCs/>
          <w:i/>
          <w:szCs w:val="28"/>
        </w:rPr>
        <w:t>efendants’ Witnesses</w:t>
      </w:r>
    </w:p>
    <w:p w14:paraId="1F6DF5F4" w14:textId="77777777" w:rsidR="00033986" w:rsidRPr="00033986" w:rsidRDefault="00033986" w:rsidP="00033986">
      <w:pPr>
        <w:tabs>
          <w:tab w:val="clear" w:pos="4320"/>
        </w:tabs>
        <w:spacing w:line="360" w:lineRule="auto"/>
        <w:jc w:val="both"/>
        <w:rPr>
          <w:szCs w:val="28"/>
        </w:rPr>
      </w:pPr>
    </w:p>
    <w:p w14:paraId="58815659"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4F4700">
        <w:rPr>
          <w:szCs w:val="28"/>
        </w:rPr>
        <w:t>d</w:t>
      </w:r>
      <w:r w:rsidRPr="00033986">
        <w:rPr>
          <w:szCs w:val="28"/>
        </w:rPr>
        <w:t xml:space="preserve">efendants called Madam Wong and a Madam Yip Suk Man (“Madam Yip”) to give evidence at the trial. </w:t>
      </w:r>
    </w:p>
    <w:p w14:paraId="74DA83D3" w14:textId="77777777" w:rsidR="00033986" w:rsidRPr="00033986" w:rsidRDefault="00033986" w:rsidP="00033986">
      <w:pPr>
        <w:tabs>
          <w:tab w:val="clear" w:pos="4320"/>
        </w:tabs>
        <w:spacing w:line="360" w:lineRule="auto"/>
        <w:jc w:val="both"/>
        <w:rPr>
          <w:szCs w:val="28"/>
        </w:rPr>
      </w:pPr>
    </w:p>
    <w:p w14:paraId="7E001A47"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A Mr Wong Wai Lun (“Mr Wong”) also prepared witness statement(s) but he had left employment with D1 and was not called to testify. </w:t>
      </w:r>
      <w:r w:rsidR="004F4700">
        <w:rPr>
          <w:szCs w:val="28"/>
        </w:rPr>
        <w:t xml:space="preserve"> </w:t>
      </w:r>
      <w:r w:rsidRPr="00033986">
        <w:rPr>
          <w:szCs w:val="28"/>
        </w:rPr>
        <w:t>His witness statement(s) were accordingly expunged from the trial bundles and I had never read nor considered the same.</w:t>
      </w:r>
    </w:p>
    <w:p w14:paraId="64FD13E5" w14:textId="77777777" w:rsidR="00033986" w:rsidRPr="00033986" w:rsidRDefault="00033986" w:rsidP="00033986">
      <w:pPr>
        <w:tabs>
          <w:tab w:val="clear" w:pos="4320"/>
        </w:tabs>
        <w:spacing w:line="360" w:lineRule="auto"/>
        <w:jc w:val="both"/>
        <w:rPr>
          <w:szCs w:val="28"/>
        </w:rPr>
      </w:pPr>
    </w:p>
    <w:p w14:paraId="5BF12D01"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Madam Wong is an employee of D1. </w:t>
      </w:r>
      <w:r w:rsidR="004F4700">
        <w:rPr>
          <w:szCs w:val="28"/>
        </w:rPr>
        <w:t xml:space="preserve"> </w:t>
      </w:r>
      <w:r w:rsidRPr="00033986">
        <w:rPr>
          <w:szCs w:val="28"/>
        </w:rPr>
        <w:t xml:space="preserve">At the material time, she was the immediate supervisor of the Plaintiff working at the Carpark (ie </w:t>
      </w:r>
      <w:r w:rsidRPr="004F4700">
        <w:rPr>
          <w:rFonts w:eastAsia="PMingLiU"/>
          <w:szCs w:val="28"/>
        </w:rPr>
        <w:t xml:space="preserve">SUP </w:t>
      </w:r>
      <w:r w:rsidRPr="004F4700">
        <w:rPr>
          <w:rFonts w:ascii="PMingLiU" w:eastAsia="PMingLiU" w:hAnsi="PMingLiU"/>
          <w:szCs w:val="28"/>
        </w:rPr>
        <w:t>車場主管</w:t>
      </w:r>
      <w:r w:rsidRPr="00033986">
        <w:rPr>
          <w:szCs w:val="28"/>
        </w:rPr>
        <w:t>).  Her evidence mainly concerned the followings:-</w:t>
      </w:r>
    </w:p>
    <w:p w14:paraId="4E586005" w14:textId="77777777" w:rsidR="00033986" w:rsidRPr="00033986" w:rsidRDefault="00033986" w:rsidP="00033986">
      <w:pPr>
        <w:tabs>
          <w:tab w:val="clear" w:pos="4320"/>
        </w:tabs>
        <w:spacing w:line="360" w:lineRule="auto"/>
        <w:jc w:val="both"/>
        <w:rPr>
          <w:szCs w:val="28"/>
        </w:rPr>
      </w:pPr>
    </w:p>
    <w:p w14:paraId="2F6885CC" w14:textId="77777777" w:rsidR="00033986" w:rsidRPr="00033986" w:rsidRDefault="00033986" w:rsidP="006F407B">
      <w:pPr>
        <w:pStyle w:val="ListParagraph"/>
        <w:numPr>
          <w:ilvl w:val="0"/>
          <w:numId w:val="5"/>
        </w:numPr>
        <w:tabs>
          <w:tab w:val="clear" w:pos="4320"/>
          <w:tab w:val="left" w:pos="2160"/>
        </w:tabs>
        <w:spacing w:line="360" w:lineRule="auto"/>
        <w:ind w:left="2160" w:hanging="720"/>
        <w:jc w:val="both"/>
        <w:rPr>
          <w:szCs w:val="28"/>
        </w:rPr>
      </w:pPr>
      <w:r w:rsidRPr="00033986">
        <w:rPr>
          <w:szCs w:val="28"/>
        </w:rPr>
        <w:t xml:space="preserve">On 12 November 2016, she had three telephone conversation with the </w:t>
      </w:r>
      <w:r w:rsidR="004F4700">
        <w:rPr>
          <w:szCs w:val="28"/>
        </w:rPr>
        <w:t>p</w:t>
      </w:r>
      <w:r w:rsidRPr="00033986">
        <w:rPr>
          <w:szCs w:val="28"/>
        </w:rPr>
        <w:t xml:space="preserve">laintiff. </w:t>
      </w:r>
      <w:r w:rsidR="004F4700">
        <w:rPr>
          <w:szCs w:val="28"/>
        </w:rPr>
        <w:t xml:space="preserve"> </w:t>
      </w:r>
      <w:r w:rsidRPr="00033986">
        <w:rPr>
          <w:szCs w:val="28"/>
        </w:rPr>
        <w:t>First, at around 2:30</w:t>
      </w:r>
      <w:r w:rsidR="004F4700">
        <w:rPr>
          <w:szCs w:val="28"/>
        </w:rPr>
        <w:t xml:space="preserve"> </w:t>
      </w:r>
      <w:r w:rsidRPr="00033986">
        <w:rPr>
          <w:szCs w:val="28"/>
        </w:rPr>
        <w:t xml:space="preserve">pm, the </w:t>
      </w:r>
      <w:r w:rsidR="004F4700">
        <w:rPr>
          <w:szCs w:val="28"/>
        </w:rPr>
        <w:t>p</w:t>
      </w:r>
      <w:r w:rsidRPr="00033986">
        <w:rPr>
          <w:szCs w:val="28"/>
        </w:rPr>
        <w:t>laintiff rang her to inform her that she had a fall when taking transportation (</w:t>
      </w:r>
      <w:r w:rsidRPr="004F4700">
        <w:rPr>
          <w:rFonts w:ascii="PMingLiU" w:eastAsia="PMingLiU" w:hAnsi="PMingLiU"/>
          <w:szCs w:val="28"/>
        </w:rPr>
        <w:t>乘車時跌倒腳部受傷</w:t>
      </w:r>
      <w:r w:rsidRPr="00033986">
        <w:rPr>
          <w:szCs w:val="28"/>
        </w:rPr>
        <w:t xml:space="preserve">) and was waiting to see doctor. </w:t>
      </w:r>
      <w:r w:rsidR="004F4700">
        <w:rPr>
          <w:szCs w:val="28"/>
        </w:rPr>
        <w:t xml:space="preserve"> </w:t>
      </w:r>
      <w:r w:rsidRPr="00033986">
        <w:rPr>
          <w:szCs w:val="28"/>
        </w:rPr>
        <w:t xml:space="preserve">Second, 30 minutes later, the </w:t>
      </w:r>
      <w:r w:rsidR="004F4700">
        <w:rPr>
          <w:szCs w:val="28"/>
        </w:rPr>
        <w:t>p</w:t>
      </w:r>
      <w:r w:rsidRPr="00033986">
        <w:rPr>
          <w:szCs w:val="28"/>
        </w:rPr>
        <w:t>laintiff rang her again and put forward another version ie she fell on the stairs whilst she was patrolling in the Carpark. Third, at around 6</w:t>
      </w:r>
      <w:r w:rsidR="004F4700">
        <w:rPr>
          <w:szCs w:val="28"/>
        </w:rPr>
        <w:t xml:space="preserve"> </w:t>
      </w:r>
      <w:r w:rsidRPr="00033986">
        <w:rPr>
          <w:szCs w:val="28"/>
        </w:rPr>
        <w:t xml:space="preserve">pm, the </w:t>
      </w:r>
      <w:r w:rsidR="004F4700">
        <w:rPr>
          <w:szCs w:val="28"/>
        </w:rPr>
        <w:t>p</w:t>
      </w:r>
      <w:r w:rsidRPr="00033986">
        <w:rPr>
          <w:szCs w:val="28"/>
        </w:rPr>
        <w:t xml:space="preserve">laintiff rang her again to inform her that she was admitted to the hospital for a few days. </w:t>
      </w:r>
    </w:p>
    <w:p w14:paraId="57E19EC0" w14:textId="77777777" w:rsidR="00033986" w:rsidRPr="00033986" w:rsidRDefault="00033986" w:rsidP="004F4700">
      <w:pPr>
        <w:tabs>
          <w:tab w:val="clear" w:pos="4320"/>
          <w:tab w:val="left" w:pos="2160"/>
        </w:tabs>
        <w:spacing w:line="360" w:lineRule="auto"/>
        <w:ind w:left="2160" w:hanging="720"/>
        <w:jc w:val="both"/>
        <w:rPr>
          <w:szCs w:val="28"/>
        </w:rPr>
      </w:pPr>
    </w:p>
    <w:p w14:paraId="05941C12" w14:textId="77777777" w:rsidR="00033986" w:rsidRPr="00033986" w:rsidRDefault="00033986" w:rsidP="006F407B">
      <w:pPr>
        <w:pStyle w:val="ListParagraph"/>
        <w:numPr>
          <w:ilvl w:val="0"/>
          <w:numId w:val="5"/>
        </w:numPr>
        <w:tabs>
          <w:tab w:val="clear" w:pos="4320"/>
          <w:tab w:val="left" w:pos="2160"/>
        </w:tabs>
        <w:spacing w:line="360" w:lineRule="auto"/>
        <w:ind w:left="2160" w:hanging="720"/>
        <w:jc w:val="both"/>
        <w:rPr>
          <w:szCs w:val="28"/>
        </w:rPr>
      </w:pPr>
      <w:r w:rsidRPr="00033986">
        <w:rPr>
          <w:szCs w:val="28"/>
        </w:rPr>
        <w:t xml:space="preserve">After receiving the first call from the </w:t>
      </w:r>
      <w:r w:rsidR="004F4700">
        <w:rPr>
          <w:szCs w:val="28"/>
        </w:rPr>
        <w:t>p</w:t>
      </w:r>
      <w:r w:rsidRPr="00033986">
        <w:rPr>
          <w:szCs w:val="28"/>
        </w:rPr>
        <w:t xml:space="preserve">laintiff, Madam Wong reported the same to Mr Wong ie the manager of the Carpark at the time, to see if she need to make or fill in a report. </w:t>
      </w:r>
      <w:r w:rsidR="004F4700">
        <w:rPr>
          <w:szCs w:val="28"/>
        </w:rPr>
        <w:t xml:space="preserve"> </w:t>
      </w:r>
      <w:r w:rsidRPr="00033986">
        <w:rPr>
          <w:szCs w:val="28"/>
        </w:rPr>
        <w:t xml:space="preserve">Mr Wong indicated that since the </w:t>
      </w:r>
      <w:r w:rsidR="004F4700">
        <w:rPr>
          <w:szCs w:val="28"/>
        </w:rPr>
        <w:t>p</w:t>
      </w:r>
      <w:r w:rsidRPr="00033986">
        <w:rPr>
          <w:szCs w:val="28"/>
        </w:rPr>
        <w:t xml:space="preserve">laintiff was not injured whilst she was at work, it was not necessary to do so. </w:t>
      </w:r>
      <w:r w:rsidR="004F4700">
        <w:rPr>
          <w:szCs w:val="28"/>
        </w:rPr>
        <w:t xml:space="preserve"> </w:t>
      </w:r>
      <w:r w:rsidRPr="00033986">
        <w:rPr>
          <w:szCs w:val="28"/>
        </w:rPr>
        <w:t xml:space="preserve">She also subsequently reported to Mr Wong that the </w:t>
      </w:r>
      <w:r w:rsidR="004F4700">
        <w:rPr>
          <w:szCs w:val="28"/>
        </w:rPr>
        <w:t>p</w:t>
      </w:r>
      <w:r w:rsidRPr="00033986">
        <w:rPr>
          <w:szCs w:val="28"/>
        </w:rPr>
        <w:t xml:space="preserve">laintiff had changed her version. </w:t>
      </w:r>
    </w:p>
    <w:p w14:paraId="1E059CBB" w14:textId="77777777" w:rsidR="00033986" w:rsidRPr="00033986" w:rsidRDefault="00033986" w:rsidP="004F4700">
      <w:pPr>
        <w:tabs>
          <w:tab w:val="clear" w:pos="4320"/>
          <w:tab w:val="left" w:pos="2160"/>
        </w:tabs>
        <w:spacing w:line="360" w:lineRule="auto"/>
        <w:ind w:left="2160" w:hanging="720"/>
        <w:jc w:val="both"/>
        <w:rPr>
          <w:szCs w:val="28"/>
        </w:rPr>
      </w:pPr>
    </w:p>
    <w:p w14:paraId="585A82A1" w14:textId="77777777" w:rsidR="00033986" w:rsidRPr="00033986" w:rsidRDefault="00033986" w:rsidP="006F407B">
      <w:pPr>
        <w:pStyle w:val="ListParagraph"/>
        <w:numPr>
          <w:ilvl w:val="0"/>
          <w:numId w:val="5"/>
        </w:numPr>
        <w:tabs>
          <w:tab w:val="clear" w:pos="4320"/>
          <w:tab w:val="left" w:pos="2160"/>
        </w:tabs>
        <w:spacing w:line="360" w:lineRule="auto"/>
        <w:ind w:left="2160" w:hanging="720"/>
        <w:jc w:val="both"/>
        <w:rPr>
          <w:szCs w:val="28"/>
        </w:rPr>
      </w:pPr>
      <w:r w:rsidRPr="00033986">
        <w:rPr>
          <w:szCs w:val="28"/>
        </w:rPr>
        <w:t xml:space="preserve">On or about 15 November 2016, Madam Wong recalled seeing the </w:t>
      </w:r>
      <w:r w:rsidR="004F4700">
        <w:rPr>
          <w:szCs w:val="28"/>
        </w:rPr>
        <w:t>p</w:t>
      </w:r>
      <w:r w:rsidRPr="00033986">
        <w:rPr>
          <w:szCs w:val="28"/>
        </w:rPr>
        <w:t>laintiff and her husband attending the Carpark intending to make a report for her injury (</w:t>
      </w:r>
      <w:r w:rsidRPr="004F4700">
        <w:rPr>
          <w:rFonts w:ascii="PMingLiU" w:eastAsia="PMingLiU" w:hAnsi="PMingLiU"/>
          <w:szCs w:val="28"/>
        </w:rPr>
        <w:t>向威信呈報工傷</w:t>
      </w:r>
      <w:r w:rsidRPr="00033986">
        <w:rPr>
          <w:szCs w:val="28"/>
        </w:rPr>
        <w:t xml:space="preserve">). </w:t>
      </w:r>
      <w:r w:rsidR="004F4700">
        <w:rPr>
          <w:szCs w:val="28"/>
        </w:rPr>
        <w:t xml:space="preserve"> </w:t>
      </w:r>
      <w:r w:rsidRPr="00033986">
        <w:rPr>
          <w:szCs w:val="28"/>
        </w:rPr>
        <w:t xml:space="preserve">As she was about to leave after work, Madam Yip was asked to deal with the same. </w:t>
      </w:r>
      <w:r w:rsidR="004F4700">
        <w:rPr>
          <w:szCs w:val="28"/>
        </w:rPr>
        <w:t xml:space="preserve"> </w:t>
      </w:r>
      <w:r w:rsidRPr="00033986">
        <w:rPr>
          <w:szCs w:val="28"/>
        </w:rPr>
        <w:t xml:space="preserve">As such, Madam Wong did not write anything including helping the </w:t>
      </w:r>
      <w:r w:rsidR="004F4700">
        <w:rPr>
          <w:szCs w:val="28"/>
        </w:rPr>
        <w:t>p</w:t>
      </w:r>
      <w:r w:rsidRPr="00033986">
        <w:rPr>
          <w:szCs w:val="28"/>
        </w:rPr>
        <w:t xml:space="preserve">laintiff to write how the Accident occurred on a piece of paper so that the </w:t>
      </w:r>
      <w:r w:rsidR="004F4700">
        <w:rPr>
          <w:szCs w:val="28"/>
        </w:rPr>
        <w:t>p</w:t>
      </w:r>
      <w:r w:rsidRPr="00033986">
        <w:rPr>
          <w:szCs w:val="28"/>
        </w:rPr>
        <w:t>laintiff’s husband could copy the same.</w:t>
      </w:r>
    </w:p>
    <w:p w14:paraId="23524C62" w14:textId="77777777" w:rsidR="00033986" w:rsidRPr="00033986" w:rsidRDefault="00033986" w:rsidP="004F4700">
      <w:pPr>
        <w:tabs>
          <w:tab w:val="clear" w:pos="4320"/>
          <w:tab w:val="left" w:pos="2160"/>
        </w:tabs>
        <w:spacing w:line="360" w:lineRule="auto"/>
        <w:ind w:left="2160" w:hanging="720"/>
        <w:jc w:val="both"/>
        <w:rPr>
          <w:szCs w:val="28"/>
        </w:rPr>
      </w:pPr>
    </w:p>
    <w:p w14:paraId="274902AD" w14:textId="77777777" w:rsidR="00033986" w:rsidRPr="00033986" w:rsidRDefault="00033986" w:rsidP="006F407B">
      <w:pPr>
        <w:pStyle w:val="ListParagraph"/>
        <w:numPr>
          <w:ilvl w:val="0"/>
          <w:numId w:val="5"/>
        </w:numPr>
        <w:tabs>
          <w:tab w:val="clear" w:pos="4320"/>
          <w:tab w:val="left" w:pos="2160"/>
        </w:tabs>
        <w:spacing w:line="360" w:lineRule="auto"/>
        <w:ind w:left="2160" w:hanging="720"/>
        <w:jc w:val="both"/>
        <w:rPr>
          <w:szCs w:val="28"/>
        </w:rPr>
      </w:pPr>
      <w:r w:rsidRPr="00033986">
        <w:rPr>
          <w:szCs w:val="28"/>
        </w:rPr>
        <w:t xml:space="preserve">Madam Wong also did not tell the </w:t>
      </w:r>
      <w:r w:rsidR="004F4700">
        <w:rPr>
          <w:szCs w:val="28"/>
        </w:rPr>
        <w:t>p</w:t>
      </w:r>
      <w:r w:rsidRPr="00033986">
        <w:rPr>
          <w:szCs w:val="28"/>
        </w:rPr>
        <w:t xml:space="preserve">laintiff the staircase which the Accident occurred was staircase </w:t>
      </w:r>
      <w:r w:rsidR="004F4700">
        <w:rPr>
          <w:szCs w:val="28"/>
        </w:rPr>
        <w:t>N</w:t>
      </w:r>
      <w:r w:rsidRPr="00033986">
        <w:rPr>
          <w:szCs w:val="28"/>
        </w:rPr>
        <w:t>o 1 (</w:t>
      </w:r>
      <w:r w:rsidRPr="004F4700">
        <w:rPr>
          <w:rFonts w:ascii="PMingLiU" w:eastAsia="PMingLiU" w:hAnsi="PMingLiU"/>
          <w:szCs w:val="28"/>
        </w:rPr>
        <w:t>一號樓梯</w:t>
      </w:r>
      <w:r w:rsidRPr="00033986">
        <w:rPr>
          <w:szCs w:val="28"/>
        </w:rPr>
        <w:t>).</w:t>
      </w:r>
      <w:r w:rsidR="004F4700">
        <w:rPr>
          <w:szCs w:val="28"/>
        </w:rPr>
        <w:t xml:space="preserve"> </w:t>
      </w:r>
      <w:r w:rsidRPr="00033986">
        <w:rPr>
          <w:szCs w:val="28"/>
        </w:rPr>
        <w:t xml:space="preserve"> In fact, she was not aware that the staircases at the Carpark were numbered.</w:t>
      </w:r>
    </w:p>
    <w:p w14:paraId="36F86DBB" w14:textId="77777777" w:rsidR="00033986" w:rsidRPr="00033986" w:rsidRDefault="00033986" w:rsidP="00033986">
      <w:pPr>
        <w:tabs>
          <w:tab w:val="clear" w:pos="4320"/>
        </w:tabs>
        <w:spacing w:line="360" w:lineRule="auto"/>
        <w:jc w:val="both"/>
        <w:rPr>
          <w:szCs w:val="28"/>
        </w:rPr>
      </w:pPr>
    </w:p>
    <w:p w14:paraId="73967253"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Madam Wong also prepared a supplemental witness statement which contained one short paragraph. </w:t>
      </w:r>
      <w:r w:rsidR="004F4700">
        <w:rPr>
          <w:szCs w:val="28"/>
        </w:rPr>
        <w:t xml:space="preserve"> </w:t>
      </w:r>
      <w:r w:rsidRPr="00033986">
        <w:rPr>
          <w:szCs w:val="28"/>
        </w:rPr>
        <w:t xml:space="preserve">Her evidence was that she had been in the employment with D1 for over 10 years and D2 and/or D3 </w:t>
      </w:r>
      <w:r w:rsidRPr="00033986">
        <w:rPr>
          <w:szCs w:val="28"/>
        </w:rPr>
        <w:lastRenderedPageBreak/>
        <w:t>had always arranged cleaners to provide cleaning service in the Carpark from 8</w:t>
      </w:r>
      <w:r w:rsidR="004F4700">
        <w:rPr>
          <w:szCs w:val="28"/>
        </w:rPr>
        <w:t xml:space="preserve"> </w:t>
      </w:r>
      <w:r w:rsidRPr="00033986">
        <w:rPr>
          <w:szCs w:val="28"/>
        </w:rPr>
        <w:t>am to 10</w:t>
      </w:r>
      <w:r w:rsidR="004F4700">
        <w:rPr>
          <w:szCs w:val="28"/>
        </w:rPr>
        <w:t xml:space="preserve"> </w:t>
      </w:r>
      <w:r w:rsidRPr="00033986">
        <w:rPr>
          <w:szCs w:val="28"/>
        </w:rPr>
        <w:t xml:space="preserve">am on a daily basis. </w:t>
      </w:r>
    </w:p>
    <w:p w14:paraId="6DACE0B9" w14:textId="77777777" w:rsidR="00033986" w:rsidRPr="00033986" w:rsidRDefault="00033986" w:rsidP="00033986">
      <w:pPr>
        <w:tabs>
          <w:tab w:val="clear" w:pos="4320"/>
        </w:tabs>
        <w:spacing w:line="360" w:lineRule="auto"/>
        <w:jc w:val="both"/>
        <w:rPr>
          <w:szCs w:val="28"/>
        </w:rPr>
      </w:pPr>
    </w:p>
    <w:p w14:paraId="1C35FBBE"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material parts of Madam Wong’s evidence were clearly in direct conflict with the version of events put forward by the </w:t>
      </w:r>
      <w:r w:rsidR="004F4700">
        <w:rPr>
          <w:szCs w:val="28"/>
        </w:rPr>
        <w:t>p</w:t>
      </w:r>
      <w:r w:rsidRPr="00033986">
        <w:rPr>
          <w:szCs w:val="28"/>
        </w:rPr>
        <w:t xml:space="preserve">laintiff. </w:t>
      </w:r>
      <w:r w:rsidR="004F4700">
        <w:rPr>
          <w:szCs w:val="28"/>
        </w:rPr>
        <w:t xml:space="preserve"> </w:t>
      </w:r>
      <w:r w:rsidRPr="00033986">
        <w:rPr>
          <w:szCs w:val="28"/>
        </w:rPr>
        <w:t xml:space="preserve">The </w:t>
      </w:r>
      <w:r w:rsidR="004F4700">
        <w:rPr>
          <w:szCs w:val="28"/>
        </w:rPr>
        <w:t>d</w:t>
      </w:r>
      <w:r w:rsidRPr="00033986">
        <w:rPr>
          <w:szCs w:val="28"/>
        </w:rPr>
        <w:t xml:space="preserve">efendants’ counsel is adamant that I should accept the evidence of Madam Wong. </w:t>
      </w:r>
      <w:r w:rsidR="004F4700">
        <w:rPr>
          <w:szCs w:val="28"/>
        </w:rPr>
        <w:t xml:space="preserve"> </w:t>
      </w:r>
      <w:r w:rsidRPr="00033986">
        <w:rPr>
          <w:szCs w:val="28"/>
        </w:rPr>
        <w:t xml:space="preserve">It is said that there was no conceivable motive for Madam Wong to lie and there was no suggestion of personal grudges as between her and the </w:t>
      </w:r>
      <w:r w:rsidR="004F4700">
        <w:rPr>
          <w:szCs w:val="28"/>
        </w:rPr>
        <w:t>p</w:t>
      </w:r>
      <w:r w:rsidRPr="00033986">
        <w:rPr>
          <w:szCs w:val="28"/>
        </w:rPr>
        <w:t xml:space="preserve">laintiff. </w:t>
      </w:r>
      <w:r w:rsidR="004F4700">
        <w:rPr>
          <w:szCs w:val="28"/>
        </w:rPr>
        <w:t xml:space="preserve"> </w:t>
      </w:r>
      <w:r w:rsidRPr="00033986">
        <w:rPr>
          <w:szCs w:val="28"/>
        </w:rPr>
        <w:t xml:space="preserve">I agree with the </w:t>
      </w:r>
      <w:r w:rsidR="004F4700">
        <w:rPr>
          <w:szCs w:val="28"/>
        </w:rPr>
        <w:t>p</w:t>
      </w:r>
      <w:r w:rsidRPr="00033986">
        <w:rPr>
          <w:szCs w:val="28"/>
        </w:rPr>
        <w:t xml:space="preserve">laintiff’s counsel that there may be many reasons why a witness was not telling the truth. </w:t>
      </w:r>
      <w:r w:rsidR="004F4700">
        <w:rPr>
          <w:szCs w:val="28"/>
        </w:rPr>
        <w:t xml:space="preserve"> </w:t>
      </w:r>
      <w:r w:rsidRPr="00033986">
        <w:rPr>
          <w:szCs w:val="28"/>
        </w:rPr>
        <w:t xml:space="preserve">In many cases, the </w:t>
      </w:r>
      <w:r w:rsidR="004F4700">
        <w:rPr>
          <w:szCs w:val="28"/>
        </w:rPr>
        <w:t>c</w:t>
      </w:r>
      <w:r w:rsidRPr="00033986">
        <w:rPr>
          <w:szCs w:val="28"/>
        </w:rPr>
        <w:t xml:space="preserve">ourt may never find out the true motive for a witness to do so. </w:t>
      </w:r>
      <w:r w:rsidR="004F4700">
        <w:rPr>
          <w:szCs w:val="28"/>
        </w:rPr>
        <w:t xml:space="preserve"> </w:t>
      </w:r>
      <w:r w:rsidRPr="00033986">
        <w:rPr>
          <w:szCs w:val="28"/>
        </w:rPr>
        <w:t>I shall therefore focus on evaluating the witnesses’ evidence in determining the probability of the competing versions and shall reject the version which I find improbable and/or otherwise incredible or unreliable.</w:t>
      </w:r>
    </w:p>
    <w:p w14:paraId="5E07561A" w14:textId="77777777" w:rsidR="00033986" w:rsidRPr="00033986" w:rsidRDefault="00033986" w:rsidP="00033986">
      <w:pPr>
        <w:tabs>
          <w:tab w:val="clear" w:pos="4320"/>
        </w:tabs>
        <w:spacing w:line="360" w:lineRule="auto"/>
        <w:jc w:val="both"/>
        <w:rPr>
          <w:szCs w:val="28"/>
        </w:rPr>
      </w:pPr>
    </w:p>
    <w:p w14:paraId="5A7F187B"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material parts of Madam Wong’s evidence were incredible or unreliable. </w:t>
      </w:r>
      <w:r w:rsidR="004F4700">
        <w:rPr>
          <w:szCs w:val="28"/>
        </w:rPr>
        <w:t xml:space="preserve"> </w:t>
      </w:r>
      <w:r w:rsidRPr="00033986">
        <w:rPr>
          <w:szCs w:val="28"/>
        </w:rPr>
        <w:t xml:space="preserve">If Madam Wong’s evidence regarding the three telephone conversations with the </w:t>
      </w:r>
      <w:r w:rsidR="004F4700">
        <w:rPr>
          <w:szCs w:val="28"/>
        </w:rPr>
        <w:t>p</w:t>
      </w:r>
      <w:r w:rsidRPr="00033986">
        <w:rPr>
          <w:szCs w:val="28"/>
        </w:rPr>
        <w:t xml:space="preserve">laintiff was indeed true, her response (or rather, the complete lack of response) was very odd and could not be properly explained. </w:t>
      </w:r>
      <w:r w:rsidR="004F4700">
        <w:rPr>
          <w:szCs w:val="28"/>
        </w:rPr>
        <w:t xml:space="preserve"> </w:t>
      </w:r>
      <w:r w:rsidRPr="00033986">
        <w:rPr>
          <w:szCs w:val="28"/>
        </w:rPr>
        <w:t xml:space="preserve">The only explanation she managed to come up with under cross-examination was that she simply did not think of the two different versions put forward by the </w:t>
      </w:r>
      <w:r w:rsidR="004F4700">
        <w:rPr>
          <w:szCs w:val="28"/>
        </w:rPr>
        <w:t>p</w:t>
      </w:r>
      <w:r w:rsidRPr="00033986">
        <w:rPr>
          <w:szCs w:val="28"/>
        </w:rPr>
        <w:t xml:space="preserve">laintiff within half an hour and she did not think of asking her the reason why she first claimed she fell when taking transportation. </w:t>
      </w:r>
      <w:r w:rsidR="004F4700">
        <w:rPr>
          <w:szCs w:val="28"/>
        </w:rPr>
        <w:t xml:space="preserve"> </w:t>
      </w:r>
      <w:r w:rsidRPr="00033986">
        <w:rPr>
          <w:szCs w:val="28"/>
        </w:rPr>
        <w:t xml:space="preserve">She never saw the need or urge to confront or even ask the </w:t>
      </w:r>
      <w:r w:rsidR="00541031">
        <w:rPr>
          <w:szCs w:val="28"/>
        </w:rPr>
        <w:t>p</w:t>
      </w:r>
      <w:r w:rsidRPr="00033986">
        <w:rPr>
          <w:szCs w:val="28"/>
        </w:rPr>
        <w:t xml:space="preserve">laintiff as to the two versions even on the day when she came to the Carpark with her husband. </w:t>
      </w:r>
      <w:r w:rsidR="00541031">
        <w:rPr>
          <w:szCs w:val="28"/>
        </w:rPr>
        <w:t xml:space="preserve"> </w:t>
      </w:r>
      <w:r w:rsidRPr="00033986">
        <w:rPr>
          <w:szCs w:val="28"/>
        </w:rPr>
        <w:t xml:space="preserve">This simply does not sit well with common sense and is against human nature. </w:t>
      </w:r>
    </w:p>
    <w:p w14:paraId="58DB1C3F" w14:textId="77777777" w:rsidR="00033986" w:rsidRPr="00033986" w:rsidRDefault="00033986" w:rsidP="00033986">
      <w:pPr>
        <w:tabs>
          <w:tab w:val="clear" w:pos="4320"/>
        </w:tabs>
        <w:spacing w:line="360" w:lineRule="auto"/>
        <w:jc w:val="both"/>
        <w:rPr>
          <w:szCs w:val="28"/>
        </w:rPr>
      </w:pPr>
    </w:p>
    <w:p w14:paraId="68D77680" w14:textId="77777777" w:rsidR="00033986" w:rsidRPr="00033986" w:rsidRDefault="00541031" w:rsidP="006F407B">
      <w:pPr>
        <w:pStyle w:val="ListParagraph"/>
        <w:numPr>
          <w:ilvl w:val="0"/>
          <w:numId w:val="1"/>
        </w:numPr>
        <w:tabs>
          <w:tab w:val="clear" w:pos="4320"/>
        </w:tabs>
        <w:spacing w:line="360" w:lineRule="auto"/>
        <w:ind w:left="0" w:firstLine="0"/>
        <w:jc w:val="both"/>
        <w:rPr>
          <w:szCs w:val="28"/>
        </w:rPr>
      </w:pPr>
      <w:r w:rsidRPr="00033986">
        <w:rPr>
          <w:szCs w:val="28"/>
        </w:rPr>
        <w:lastRenderedPageBreak/>
        <w:t>After all</w:t>
      </w:r>
      <w:r w:rsidR="00033986" w:rsidRPr="00033986">
        <w:rPr>
          <w:szCs w:val="28"/>
        </w:rPr>
        <w:t>, she had been in the employment with D1 for over 10 years.</w:t>
      </w:r>
      <w:r>
        <w:rPr>
          <w:szCs w:val="28"/>
        </w:rPr>
        <w:t xml:space="preserve"> </w:t>
      </w:r>
      <w:r w:rsidR="00033986" w:rsidRPr="00033986">
        <w:rPr>
          <w:szCs w:val="28"/>
        </w:rPr>
        <w:t xml:space="preserve"> Her failure to make any record and the absence of any discussion with Mr Wong regarding the contradictory versions of the accident put forward by the </w:t>
      </w:r>
      <w:r>
        <w:rPr>
          <w:szCs w:val="28"/>
        </w:rPr>
        <w:t>p</w:t>
      </w:r>
      <w:r w:rsidR="00033986" w:rsidRPr="00033986">
        <w:rPr>
          <w:szCs w:val="28"/>
        </w:rPr>
        <w:t xml:space="preserve">laintiff is most unbelievable. </w:t>
      </w:r>
      <w:r>
        <w:rPr>
          <w:szCs w:val="28"/>
        </w:rPr>
        <w:t xml:space="preserve"> </w:t>
      </w:r>
      <w:r w:rsidR="00033986" w:rsidRPr="00033986">
        <w:rPr>
          <w:szCs w:val="28"/>
        </w:rPr>
        <w:t xml:space="preserve">It is even more unbelievable that when she reported the latest version of the accident put forward by the </w:t>
      </w:r>
      <w:r>
        <w:rPr>
          <w:szCs w:val="28"/>
        </w:rPr>
        <w:t>p</w:t>
      </w:r>
      <w:r w:rsidR="00033986" w:rsidRPr="00033986">
        <w:rPr>
          <w:szCs w:val="28"/>
        </w:rPr>
        <w:t>laintiff to Mr Wong, Mr Wong still told her it was not necessary to report as the injury took place outside (</w:t>
      </w:r>
      <w:r w:rsidR="00033986" w:rsidRPr="00541031">
        <w:rPr>
          <w:rFonts w:ascii="PMingLiU" w:eastAsia="PMingLiU" w:hAnsi="PMingLiU"/>
          <w:szCs w:val="28"/>
        </w:rPr>
        <w:t>出面整親唔駛落簿</w:t>
      </w:r>
      <w:r w:rsidR="00033986" w:rsidRPr="00033986">
        <w:rPr>
          <w:szCs w:val="28"/>
        </w:rPr>
        <w:t xml:space="preserve">). </w:t>
      </w:r>
      <w:r>
        <w:rPr>
          <w:szCs w:val="28"/>
        </w:rPr>
        <w:t xml:space="preserve"> </w:t>
      </w:r>
      <w:r w:rsidR="00033986" w:rsidRPr="00033986">
        <w:rPr>
          <w:szCs w:val="28"/>
        </w:rPr>
        <w:t xml:space="preserve">This part of the evidence was not mentioned in her witness statement and her explanation was that it was too long ago and she did not remember the details. </w:t>
      </w:r>
      <w:r>
        <w:rPr>
          <w:szCs w:val="28"/>
        </w:rPr>
        <w:t xml:space="preserve"> </w:t>
      </w:r>
      <w:r w:rsidR="00033986" w:rsidRPr="00033986">
        <w:rPr>
          <w:szCs w:val="28"/>
        </w:rPr>
        <w:t xml:space="preserve">This puts the veracity of her evidence including that she remembered the date, the time and contents of each of the phone calls she had with the </w:t>
      </w:r>
      <w:r>
        <w:rPr>
          <w:szCs w:val="28"/>
        </w:rPr>
        <w:t>p</w:t>
      </w:r>
      <w:r w:rsidR="00033986" w:rsidRPr="00033986">
        <w:rPr>
          <w:szCs w:val="28"/>
        </w:rPr>
        <w:t xml:space="preserve">laintiff on 12 November 2016 in the absence of any record at the time when she prepared her witness statement in 2020 (ie almost 4 years after the date of such events) in serious doubt. </w:t>
      </w:r>
      <w:r>
        <w:rPr>
          <w:szCs w:val="28"/>
        </w:rPr>
        <w:t xml:space="preserve"> </w:t>
      </w:r>
      <w:r w:rsidR="00033986" w:rsidRPr="00033986">
        <w:rPr>
          <w:szCs w:val="28"/>
        </w:rPr>
        <w:t>In particular, Mr Wong did eventually prepare an Incident Report dated 30 December 2016</w:t>
      </w:r>
      <w:r w:rsidR="00033986" w:rsidRPr="00033986">
        <w:rPr>
          <w:rStyle w:val="FootnoteReference"/>
          <w:szCs w:val="28"/>
        </w:rPr>
        <w:footnoteReference w:id="10"/>
      </w:r>
      <w:r w:rsidR="00033986" w:rsidRPr="00033986">
        <w:rPr>
          <w:szCs w:val="28"/>
        </w:rPr>
        <w:t xml:space="preserve"> reporting the </w:t>
      </w:r>
      <w:r>
        <w:rPr>
          <w:szCs w:val="28"/>
        </w:rPr>
        <w:t>p</w:t>
      </w:r>
      <w:r w:rsidR="00033986" w:rsidRPr="00033986">
        <w:rPr>
          <w:szCs w:val="28"/>
        </w:rPr>
        <w:t xml:space="preserve">laintiff had an accident at staircase </w:t>
      </w:r>
      <w:r>
        <w:rPr>
          <w:szCs w:val="28"/>
        </w:rPr>
        <w:t>N</w:t>
      </w:r>
      <w:r w:rsidR="00033986" w:rsidRPr="00033986">
        <w:rPr>
          <w:szCs w:val="28"/>
        </w:rPr>
        <w:t>o 1 in the Carpark (</w:t>
      </w:r>
      <w:r w:rsidR="00033986" w:rsidRPr="00541031">
        <w:rPr>
          <w:rFonts w:ascii="PMingLiU" w:eastAsia="PMingLiU" w:hAnsi="PMingLiU"/>
          <w:szCs w:val="28"/>
        </w:rPr>
        <w:t>和明停車場一號梯</w:t>
      </w:r>
      <w:r w:rsidR="00033986" w:rsidRPr="00033986">
        <w:rPr>
          <w:szCs w:val="28"/>
        </w:rPr>
        <w:t xml:space="preserve">) on 12 November 2016 at around 00:25. </w:t>
      </w:r>
      <w:r>
        <w:rPr>
          <w:szCs w:val="28"/>
        </w:rPr>
        <w:t xml:space="preserve"> </w:t>
      </w:r>
      <w:r w:rsidR="00033986" w:rsidRPr="00033986">
        <w:rPr>
          <w:szCs w:val="28"/>
        </w:rPr>
        <w:t xml:space="preserve">When asked about this Incident Report, she could not provide an explanation. </w:t>
      </w:r>
      <w:r>
        <w:rPr>
          <w:szCs w:val="28"/>
        </w:rPr>
        <w:t xml:space="preserve"> </w:t>
      </w:r>
      <w:r w:rsidR="00033986" w:rsidRPr="00033986">
        <w:rPr>
          <w:szCs w:val="28"/>
        </w:rPr>
        <w:t>She simply said that this was done by the manager (ie Mr. Wong) without the need to discuss with her and she did not think of why and whether Mr Wong was hiding the genuine version of the accident.</w:t>
      </w:r>
    </w:p>
    <w:p w14:paraId="2CE9EFA2" w14:textId="77777777" w:rsidR="00033986" w:rsidRPr="00033986" w:rsidRDefault="00033986" w:rsidP="00033986">
      <w:pPr>
        <w:tabs>
          <w:tab w:val="clear" w:pos="4320"/>
        </w:tabs>
        <w:spacing w:line="360" w:lineRule="auto"/>
        <w:jc w:val="both"/>
        <w:rPr>
          <w:szCs w:val="28"/>
        </w:rPr>
      </w:pPr>
    </w:p>
    <w:p w14:paraId="259AD93E"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Madam Wong’s complete lack of interest and/or indifference also appear to be disingenuous. </w:t>
      </w:r>
      <w:r w:rsidR="00541031">
        <w:rPr>
          <w:szCs w:val="28"/>
        </w:rPr>
        <w:t xml:space="preserve"> </w:t>
      </w:r>
      <w:r w:rsidRPr="00033986">
        <w:rPr>
          <w:szCs w:val="28"/>
        </w:rPr>
        <w:t xml:space="preserve">She initially claimed that she did not know the purpose of the </w:t>
      </w:r>
      <w:r w:rsidR="00541031">
        <w:rPr>
          <w:szCs w:val="28"/>
        </w:rPr>
        <w:t>p</w:t>
      </w:r>
      <w:r w:rsidRPr="00033986">
        <w:rPr>
          <w:szCs w:val="28"/>
        </w:rPr>
        <w:t xml:space="preserve">laintiff coming to the Carpark on 15 November 2016. </w:t>
      </w:r>
      <w:r w:rsidR="00541031">
        <w:rPr>
          <w:szCs w:val="28"/>
        </w:rPr>
        <w:t xml:space="preserve"> </w:t>
      </w:r>
      <w:r w:rsidRPr="00033986">
        <w:rPr>
          <w:szCs w:val="28"/>
        </w:rPr>
        <w:t>This is of course contradicted by what she stated in her witness statement.</w:t>
      </w:r>
      <w:r w:rsidRPr="00033986">
        <w:rPr>
          <w:rStyle w:val="FootnoteReference"/>
          <w:szCs w:val="28"/>
        </w:rPr>
        <w:footnoteReference w:id="11"/>
      </w:r>
      <w:r w:rsidRPr="00033986">
        <w:rPr>
          <w:szCs w:val="28"/>
        </w:rPr>
        <w:t xml:space="preserve"> </w:t>
      </w:r>
      <w:r w:rsidR="00541031">
        <w:rPr>
          <w:szCs w:val="28"/>
        </w:rPr>
        <w:t xml:space="preserve"> </w:t>
      </w:r>
      <w:r w:rsidRPr="00033986">
        <w:rPr>
          <w:szCs w:val="28"/>
        </w:rPr>
        <w:lastRenderedPageBreak/>
        <w:t xml:space="preserve">She subsequently retracted and agreed that she knew the </w:t>
      </w:r>
      <w:r w:rsidR="00541031">
        <w:rPr>
          <w:szCs w:val="28"/>
        </w:rPr>
        <w:t>p</w:t>
      </w:r>
      <w:r w:rsidRPr="00033986">
        <w:rPr>
          <w:szCs w:val="28"/>
        </w:rPr>
        <w:t>laintiff came to report the Accident (</w:t>
      </w:r>
      <w:r w:rsidRPr="00541031">
        <w:rPr>
          <w:rFonts w:ascii="PMingLiU" w:eastAsia="PMingLiU" w:hAnsi="PMingLiU"/>
          <w:szCs w:val="28"/>
        </w:rPr>
        <w:t>報工傷</w:t>
      </w:r>
      <w:r w:rsidRPr="00033986">
        <w:rPr>
          <w:szCs w:val="28"/>
        </w:rPr>
        <w:t>) but she did not care (</w:t>
      </w:r>
      <w:r w:rsidRPr="00541031">
        <w:rPr>
          <w:rFonts w:ascii="PMingLiU" w:eastAsia="PMingLiU" w:hAnsi="PMingLiU"/>
          <w:szCs w:val="28"/>
        </w:rPr>
        <w:t>無理會</w:t>
      </w:r>
      <w:r w:rsidRPr="00033986">
        <w:rPr>
          <w:szCs w:val="28"/>
        </w:rPr>
        <w:t xml:space="preserve">). </w:t>
      </w:r>
      <w:r w:rsidR="00541031">
        <w:rPr>
          <w:szCs w:val="28"/>
        </w:rPr>
        <w:t xml:space="preserve"> </w:t>
      </w:r>
      <w:r w:rsidRPr="00033986">
        <w:rPr>
          <w:szCs w:val="28"/>
        </w:rPr>
        <w:t xml:space="preserve">This is so notwithstanding she had to accept it would be wrong for the </w:t>
      </w:r>
      <w:r w:rsidR="00541031">
        <w:rPr>
          <w:szCs w:val="28"/>
        </w:rPr>
        <w:t>p</w:t>
      </w:r>
      <w:r w:rsidRPr="00033986">
        <w:rPr>
          <w:szCs w:val="28"/>
        </w:rPr>
        <w:t xml:space="preserve">laintiff to report the Accident with D1 given what the </w:t>
      </w:r>
      <w:r w:rsidR="00541031">
        <w:rPr>
          <w:szCs w:val="28"/>
        </w:rPr>
        <w:t>p</w:t>
      </w:r>
      <w:r w:rsidRPr="00033986">
        <w:rPr>
          <w:szCs w:val="28"/>
        </w:rPr>
        <w:t>laintiff first said about how she fell during the phone call at 2:30</w:t>
      </w:r>
      <w:r w:rsidR="00541031">
        <w:rPr>
          <w:szCs w:val="28"/>
        </w:rPr>
        <w:t xml:space="preserve"> </w:t>
      </w:r>
      <w:r w:rsidRPr="00033986">
        <w:rPr>
          <w:szCs w:val="28"/>
        </w:rPr>
        <w:t xml:space="preserve">pm on 12 November 2016. </w:t>
      </w:r>
      <w:r w:rsidR="00541031">
        <w:rPr>
          <w:szCs w:val="28"/>
        </w:rPr>
        <w:t xml:space="preserve"> </w:t>
      </w:r>
      <w:r w:rsidRPr="00033986">
        <w:rPr>
          <w:szCs w:val="28"/>
        </w:rPr>
        <w:t>When asked why she did not read the Link Incident Report</w:t>
      </w:r>
      <w:r w:rsidRPr="00033986">
        <w:rPr>
          <w:rStyle w:val="FootnoteReference"/>
          <w:szCs w:val="28"/>
        </w:rPr>
        <w:footnoteReference w:id="12"/>
      </w:r>
      <w:r w:rsidRPr="00033986">
        <w:rPr>
          <w:szCs w:val="28"/>
        </w:rPr>
        <w:t xml:space="preserve"> after she returned to work on 16 November 2016, her initial explanation was that it was given to the manager (ie Mr. Wong) as it had to be passed to the manager within 8 hours and the Carpark office did not keep the same. </w:t>
      </w:r>
      <w:r w:rsidR="00541031">
        <w:rPr>
          <w:szCs w:val="28"/>
        </w:rPr>
        <w:t xml:space="preserve"> </w:t>
      </w:r>
      <w:r w:rsidRPr="00033986">
        <w:rPr>
          <w:szCs w:val="28"/>
        </w:rPr>
        <w:t xml:space="preserve">However, she had to accept the Link Incident Report was sent to the manager by fax such that the actual document would remain in the Carpark office to which she had access to. </w:t>
      </w:r>
      <w:r w:rsidR="00541031">
        <w:rPr>
          <w:szCs w:val="28"/>
        </w:rPr>
        <w:t xml:space="preserve"> </w:t>
      </w:r>
      <w:r w:rsidRPr="00033986">
        <w:rPr>
          <w:szCs w:val="28"/>
        </w:rPr>
        <w:t>At the end, she resorted to her standard explanation that she had no responsibility nor interest to read it.</w:t>
      </w:r>
    </w:p>
    <w:p w14:paraId="408CECA0" w14:textId="77777777" w:rsidR="00033986" w:rsidRPr="00033986" w:rsidRDefault="00033986" w:rsidP="00033986">
      <w:pPr>
        <w:tabs>
          <w:tab w:val="clear" w:pos="4320"/>
        </w:tabs>
        <w:spacing w:line="360" w:lineRule="auto"/>
        <w:jc w:val="both"/>
        <w:rPr>
          <w:szCs w:val="28"/>
        </w:rPr>
      </w:pPr>
    </w:p>
    <w:p w14:paraId="795E8C70"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Madam Yip is also an employee of D1. </w:t>
      </w:r>
      <w:r w:rsidR="00541031">
        <w:rPr>
          <w:szCs w:val="28"/>
        </w:rPr>
        <w:t xml:space="preserve"> </w:t>
      </w:r>
      <w:r w:rsidRPr="00033986">
        <w:rPr>
          <w:szCs w:val="28"/>
        </w:rPr>
        <w:t xml:space="preserve">At the material time she was also a security guard working in the Carpark. </w:t>
      </w:r>
      <w:r w:rsidR="00541031">
        <w:rPr>
          <w:szCs w:val="28"/>
        </w:rPr>
        <w:t xml:space="preserve"> </w:t>
      </w:r>
      <w:r w:rsidRPr="00033986">
        <w:rPr>
          <w:szCs w:val="28"/>
        </w:rPr>
        <w:t>Her evidence mainly related to how she handled the matter and the filling of the Link Incident Report</w:t>
      </w:r>
      <w:r w:rsidRPr="00033986">
        <w:rPr>
          <w:rStyle w:val="FootnoteReference"/>
          <w:szCs w:val="28"/>
        </w:rPr>
        <w:footnoteReference w:id="13"/>
      </w:r>
      <w:r w:rsidRPr="00033986">
        <w:rPr>
          <w:szCs w:val="28"/>
        </w:rPr>
        <w:t xml:space="preserve"> when the </w:t>
      </w:r>
      <w:r w:rsidR="00541031">
        <w:rPr>
          <w:szCs w:val="28"/>
        </w:rPr>
        <w:t>p</w:t>
      </w:r>
      <w:r w:rsidRPr="00033986">
        <w:rPr>
          <w:szCs w:val="28"/>
        </w:rPr>
        <w:t xml:space="preserve">laintiff and her husband came to the Carpark on 15 November 2016. </w:t>
      </w:r>
      <w:r w:rsidR="00541031">
        <w:rPr>
          <w:szCs w:val="28"/>
        </w:rPr>
        <w:t xml:space="preserve"> </w:t>
      </w:r>
      <w:r w:rsidRPr="00033986">
        <w:rPr>
          <w:szCs w:val="28"/>
        </w:rPr>
        <w:t xml:space="preserve">Her evidence was that she handed the blank Link Incident Report for the </w:t>
      </w:r>
      <w:r w:rsidR="00541031">
        <w:rPr>
          <w:szCs w:val="28"/>
        </w:rPr>
        <w:t>p</w:t>
      </w:r>
      <w:r w:rsidRPr="00033986">
        <w:rPr>
          <w:szCs w:val="28"/>
        </w:rPr>
        <w:t xml:space="preserve">laintiff to fill in and her husband helped her to fill in the same. </w:t>
      </w:r>
      <w:r w:rsidR="00541031">
        <w:rPr>
          <w:szCs w:val="28"/>
        </w:rPr>
        <w:t xml:space="preserve"> </w:t>
      </w:r>
      <w:r w:rsidRPr="00033986">
        <w:rPr>
          <w:szCs w:val="28"/>
        </w:rPr>
        <w:t xml:space="preserve">She was adamant that she did not write on a piece of paper as to how the Accident occurred for the </w:t>
      </w:r>
      <w:r w:rsidR="00541031">
        <w:rPr>
          <w:szCs w:val="28"/>
        </w:rPr>
        <w:t>p</w:t>
      </w:r>
      <w:r w:rsidRPr="00033986">
        <w:rPr>
          <w:szCs w:val="28"/>
        </w:rPr>
        <w:t xml:space="preserve">laintiff’s husband to copy and she did not fill in the Link Incident Report. </w:t>
      </w:r>
    </w:p>
    <w:p w14:paraId="3B3EAE7B" w14:textId="77777777" w:rsidR="00033986" w:rsidRPr="00033986" w:rsidRDefault="00033986" w:rsidP="00033986">
      <w:pPr>
        <w:tabs>
          <w:tab w:val="clear" w:pos="4320"/>
        </w:tabs>
        <w:spacing w:line="360" w:lineRule="auto"/>
        <w:jc w:val="both"/>
        <w:rPr>
          <w:szCs w:val="28"/>
        </w:rPr>
      </w:pPr>
    </w:p>
    <w:p w14:paraId="6EB88005"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 accept Madam Yip is an honest and reliable witness. </w:t>
      </w:r>
      <w:r w:rsidR="005D4F12">
        <w:rPr>
          <w:szCs w:val="28"/>
        </w:rPr>
        <w:t xml:space="preserve"> </w:t>
      </w:r>
      <w:r w:rsidRPr="00033986">
        <w:rPr>
          <w:szCs w:val="28"/>
        </w:rPr>
        <w:t xml:space="preserve">Her evidence is forthcoming. Under cross-examination, she frankly accepted </w:t>
      </w:r>
      <w:r w:rsidRPr="00033986">
        <w:rPr>
          <w:szCs w:val="28"/>
        </w:rPr>
        <w:lastRenderedPageBreak/>
        <w:t xml:space="preserve">that she did not remember much of the details but Madam Wong did not immediately leave the scene on 15 November 2016. </w:t>
      </w:r>
      <w:r w:rsidR="005D4F12">
        <w:rPr>
          <w:szCs w:val="28"/>
        </w:rPr>
        <w:t xml:space="preserve"> </w:t>
      </w:r>
      <w:r w:rsidRPr="00033986">
        <w:rPr>
          <w:szCs w:val="28"/>
        </w:rPr>
        <w:t xml:space="preserve">She also twice confirmed the </w:t>
      </w:r>
      <w:r w:rsidR="005D4F12">
        <w:rPr>
          <w:szCs w:val="28"/>
        </w:rPr>
        <w:t>p</w:t>
      </w:r>
      <w:r w:rsidRPr="00033986">
        <w:rPr>
          <w:szCs w:val="28"/>
        </w:rPr>
        <w:t>laintiff and her husband had never opened the drawer in which the chop with the Chinese name “</w:t>
      </w:r>
      <w:r w:rsidRPr="005D4F12">
        <w:rPr>
          <w:rFonts w:ascii="PMingLiU" w:eastAsia="PMingLiU" w:hAnsi="PMingLiU"/>
          <w:szCs w:val="28"/>
        </w:rPr>
        <w:t>和明苑停車場</w:t>
      </w:r>
      <w:r w:rsidRPr="00033986">
        <w:rPr>
          <w:szCs w:val="28"/>
        </w:rPr>
        <w:t xml:space="preserve">” (the “Chop”) appearing on the piece of paper with the description of the accident written by the </w:t>
      </w:r>
      <w:r w:rsidR="005D4F12">
        <w:rPr>
          <w:szCs w:val="28"/>
        </w:rPr>
        <w:t>p</w:t>
      </w:r>
      <w:r w:rsidRPr="00033986">
        <w:rPr>
          <w:szCs w:val="28"/>
        </w:rPr>
        <w:t>laintiff’s husband (the “Handwritten Note”)</w:t>
      </w:r>
      <w:r w:rsidRPr="00033986">
        <w:rPr>
          <w:rStyle w:val="FootnoteReference"/>
          <w:szCs w:val="28"/>
        </w:rPr>
        <w:footnoteReference w:id="14"/>
      </w:r>
      <w:r w:rsidRPr="00033986">
        <w:rPr>
          <w:szCs w:val="28"/>
        </w:rPr>
        <w:t xml:space="preserve"> and the Link Incident Report</w:t>
      </w:r>
      <w:r w:rsidRPr="00033986">
        <w:rPr>
          <w:rStyle w:val="FootnoteReference"/>
          <w:szCs w:val="28"/>
        </w:rPr>
        <w:footnoteReference w:id="15"/>
      </w:r>
      <w:r w:rsidRPr="00033986">
        <w:rPr>
          <w:szCs w:val="28"/>
        </w:rPr>
        <w:t xml:space="preserve"> were placed and the Chop was still in that drawer after they left. </w:t>
      </w:r>
      <w:r w:rsidR="005D4F12">
        <w:rPr>
          <w:szCs w:val="28"/>
        </w:rPr>
        <w:t xml:space="preserve"> </w:t>
      </w:r>
      <w:r w:rsidRPr="00033986">
        <w:rPr>
          <w:szCs w:val="28"/>
        </w:rPr>
        <w:t>It was Madam Yip who used the Chop on the Link Incident Report</w:t>
      </w:r>
      <w:r w:rsidRPr="00033986">
        <w:rPr>
          <w:rStyle w:val="FootnoteReference"/>
          <w:szCs w:val="28"/>
        </w:rPr>
        <w:footnoteReference w:id="16"/>
      </w:r>
      <w:r w:rsidRPr="00033986">
        <w:rPr>
          <w:szCs w:val="28"/>
        </w:rPr>
        <w:t xml:space="preserve"> </w:t>
      </w:r>
    </w:p>
    <w:p w14:paraId="371429C4" w14:textId="77777777" w:rsidR="00033986" w:rsidRPr="00033986" w:rsidRDefault="00033986" w:rsidP="00033986">
      <w:pPr>
        <w:tabs>
          <w:tab w:val="clear" w:pos="4320"/>
        </w:tabs>
        <w:spacing w:line="360" w:lineRule="auto"/>
        <w:jc w:val="both"/>
        <w:rPr>
          <w:szCs w:val="28"/>
        </w:rPr>
      </w:pPr>
    </w:p>
    <w:p w14:paraId="1B93180D"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 shall deal with the other pertinent parts of the evidence of Madam Wong and Madam Yip when I come to the analysis of the key issues below. </w:t>
      </w:r>
    </w:p>
    <w:p w14:paraId="750E6803" w14:textId="77777777" w:rsidR="00033986" w:rsidRPr="00033986" w:rsidRDefault="00033986" w:rsidP="00033986">
      <w:pPr>
        <w:tabs>
          <w:tab w:val="clear" w:pos="4320"/>
        </w:tabs>
        <w:spacing w:line="360" w:lineRule="auto"/>
        <w:jc w:val="both"/>
        <w:rPr>
          <w:szCs w:val="28"/>
        </w:rPr>
      </w:pPr>
    </w:p>
    <w:p w14:paraId="44B92B42" w14:textId="77777777" w:rsidR="00033986" w:rsidRPr="005D4F12" w:rsidRDefault="00033986" w:rsidP="005D4F12">
      <w:pPr>
        <w:pStyle w:val="ListParagraph"/>
        <w:tabs>
          <w:tab w:val="clear" w:pos="4320"/>
        </w:tabs>
        <w:spacing w:line="360" w:lineRule="auto"/>
        <w:ind w:left="0"/>
        <w:jc w:val="both"/>
        <w:rPr>
          <w:bCs/>
          <w:i/>
          <w:szCs w:val="28"/>
        </w:rPr>
      </w:pPr>
      <w:r w:rsidRPr="005D4F12">
        <w:rPr>
          <w:bCs/>
          <w:i/>
          <w:szCs w:val="28"/>
        </w:rPr>
        <w:t>D</w:t>
      </w:r>
      <w:r w:rsidR="005D4F12" w:rsidRPr="005D4F12">
        <w:rPr>
          <w:bCs/>
          <w:i/>
          <w:szCs w:val="28"/>
        </w:rPr>
        <w:t>.</w:t>
      </w:r>
      <w:r w:rsidRPr="005D4F12">
        <w:rPr>
          <w:bCs/>
          <w:i/>
          <w:szCs w:val="28"/>
        </w:rPr>
        <w:t xml:space="preserve">3 The </w:t>
      </w:r>
      <w:r w:rsidR="005D4F12" w:rsidRPr="005D4F12">
        <w:rPr>
          <w:bCs/>
          <w:i/>
          <w:szCs w:val="28"/>
        </w:rPr>
        <w:t>E</w:t>
      </w:r>
      <w:r w:rsidRPr="005D4F12">
        <w:rPr>
          <w:bCs/>
          <w:i/>
          <w:szCs w:val="28"/>
        </w:rPr>
        <w:t xml:space="preserve">vidence of </w:t>
      </w:r>
      <w:r w:rsidR="005D4F12" w:rsidRPr="005D4F12">
        <w:rPr>
          <w:bCs/>
          <w:i/>
          <w:szCs w:val="28"/>
        </w:rPr>
        <w:t>t</w:t>
      </w:r>
      <w:r w:rsidRPr="005D4F12">
        <w:rPr>
          <w:bCs/>
          <w:i/>
          <w:szCs w:val="28"/>
        </w:rPr>
        <w:t>he Experts</w:t>
      </w:r>
    </w:p>
    <w:p w14:paraId="0EBD59AC" w14:textId="77777777" w:rsidR="00033986" w:rsidRPr="00033986" w:rsidRDefault="00033986" w:rsidP="00033986">
      <w:pPr>
        <w:tabs>
          <w:tab w:val="clear" w:pos="4320"/>
        </w:tabs>
        <w:spacing w:line="360" w:lineRule="auto"/>
        <w:jc w:val="both"/>
        <w:rPr>
          <w:bCs/>
          <w:szCs w:val="28"/>
          <w:u w:val="single"/>
        </w:rPr>
      </w:pPr>
    </w:p>
    <w:p w14:paraId="1125D508"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5D4F12">
        <w:rPr>
          <w:szCs w:val="28"/>
        </w:rPr>
        <w:t>p</w:t>
      </w:r>
      <w:r w:rsidRPr="00033986">
        <w:rPr>
          <w:szCs w:val="28"/>
        </w:rPr>
        <w:t xml:space="preserve">laintiff and the </w:t>
      </w:r>
      <w:r w:rsidR="005D4F12">
        <w:rPr>
          <w:szCs w:val="28"/>
        </w:rPr>
        <w:t>d</w:t>
      </w:r>
      <w:r w:rsidRPr="00033986">
        <w:rPr>
          <w:szCs w:val="28"/>
        </w:rPr>
        <w:t>efendants obtained the following joint medical reports:-</w:t>
      </w:r>
    </w:p>
    <w:p w14:paraId="736A5A90" w14:textId="77777777" w:rsidR="00033986" w:rsidRPr="00033986" w:rsidRDefault="00033986" w:rsidP="00033986">
      <w:pPr>
        <w:tabs>
          <w:tab w:val="clear" w:pos="4320"/>
        </w:tabs>
        <w:spacing w:line="360" w:lineRule="auto"/>
        <w:jc w:val="both"/>
        <w:rPr>
          <w:szCs w:val="28"/>
        </w:rPr>
      </w:pPr>
    </w:p>
    <w:p w14:paraId="52212B2A" w14:textId="77777777" w:rsidR="00033986" w:rsidRPr="00033986" w:rsidRDefault="00033986" w:rsidP="006F407B">
      <w:pPr>
        <w:pStyle w:val="ListParagraph"/>
        <w:numPr>
          <w:ilvl w:val="0"/>
          <w:numId w:val="6"/>
        </w:numPr>
        <w:tabs>
          <w:tab w:val="clear" w:pos="4320"/>
          <w:tab w:val="left" w:pos="2160"/>
        </w:tabs>
        <w:spacing w:line="360" w:lineRule="auto"/>
        <w:ind w:left="2160" w:hanging="720"/>
        <w:jc w:val="both"/>
        <w:rPr>
          <w:szCs w:val="28"/>
        </w:rPr>
      </w:pPr>
      <w:r w:rsidRPr="00033986">
        <w:rPr>
          <w:szCs w:val="28"/>
        </w:rPr>
        <w:t xml:space="preserve">The joint medical report prepared by Dr Ko Put Shui Peter (“Dr Ko” ie the </w:t>
      </w:r>
      <w:r w:rsidR="005D4F12">
        <w:rPr>
          <w:szCs w:val="28"/>
        </w:rPr>
        <w:t>p</w:t>
      </w:r>
      <w:r w:rsidRPr="00033986">
        <w:rPr>
          <w:szCs w:val="28"/>
        </w:rPr>
        <w:t xml:space="preserve">laintiff’s orthopaedic expert) and Dr Ho Ching Lun Henry (“Dr Ho” ie the </w:t>
      </w:r>
      <w:r w:rsidR="005D4F12">
        <w:rPr>
          <w:szCs w:val="28"/>
        </w:rPr>
        <w:t>d</w:t>
      </w:r>
      <w:r w:rsidRPr="00033986">
        <w:rPr>
          <w:szCs w:val="28"/>
        </w:rPr>
        <w:t>efendants’ orthopaedic expert) on 6 August 2020 (“JMR”)</w:t>
      </w:r>
      <w:r w:rsidRPr="00033986">
        <w:rPr>
          <w:rStyle w:val="FootnoteReference"/>
          <w:szCs w:val="28"/>
        </w:rPr>
        <w:footnoteReference w:id="17"/>
      </w:r>
      <w:r w:rsidRPr="00033986">
        <w:rPr>
          <w:szCs w:val="28"/>
        </w:rPr>
        <w:t>;</w:t>
      </w:r>
    </w:p>
    <w:p w14:paraId="5D81D6FA" w14:textId="77777777" w:rsidR="00033986" w:rsidRPr="00033986" w:rsidRDefault="00033986" w:rsidP="005D4F12">
      <w:pPr>
        <w:tabs>
          <w:tab w:val="clear" w:pos="4320"/>
          <w:tab w:val="left" w:pos="2160"/>
        </w:tabs>
        <w:spacing w:line="360" w:lineRule="auto"/>
        <w:ind w:left="2160" w:hanging="720"/>
        <w:jc w:val="both"/>
        <w:rPr>
          <w:szCs w:val="28"/>
        </w:rPr>
      </w:pPr>
    </w:p>
    <w:p w14:paraId="5921242A" w14:textId="77777777" w:rsidR="00033986" w:rsidRPr="00033986" w:rsidRDefault="00033986" w:rsidP="006F407B">
      <w:pPr>
        <w:pStyle w:val="ListParagraph"/>
        <w:numPr>
          <w:ilvl w:val="0"/>
          <w:numId w:val="6"/>
        </w:numPr>
        <w:tabs>
          <w:tab w:val="clear" w:pos="4320"/>
          <w:tab w:val="left" w:pos="2160"/>
        </w:tabs>
        <w:spacing w:line="360" w:lineRule="auto"/>
        <w:ind w:left="2160" w:hanging="720"/>
        <w:jc w:val="both"/>
        <w:rPr>
          <w:szCs w:val="28"/>
        </w:rPr>
      </w:pPr>
      <w:r w:rsidRPr="00033986">
        <w:rPr>
          <w:szCs w:val="28"/>
        </w:rPr>
        <w:lastRenderedPageBreak/>
        <w:t>The joint supplemental medical report prepared by Dr Ko and D</w:t>
      </w:r>
      <w:r w:rsidR="005D4F12">
        <w:rPr>
          <w:szCs w:val="28"/>
        </w:rPr>
        <w:t>r</w:t>
      </w:r>
      <w:r w:rsidRPr="00033986">
        <w:rPr>
          <w:szCs w:val="28"/>
        </w:rPr>
        <w:t xml:space="preserve"> Ho on 22 July 2021 (the “JSMR”)</w:t>
      </w:r>
      <w:r w:rsidRPr="00033986">
        <w:rPr>
          <w:rStyle w:val="FootnoteReference"/>
          <w:szCs w:val="28"/>
        </w:rPr>
        <w:footnoteReference w:id="18"/>
      </w:r>
      <w:r w:rsidRPr="00033986">
        <w:rPr>
          <w:szCs w:val="28"/>
        </w:rPr>
        <w:t xml:space="preserve">; </w:t>
      </w:r>
    </w:p>
    <w:p w14:paraId="677535F3" w14:textId="77777777" w:rsidR="00033986" w:rsidRPr="00033986" w:rsidRDefault="00033986" w:rsidP="005D4F12">
      <w:pPr>
        <w:tabs>
          <w:tab w:val="clear" w:pos="4320"/>
          <w:tab w:val="left" w:pos="2160"/>
        </w:tabs>
        <w:spacing w:line="360" w:lineRule="auto"/>
        <w:ind w:left="2160" w:hanging="720"/>
        <w:jc w:val="both"/>
        <w:rPr>
          <w:szCs w:val="28"/>
        </w:rPr>
      </w:pPr>
    </w:p>
    <w:p w14:paraId="16A38B30" w14:textId="77777777" w:rsidR="00033986" w:rsidRPr="00033986" w:rsidRDefault="00033986" w:rsidP="006F407B">
      <w:pPr>
        <w:pStyle w:val="ListParagraph"/>
        <w:numPr>
          <w:ilvl w:val="0"/>
          <w:numId w:val="6"/>
        </w:numPr>
        <w:tabs>
          <w:tab w:val="clear" w:pos="4320"/>
          <w:tab w:val="left" w:pos="2160"/>
        </w:tabs>
        <w:spacing w:line="360" w:lineRule="auto"/>
        <w:ind w:left="2160" w:hanging="720"/>
        <w:jc w:val="both"/>
        <w:rPr>
          <w:szCs w:val="28"/>
        </w:rPr>
      </w:pPr>
      <w:r w:rsidRPr="00033986">
        <w:rPr>
          <w:szCs w:val="28"/>
        </w:rPr>
        <w:t xml:space="preserve">The joint psychiatric report prepared by Dr Wong Yee Him (“Dr Wong” ie the </w:t>
      </w:r>
      <w:r w:rsidR="005D4F12">
        <w:rPr>
          <w:szCs w:val="28"/>
        </w:rPr>
        <w:t>p</w:t>
      </w:r>
      <w:r w:rsidRPr="00033986">
        <w:rPr>
          <w:szCs w:val="28"/>
        </w:rPr>
        <w:t xml:space="preserve">laintiff’s psychiatric expert) and Dr Hung Bing Kei Gabriel (“Dr Hung” ie the </w:t>
      </w:r>
      <w:r w:rsidR="005D4F12">
        <w:rPr>
          <w:szCs w:val="28"/>
        </w:rPr>
        <w:t>d</w:t>
      </w:r>
      <w:r w:rsidRPr="00033986">
        <w:rPr>
          <w:szCs w:val="28"/>
        </w:rPr>
        <w:t>efendants’ psychiatric expert) on 22 November 2020 (the “JPR”)</w:t>
      </w:r>
      <w:r w:rsidRPr="00033986">
        <w:rPr>
          <w:rStyle w:val="FootnoteReference"/>
          <w:szCs w:val="28"/>
        </w:rPr>
        <w:footnoteReference w:id="19"/>
      </w:r>
      <w:r w:rsidRPr="00033986">
        <w:rPr>
          <w:szCs w:val="28"/>
        </w:rPr>
        <w:t>.</w:t>
      </w:r>
    </w:p>
    <w:p w14:paraId="1B1F7719" w14:textId="77777777" w:rsidR="00033986" w:rsidRPr="00033986" w:rsidRDefault="00033986" w:rsidP="00033986">
      <w:pPr>
        <w:tabs>
          <w:tab w:val="clear" w:pos="4320"/>
        </w:tabs>
        <w:spacing w:line="360" w:lineRule="auto"/>
        <w:jc w:val="both"/>
        <w:rPr>
          <w:szCs w:val="28"/>
        </w:rPr>
      </w:pPr>
    </w:p>
    <w:p w14:paraId="2128B893"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The parties agreed that the JMR, JSMR and JPR should be adduced at trial without calling the makers thereof</w:t>
      </w:r>
      <w:r w:rsidRPr="00033986">
        <w:rPr>
          <w:rStyle w:val="FootnoteReference"/>
          <w:szCs w:val="28"/>
        </w:rPr>
        <w:footnoteReference w:id="20"/>
      </w:r>
      <w:r w:rsidRPr="00033986">
        <w:rPr>
          <w:szCs w:val="28"/>
        </w:rPr>
        <w:t xml:space="preserve">. </w:t>
      </w:r>
      <w:r w:rsidR="005D4F12">
        <w:rPr>
          <w:szCs w:val="28"/>
        </w:rPr>
        <w:t xml:space="preserve"> </w:t>
      </w:r>
      <w:r w:rsidRPr="00033986">
        <w:rPr>
          <w:szCs w:val="28"/>
        </w:rPr>
        <w:t xml:space="preserve">The experts’ qualifications are not challenged. </w:t>
      </w:r>
      <w:r w:rsidR="005D4F12">
        <w:rPr>
          <w:szCs w:val="28"/>
        </w:rPr>
        <w:t xml:space="preserve"> </w:t>
      </w:r>
      <w:r w:rsidRPr="00033986">
        <w:rPr>
          <w:szCs w:val="28"/>
        </w:rPr>
        <w:t>I shall deal with their evidence when I come to deal with the issue of quantum below.</w:t>
      </w:r>
    </w:p>
    <w:p w14:paraId="323DA59C" w14:textId="77777777" w:rsidR="00033986" w:rsidRPr="00033986" w:rsidRDefault="00033986" w:rsidP="00033986">
      <w:pPr>
        <w:tabs>
          <w:tab w:val="clear" w:pos="4320"/>
        </w:tabs>
        <w:spacing w:line="360" w:lineRule="auto"/>
        <w:jc w:val="both"/>
        <w:rPr>
          <w:szCs w:val="28"/>
        </w:rPr>
      </w:pPr>
    </w:p>
    <w:p w14:paraId="02073315" w14:textId="77777777" w:rsidR="00033986" w:rsidRDefault="005D4F12" w:rsidP="005D4F12">
      <w:pPr>
        <w:pStyle w:val="ListParagraph"/>
        <w:tabs>
          <w:tab w:val="clear" w:pos="4320"/>
        </w:tabs>
        <w:spacing w:line="360" w:lineRule="auto"/>
        <w:ind w:left="0"/>
        <w:jc w:val="both"/>
        <w:rPr>
          <w:b/>
          <w:bCs/>
          <w:i/>
          <w:szCs w:val="28"/>
        </w:rPr>
      </w:pPr>
      <w:r w:rsidRPr="005D4F12">
        <w:rPr>
          <w:b/>
          <w:bCs/>
          <w:i/>
          <w:szCs w:val="28"/>
        </w:rPr>
        <w:t xml:space="preserve">E. </w:t>
      </w:r>
      <w:r w:rsidR="00033986" w:rsidRPr="005D4F12">
        <w:rPr>
          <w:b/>
          <w:bCs/>
          <w:i/>
          <w:szCs w:val="28"/>
        </w:rPr>
        <w:t>Analysis of The Relevant Issues</w:t>
      </w:r>
    </w:p>
    <w:p w14:paraId="693F6533" w14:textId="77777777" w:rsidR="005D4F12" w:rsidRPr="005D4F12" w:rsidRDefault="005D4F12" w:rsidP="005D4F12">
      <w:pPr>
        <w:pStyle w:val="ListParagraph"/>
        <w:tabs>
          <w:tab w:val="clear" w:pos="4320"/>
        </w:tabs>
        <w:spacing w:line="360" w:lineRule="auto"/>
        <w:ind w:left="0"/>
        <w:jc w:val="both"/>
        <w:rPr>
          <w:b/>
          <w:bCs/>
          <w:i/>
          <w:szCs w:val="28"/>
        </w:rPr>
      </w:pPr>
    </w:p>
    <w:p w14:paraId="401A34B0" w14:textId="77777777" w:rsidR="00033986" w:rsidRPr="005D4F12" w:rsidRDefault="00033986" w:rsidP="005D4F12">
      <w:pPr>
        <w:pStyle w:val="ListParagraph"/>
        <w:tabs>
          <w:tab w:val="clear" w:pos="4320"/>
        </w:tabs>
        <w:spacing w:line="360" w:lineRule="auto"/>
        <w:ind w:left="0"/>
        <w:jc w:val="both"/>
        <w:rPr>
          <w:bCs/>
          <w:i/>
          <w:szCs w:val="28"/>
          <w:u w:val="single"/>
        </w:rPr>
      </w:pPr>
      <w:r w:rsidRPr="005D4F12">
        <w:rPr>
          <w:bCs/>
          <w:i/>
          <w:szCs w:val="28"/>
          <w:u w:val="single"/>
        </w:rPr>
        <w:t>E</w:t>
      </w:r>
      <w:r w:rsidR="005D4F12" w:rsidRPr="005D4F12">
        <w:rPr>
          <w:bCs/>
          <w:i/>
          <w:szCs w:val="28"/>
          <w:u w:val="single"/>
        </w:rPr>
        <w:t>.</w:t>
      </w:r>
      <w:r w:rsidRPr="005D4F12">
        <w:rPr>
          <w:bCs/>
          <w:i/>
          <w:szCs w:val="28"/>
          <w:u w:val="single"/>
        </w:rPr>
        <w:t>1</w:t>
      </w:r>
      <w:r w:rsidR="005D4F12" w:rsidRPr="005D4F12">
        <w:rPr>
          <w:bCs/>
          <w:i/>
          <w:szCs w:val="28"/>
          <w:u w:val="single"/>
        </w:rPr>
        <w:t xml:space="preserve"> </w:t>
      </w:r>
      <w:r w:rsidRPr="005D4F12">
        <w:rPr>
          <w:bCs/>
          <w:i/>
          <w:szCs w:val="28"/>
          <w:u w:val="single"/>
        </w:rPr>
        <w:t xml:space="preserve">Whether the Accident occurred ie whether the </w:t>
      </w:r>
      <w:r w:rsidR="005D4F12">
        <w:rPr>
          <w:bCs/>
          <w:i/>
          <w:szCs w:val="28"/>
          <w:u w:val="single"/>
        </w:rPr>
        <w:t>p</w:t>
      </w:r>
      <w:r w:rsidRPr="005D4F12">
        <w:rPr>
          <w:bCs/>
          <w:i/>
          <w:szCs w:val="28"/>
          <w:u w:val="single"/>
        </w:rPr>
        <w:t>laintiff slipped and fell on the Staircase as alleged</w:t>
      </w:r>
    </w:p>
    <w:p w14:paraId="486428A4" w14:textId="77777777" w:rsidR="00033986" w:rsidRPr="00033986" w:rsidRDefault="00033986" w:rsidP="00033986">
      <w:pPr>
        <w:tabs>
          <w:tab w:val="clear" w:pos="4320"/>
        </w:tabs>
        <w:spacing w:line="360" w:lineRule="auto"/>
        <w:jc w:val="both"/>
        <w:rPr>
          <w:bCs/>
          <w:szCs w:val="28"/>
          <w:u w:val="single"/>
        </w:rPr>
      </w:pPr>
    </w:p>
    <w:p w14:paraId="4577FA36"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On the basis that the </w:t>
      </w:r>
      <w:r w:rsidR="005D4F12">
        <w:rPr>
          <w:szCs w:val="28"/>
        </w:rPr>
        <w:t>d</w:t>
      </w:r>
      <w:r w:rsidRPr="00033986">
        <w:rPr>
          <w:szCs w:val="28"/>
        </w:rPr>
        <w:t xml:space="preserve">efendants maintain the Accident was a fabrication, the </w:t>
      </w:r>
      <w:r w:rsidR="005D4F12">
        <w:rPr>
          <w:szCs w:val="28"/>
        </w:rPr>
        <w:t>p</w:t>
      </w:r>
      <w:r w:rsidRPr="00033986">
        <w:rPr>
          <w:szCs w:val="28"/>
        </w:rPr>
        <w:t xml:space="preserve">laintiff raised a preliminary objection that D1 is not entitled to put forward a version which is inconsistent with the consent judgment entered in the EC Proceedings. </w:t>
      </w:r>
      <w:r w:rsidR="005D4F12">
        <w:rPr>
          <w:szCs w:val="28"/>
        </w:rPr>
        <w:t xml:space="preserve"> </w:t>
      </w:r>
      <w:r w:rsidRPr="00033986">
        <w:rPr>
          <w:szCs w:val="28"/>
        </w:rPr>
        <w:t xml:space="preserve">In short, the doctrine of </w:t>
      </w:r>
      <w:r w:rsidRPr="00033986">
        <w:rPr>
          <w:i/>
          <w:iCs/>
          <w:szCs w:val="28"/>
        </w:rPr>
        <w:t>res judicata</w:t>
      </w:r>
      <w:r w:rsidRPr="00033986">
        <w:rPr>
          <w:szCs w:val="28"/>
        </w:rPr>
        <w:t xml:space="preserve"> shall apply.</w:t>
      </w:r>
    </w:p>
    <w:p w14:paraId="26C6D345" w14:textId="77777777" w:rsidR="00033986" w:rsidRPr="00033986" w:rsidRDefault="00033986" w:rsidP="00033986">
      <w:pPr>
        <w:tabs>
          <w:tab w:val="clear" w:pos="4320"/>
        </w:tabs>
        <w:spacing w:line="360" w:lineRule="auto"/>
        <w:jc w:val="both"/>
        <w:rPr>
          <w:szCs w:val="28"/>
        </w:rPr>
      </w:pPr>
    </w:p>
    <w:p w14:paraId="34A3B5E4"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lastRenderedPageBreak/>
        <w:t>The parties agreed that the doctrine shall only operate against D1 but not D2 and D3.</w:t>
      </w:r>
      <w:r w:rsidR="00EB6D2C">
        <w:rPr>
          <w:szCs w:val="28"/>
        </w:rPr>
        <w:t xml:space="preserve"> </w:t>
      </w:r>
      <w:r w:rsidRPr="00033986">
        <w:rPr>
          <w:szCs w:val="28"/>
        </w:rPr>
        <w:t xml:space="preserve"> In any event, based on my finding of fact pertaining to the first key issue, the operation of doctrine does not have a material bearing on the outcome of this trial. </w:t>
      </w:r>
      <w:r w:rsidR="00EB6D2C">
        <w:rPr>
          <w:szCs w:val="28"/>
        </w:rPr>
        <w:t xml:space="preserve"> </w:t>
      </w:r>
      <w:r w:rsidRPr="00033986">
        <w:rPr>
          <w:szCs w:val="28"/>
        </w:rPr>
        <w:t xml:space="preserve">I shall therefore only briefly deal with the same. </w:t>
      </w:r>
    </w:p>
    <w:p w14:paraId="0785ABAC" w14:textId="77777777" w:rsidR="00033986" w:rsidRPr="00033986" w:rsidRDefault="00033986" w:rsidP="00033986">
      <w:pPr>
        <w:tabs>
          <w:tab w:val="clear" w:pos="4320"/>
        </w:tabs>
        <w:spacing w:line="360" w:lineRule="auto"/>
        <w:jc w:val="both"/>
        <w:rPr>
          <w:szCs w:val="28"/>
        </w:rPr>
      </w:pPr>
    </w:p>
    <w:p w14:paraId="2E178FAC"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In my view, the doctrine applies herein to bar D1 from disputing the occurrence of the Accident in the way it is inconsistent with the consent judgment entered in the EC Proceedings.</w:t>
      </w:r>
    </w:p>
    <w:p w14:paraId="58EF7713" w14:textId="77777777" w:rsidR="00033986" w:rsidRPr="00033986" w:rsidRDefault="00033986" w:rsidP="00033986">
      <w:pPr>
        <w:tabs>
          <w:tab w:val="clear" w:pos="4320"/>
        </w:tabs>
        <w:spacing w:line="360" w:lineRule="auto"/>
        <w:jc w:val="both"/>
        <w:rPr>
          <w:szCs w:val="28"/>
        </w:rPr>
      </w:pPr>
    </w:p>
    <w:p w14:paraId="75B7F994"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First, it is accepted that </w:t>
      </w:r>
      <w:r w:rsidRPr="00033986">
        <w:rPr>
          <w:i/>
          <w:iCs/>
          <w:szCs w:val="28"/>
        </w:rPr>
        <w:t>res judicata</w:t>
      </w:r>
      <w:r w:rsidRPr="00033986">
        <w:rPr>
          <w:szCs w:val="28"/>
        </w:rPr>
        <w:t xml:space="preserve"> applies to not only judgments considered and decided by the </w:t>
      </w:r>
      <w:r w:rsidR="00EB6D2C">
        <w:rPr>
          <w:szCs w:val="28"/>
        </w:rPr>
        <w:t>c</w:t>
      </w:r>
      <w:r w:rsidRPr="00033986">
        <w:rPr>
          <w:szCs w:val="28"/>
        </w:rPr>
        <w:t xml:space="preserve">ourt, but also consent judgments. Questions which were really involved in the action resulting in a judgment by consent could not be fought over again in a subsequent action: </w:t>
      </w:r>
      <w:r w:rsidRPr="00033986">
        <w:rPr>
          <w:i/>
          <w:iCs/>
          <w:szCs w:val="28"/>
        </w:rPr>
        <w:t>Mohammad Bashir v Kam Hoi International Industrial Limited &amp; Ors</w:t>
      </w:r>
      <w:r w:rsidRPr="00033986">
        <w:rPr>
          <w:rStyle w:val="FootnoteReference"/>
          <w:szCs w:val="28"/>
        </w:rPr>
        <w:footnoteReference w:id="21"/>
      </w:r>
      <w:r w:rsidRPr="00033986">
        <w:rPr>
          <w:szCs w:val="28"/>
        </w:rPr>
        <w:t xml:space="preserve"> </w:t>
      </w:r>
    </w:p>
    <w:p w14:paraId="2DEE8F43" w14:textId="77777777" w:rsidR="00033986" w:rsidRPr="00033986" w:rsidRDefault="00033986" w:rsidP="00033986">
      <w:pPr>
        <w:tabs>
          <w:tab w:val="clear" w:pos="4320"/>
        </w:tabs>
        <w:spacing w:line="360" w:lineRule="auto"/>
        <w:jc w:val="both"/>
        <w:rPr>
          <w:szCs w:val="28"/>
        </w:rPr>
      </w:pPr>
    </w:p>
    <w:p w14:paraId="33FAD7C8"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Second, in the Form 1 Application of the EC Proceedings, the occurrence of the Accident was expressly stated: “</w:t>
      </w:r>
      <w:r w:rsidRPr="00EB6D2C">
        <w:rPr>
          <w:rFonts w:eastAsia="PMingLiU"/>
          <w:szCs w:val="28"/>
        </w:rPr>
        <w:t>在</w:t>
      </w:r>
      <w:r w:rsidRPr="00EB6D2C">
        <w:rPr>
          <w:rFonts w:eastAsia="PMingLiU"/>
          <w:szCs w:val="28"/>
        </w:rPr>
        <w:t>2016</w:t>
      </w:r>
      <w:r w:rsidRPr="00EB6D2C">
        <w:rPr>
          <w:rFonts w:eastAsia="PMingLiU"/>
          <w:szCs w:val="28"/>
        </w:rPr>
        <w:t>年</w:t>
      </w:r>
      <w:r w:rsidRPr="00EB6D2C">
        <w:rPr>
          <w:rFonts w:eastAsia="PMingLiU"/>
          <w:szCs w:val="28"/>
        </w:rPr>
        <w:t>11</w:t>
      </w:r>
      <w:r w:rsidRPr="00EB6D2C">
        <w:rPr>
          <w:rFonts w:eastAsia="PMingLiU"/>
          <w:szCs w:val="28"/>
        </w:rPr>
        <w:t>月</w:t>
      </w:r>
      <w:r w:rsidRPr="00EB6D2C">
        <w:rPr>
          <w:rFonts w:eastAsia="PMingLiU"/>
          <w:szCs w:val="28"/>
        </w:rPr>
        <w:t>12</w:t>
      </w:r>
      <w:r w:rsidRPr="00EB6D2C">
        <w:rPr>
          <w:rFonts w:eastAsia="PMingLiU"/>
          <w:szCs w:val="28"/>
        </w:rPr>
        <w:t>日於零晨</w:t>
      </w:r>
      <w:r w:rsidRPr="00EB6D2C">
        <w:rPr>
          <w:rFonts w:eastAsia="PMingLiU"/>
          <w:szCs w:val="28"/>
        </w:rPr>
        <w:t>12:25</w:t>
      </w:r>
      <w:r w:rsidRPr="00EB6D2C">
        <w:rPr>
          <w:rFonts w:eastAsia="PMingLiU"/>
          <w:szCs w:val="28"/>
        </w:rPr>
        <w:t>分發生，我是保安員工作，當日我巡場到一號樓梯，因地下有水我在樓梯間跌倒。</w:t>
      </w:r>
      <w:r w:rsidRPr="00033986">
        <w:rPr>
          <w:szCs w:val="28"/>
        </w:rPr>
        <w:t>”</w:t>
      </w:r>
      <w:r w:rsidRPr="00033986">
        <w:rPr>
          <w:rStyle w:val="FootnoteReference"/>
          <w:szCs w:val="28"/>
        </w:rPr>
        <w:footnoteReference w:id="22"/>
      </w:r>
      <w:r w:rsidRPr="00033986">
        <w:rPr>
          <w:szCs w:val="28"/>
        </w:rPr>
        <w:t xml:space="preserve"> </w:t>
      </w:r>
      <w:r w:rsidR="00EB6D2C">
        <w:rPr>
          <w:szCs w:val="28"/>
        </w:rPr>
        <w:t xml:space="preserve"> </w:t>
      </w:r>
      <w:r w:rsidRPr="00033986">
        <w:rPr>
          <w:szCs w:val="28"/>
        </w:rPr>
        <w:t>On the basis that interlocutory judgment on liability was entered into by consent</w:t>
      </w:r>
      <w:r w:rsidRPr="00033986">
        <w:rPr>
          <w:rStyle w:val="FootnoteReference"/>
          <w:szCs w:val="28"/>
        </w:rPr>
        <w:footnoteReference w:id="23"/>
      </w:r>
      <w:r w:rsidRPr="00033986">
        <w:rPr>
          <w:szCs w:val="28"/>
        </w:rPr>
        <w:t xml:space="preserve"> and subsequently the Settlement Sum was also paid by consent</w:t>
      </w:r>
      <w:r w:rsidRPr="00033986">
        <w:rPr>
          <w:rStyle w:val="FootnoteReference"/>
          <w:szCs w:val="28"/>
        </w:rPr>
        <w:footnoteReference w:id="24"/>
      </w:r>
      <w:r w:rsidRPr="00033986">
        <w:rPr>
          <w:szCs w:val="28"/>
        </w:rPr>
        <w:t xml:space="preserve">, the doctrine of </w:t>
      </w:r>
      <w:r w:rsidRPr="00033986">
        <w:rPr>
          <w:i/>
          <w:iCs/>
          <w:szCs w:val="28"/>
        </w:rPr>
        <w:t>res judicata</w:t>
      </w:r>
      <w:r w:rsidRPr="00033986">
        <w:rPr>
          <w:szCs w:val="28"/>
        </w:rPr>
        <w:t xml:space="preserve"> clearly operates to bar, at the very least, D1 from putting forward a case that the Accident was fabricated and/or that it did not occur in the way as set out in the Form 1 Application. </w:t>
      </w:r>
    </w:p>
    <w:p w14:paraId="3934D059" w14:textId="77777777" w:rsidR="00033986" w:rsidRPr="00033986" w:rsidRDefault="00033986" w:rsidP="00033986">
      <w:pPr>
        <w:tabs>
          <w:tab w:val="clear" w:pos="4320"/>
        </w:tabs>
        <w:spacing w:line="360" w:lineRule="auto"/>
        <w:jc w:val="both"/>
        <w:rPr>
          <w:szCs w:val="28"/>
        </w:rPr>
      </w:pPr>
    </w:p>
    <w:p w14:paraId="3A29C51E" w14:textId="77777777" w:rsidR="00033986" w:rsidRPr="00033986" w:rsidRDefault="00033986" w:rsidP="006F407B">
      <w:pPr>
        <w:pStyle w:val="ListParagraph"/>
        <w:numPr>
          <w:ilvl w:val="0"/>
          <w:numId w:val="1"/>
        </w:numPr>
        <w:tabs>
          <w:tab w:val="clear" w:pos="4320"/>
        </w:tabs>
        <w:spacing w:line="360" w:lineRule="auto"/>
        <w:ind w:left="0" w:firstLine="0"/>
        <w:jc w:val="both"/>
        <w:rPr>
          <w:i/>
          <w:iCs/>
          <w:szCs w:val="28"/>
        </w:rPr>
      </w:pPr>
      <w:r w:rsidRPr="00033986">
        <w:rPr>
          <w:szCs w:val="28"/>
        </w:rPr>
        <w:t xml:space="preserve">In other words, save that D1 was entitled to dispute the circumstances against which the Accident had occurred to the extent that the </w:t>
      </w:r>
      <w:r w:rsidR="00EB6D2C">
        <w:rPr>
          <w:szCs w:val="28"/>
        </w:rPr>
        <w:t>p</w:t>
      </w:r>
      <w:r w:rsidRPr="00033986">
        <w:rPr>
          <w:szCs w:val="28"/>
        </w:rPr>
        <w:t xml:space="preserve">laintiff’s case on liability and/or quantum was controversial, it is not permissible for D1 to dispute the Accident had occurred in the Staircase on that very day and at that time in the circumstances set out in Form 1: </w:t>
      </w:r>
      <w:r w:rsidRPr="00033986">
        <w:rPr>
          <w:i/>
          <w:iCs/>
          <w:szCs w:val="28"/>
        </w:rPr>
        <w:t>Tam Choi Ling v Kidsworld International Limited;</w:t>
      </w:r>
      <w:r w:rsidRPr="00033986">
        <w:rPr>
          <w:rStyle w:val="FootnoteReference"/>
          <w:i/>
          <w:iCs/>
          <w:szCs w:val="28"/>
        </w:rPr>
        <w:footnoteReference w:id="25"/>
      </w:r>
      <w:r w:rsidRPr="00033986">
        <w:rPr>
          <w:szCs w:val="28"/>
        </w:rPr>
        <w:t xml:space="preserve"> </w:t>
      </w:r>
      <w:r w:rsidRPr="00033986">
        <w:rPr>
          <w:i/>
          <w:iCs/>
          <w:szCs w:val="28"/>
        </w:rPr>
        <w:t>Cf</w:t>
      </w:r>
      <w:r w:rsidRPr="00033986">
        <w:rPr>
          <w:szCs w:val="28"/>
        </w:rPr>
        <w:t xml:space="preserve"> </w:t>
      </w:r>
      <w:r w:rsidRPr="00033986">
        <w:rPr>
          <w:i/>
          <w:iCs/>
          <w:szCs w:val="28"/>
        </w:rPr>
        <w:t>Amjad v Wong Yui Cheong</w:t>
      </w:r>
      <w:r w:rsidRPr="00033986">
        <w:rPr>
          <w:rStyle w:val="FootnoteReference"/>
          <w:i/>
          <w:iCs/>
          <w:szCs w:val="28"/>
        </w:rPr>
        <w:footnoteReference w:id="26"/>
      </w:r>
      <w:r w:rsidRPr="00033986">
        <w:rPr>
          <w:i/>
          <w:iCs/>
          <w:szCs w:val="28"/>
        </w:rPr>
        <w:t>.</w:t>
      </w:r>
    </w:p>
    <w:p w14:paraId="6F7BE11E" w14:textId="77777777" w:rsidR="00033986" w:rsidRPr="00033986" w:rsidRDefault="00033986" w:rsidP="00033986">
      <w:pPr>
        <w:tabs>
          <w:tab w:val="clear" w:pos="4320"/>
        </w:tabs>
        <w:spacing w:line="360" w:lineRule="auto"/>
        <w:jc w:val="both"/>
        <w:rPr>
          <w:i/>
          <w:iCs/>
          <w:szCs w:val="28"/>
        </w:rPr>
      </w:pPr>
    </w:p>
    <w:p w14:paraId="7E783833" w14:textId="77777777" w:rsidR="00033986" w:rsidRPr="00033986" w:rsidRDefault="00033986" w:rsidP="006F407B">
      <w:pPr>
        <w:pStyle w:val="ListParagraph"/>
        <w:numPr>
          <w:ilvl w:val="0"/>
          <w:numId w:val="1"/>
        </w:numPr>
        <w:tabs>
          <w:tab w:val="clear" w:pos="4320"/>
        </w:tabs>
        <w:spacing w:line="360" w:lineRule="auto"/>
        <w:ind w:left="0" w:firstLine="0"/>
        <w:jc w:val="both"/>
        <w:rPr>
          <w:i/>
          <w:iCs/>
          <w:szCs w:val="28"/>
        </w:rPr>
      </w:pPr>
      <w:r w:rsidRPr="00033986">
        <w:rPr>
          <w:szCs w:val="28"/>
        </w:rPr>
        <w:t xml:space="preserve">Third, in seeking to persuade me otherwise, D1 relied on a pleading point, namely the same was not pleaded because the </w:t>
      </w:r>
      <w:r w:rsidR="00EB6D2C">
        <w:rPr>
          <w:szCs w:val="28"/>
        </w:rPr>
        <w:t>p</w:t>
      </w:r>
      <w:r w:rsidRPr="00033986">
        <w:rPr>
          <w:szCs w:val="28"/>
        </w:rPr>
        <w:t xml:space="preserve">laintiff only raised the same in the Defence to D1’s Counterclaim. </w:t>
      </w:r>
      <w:r w:rsidR="00EB6D2C">
        <w:rPr>
          <w:szCs w:val="28"/>
        </w:rPr>
        <w:t xml:space="preserve"> </w:t>
      </w:r>
      <w:r w:rsidRPr="00033986">
        <w:rPr>
          <w:szCs w:val="28"/>
        </w:rPr>
        <w:t xml:space="preserve">As no separate reply was filed and as D1 had abandoned its counterclaim, there was no pleaded live issue of estoppel or </w:t>
      </w:r>
      <w:r w:rsidRPr="00033986">
        <w:rPr>
          <w:i/>
          <w:iCs/>
          <w:szCs w:val="28"/>
        </w:rPr>
        <w:t>res judicata</w:t>
      </w:r>
      <w:r w:rsidRPr="00033986">
        <w:rPr>
          <w:szCs w:val="28"/>
        </w:rPr>
        <w:t xml:space="preserve">. </w:t>
      </w:r>
      <w:r w:rsidR="00EB6D2C">
        <w:rPr>
          <w:szCs w:val="28"/>
        </w:rPr>
        <w:t xml:space="preserve"> </w:t>
      </w:r>
      <w:r w:rsidRPr="00033986">
        <w:rPr>
          <w:szCs w:val="28"/>
        </w:rPr>
        <w:t xml:space="preserve">This technical objection could not even get off the ground. </w:t>
      </w:r>
      <w:r w:rsidR="00EB6D2C">
        <w:rPr>
          <w:szCs w:val="28"/>
        </w:rPr>
        <w:t xml:space="preserve"> </w:t>
      </w:r>
      <w:r w:rsidRPr="00033986">
        <w:rPr>
          <w:szCs w:val="28"/>
        </w:rPr>
        <w:t xml:space="preserve">In particular, D1 knew at all material times that the </w:t>
      </w:r>
      <w:r w:rsidR="00EB6D2C">
        <w:rPr>
          <w:szCs w:val="28"/>
        </w:rPr>
        <w:t>p</w:t>
      </w:r>
      <w:r w:rsidRPr="00033986">
        <w:rPr>
          <w:szCs w:val="28"/>
        </w:rPr>
        <w:t xml:space="preserve">laintiff would be relying on the consent judgment in the EC Proceedings. Estoppel and the doctrine of </w:t>
      </w:r>
      <w:r w:rsidRPr="00033986">
        <w:rPr>
          <w:i/>
          <w:iCs/>
          <w:szCs w:val="28"/>
        </w:rPr>
        <w:t>res judicata</w:t>
      </w:r>
      <w:r w:rsidRPr="00033986">
        <w:rPr>
          <w:szCs w:val="28"/>
        </w:rPr>
        <w:t xml:space="preserve"> was expressly pleaded in the Defence to Counterclaim.  Where it was D1 who chose to withdraw or abandon its Counterclaim shortly before the trial commenced, it is disingenuous to even suggest the same was not pleaded and/or estoppel was not a live issue. </w:t>
      </w:r>
    </w:p>
    <w:p w14:paraId="651109EA" w14:textId="77777777" w:rsidR="00033986" w:rsidRPr="00033986" w:rsidRDefault="00033986" w:rsidP="00033986">
      <w:pPr>
        <w:tabs>
          <w:tab w:val="clear" w:pos="4320"/>
        </w:tabs>
        <w:spacing w:line="360" w:lineRule="auto"/>
        <w:jc w:val="both"/>
        <w:rPr>
          <w:i/>
          <w:iCs/>
          <w:szCs w:val="28"/>
        </w:rPr>
      </w:pPr>
    </w:p>
    <w:p w14:paraId="59B64CEB" w14:textId="77777777" w:rsidR="00033986" w:rsidRPr="00033986" w:rsidRDefault="00033986" w:rsidP="006F407B">
      <w:pPr>
        <w:pStyle w:val="ListParagraph"/>
        <w:numPr>
          <w:ilvl w:val="0"/>
          <w:numId w:val="1"/>
        </w:numPr>
        <w:tabs>
          <w:tab w:val="clear" w:pos="4320"/>
        </w:tabs>
        <w:spacing w:line="360" w:lineRule="auto"/>
        <w:ind w:left="0" w:firstLine="0"/>
        <w:jc w:val="both"/>
        <w:rPr>
          <w:bCs/>
          <w:szCs w:val="28"/>
          <w:u w:val="single"/>
        </w:rPr>
      </w:pPr>
      <w:r w:rsidRPr="00033986">
        <w:rPr>
          <w:szCs w:val="28"/>
        </w:rPr>
        <w:t xml:space="preserve">In any event, having regard to the evidence and the finding of facts in this case, I am not satisfied that the Accident was a fabrication. </w:t>
      </w:r>
      <w:r w:rsidR="00EB6D2C">
        <w:rPr>
          <w:szCs w:val="28"/>
        </w:rPr>
        <w:t xml:space="preserve"> </w:t>
      </w:r>
      <w:r w:rsidRPr="00033986">
        <w:rPr>
          <w:szCs w:val="28"/>
        </w:rPr>
        <w:t xml:space="preserve">I am satisfied that on a balance of probabilities, the </w:t>
      </w:r>
      <w:r w:rsidR="00EB6D2C">
        <w:rPr>
          <w:szCs w:val="28"/>
        </w:rPr>
        <w:t>p</w:t>
      </w:r>
      <w:r w:rsidRPr="00033986">
        <w:rPr>
          <w:szCs w:val="28"/>
        </w:rPr>
        <w:t xml:space="preserve">laintiff had slipped and fell on the Staircase on 12 November 2016 at around 00:25. </w:t>
      </w:r>
    </w:p>
    <w:p w14:paraId="41B1B753" w14:textId="77777777" w:rsidR="00033986" w:rsidRPr="00033986" w:rsidRDefault="00033986" w:rsidP="00033986">
      <w:pPr>
        <w:tabs>
          <w:tab w:val="clear" w:pos="4320"/>
        </w:tabs>
        <w:spacing w:line="360" w:lineRule="auto"/>
        <w:jc w:val="both"/>
        <w:rPr>
          <w:bCs/>
          <w:szCs w:val="28"/>
          <w:u w:val="single"/>
        </w:rPr>
      </w:pPr>
    </w:p>
    <w:p w14:paraId="59D2D0D4"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As the </w:t>
      </w:r>
      <w:r w:rsidR="00EB6D2C">
        <w:rPr>
          <w:szCs w:val="28"/>
        </w:rPr>
        <w:t>d</w:t>
      </w:r>
      <w:r w:rsidRPr="00033986">
        <w:rPr>
          <w:szCs w:val="28"/>
        </w:rPr>
        <w:t xml:space="preserve">efendants are putting forward a case of fabrication, they have not put forward a positive case of how the Accident happened although there is a suggestion that the </w:t>
      </w:r>
      <w:r w:rsidR="00EB6D2C">
        <w:rPr>
          <w:szCs w:val="28"/>
        </w:rPr>
        <w:t>p</w:t>
      </w:r>
      <w:r w:rsidRPr="00033986">
        <w:rPr>
          <w:szCs w:val="28"/>
        </w:rPr>
        <w:t xml:space="preserve">laintiff had a fall when taking transportation or getting on/off the bus. </w:t>
      </w:r>
    </w:p>
    <w:p w14:paraId="07A24184" w14:textId="77777777" w:rsidR="00033986" w:rsidRPr="00033986" w:rsidRDefault="00033986" w:rsidP="00033986">
      <w:pPr>
        <w:tabs>
          <w:tab w:val="clear" w:pos="4320"/>
        </w:tabs>
        <w:spacing w:line="360" w:lineRule="auto"/>
        <w:jc w:val="both"/>
        <w:rPr>
          <w:szCs w:val="28"/>
        </w:rPr>
      </w:pPr>
    </w:p>
    <w:p w14:paraId="76B81906"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Whilst parts of the </w:t>
      </w:r>
      <w:r w:rsidR="00EB6D2C">
        <w:rPr>
          <w:szCs w:val="28"/>
        </w:rPr>
        <w:t>p</w:t>
      </w:r>
      <w:r w:rsidRPr="00033986">
        <w:rPr>
          <w:szCs w:val="28"/>
        </w:rPr>
        <w:t xml:space="preserve">laintiff’s evidence were unclear and/or unreliable, her evidence was clear and remained unshaken on the central issue that she slipped and fell on the Staircase on the very day at the very time as pleaded. </w:t>
      </w:r>
      <w:r w:rsidR="00EB6D2C">
        <w:rPr>
          <w:szCs w:val="28"/>
        </w:rPr>
        <w:t xml:space="preserve"> </w:t>
      </w:r>
      <w:r w:rsidRPr="00033986">
        <w:rPr>
          <w:szCs w:val="28"/>
        </w:rPr>
        <w:t xml:space="preserve">The same is corroborated by and/or consistent with other evidence and contemporaneous documents. </w:t>
      </w:r>
    </w:p>
    <w:p w14:paraId="0FA5049A" w14:textId="77777777" w:rsidR="00033986" w:rsidRPr="00033986" w:rsidRDefault="00033986" w:rsidP="00033986">
      <w:pPr>
        <w:tabs>
          <w:tab w:val="clear" w:pos="4320"/>
        </w:tabs>
        <w:spacing w:line="360" w:lineRule="auto"/>
        <w:jc w:val="both"/>
        <w:rPr>
          <w:szCs w:val="28"/>
        </w:rPr>
      </w:pPr>
    </w:p>
    <w:p w14:paraId="48AE4084"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First, the contemporaneous medical records and the diagnosis at the O&amp;T Out-patient clinic of STH on 12 November 2016</w:t>
      </w:r>
      <w:r w:rsidRPr="00033986">
        <w:rPr>
          <w:rStyle w:val="FootnoteReference"/>
          <w:szCs w:val="28"/>
        </w:rPr>
        <w:footnoteReference w:id="27"/>
      </w:r>
      <w:r w:rsidRPr="00033986">
        <w:rPr>
          <w:szCs w:val="28"/>
        </w:rPr>
        <w:t xml:space="preserve"> revealed the </w:t>
      </w:r>
      <w:r w:rsidR="00EB6D2C">
        <w:rPr>
          <w:szCs w:val="28"/>
        </w:rPr>
        <w:t>p</w:t>
      </w:r>
      <w:r w:rsidRPr="00033986">
        <w:rPr>
          <w:szCs w:val="28"/>
        </w:rPr>
        <w:t xml:space="preserve">laintiff had a “slip and fall” with tenderness and swelling. </w:t>
      </w:r>
      <w:r w:rsidR="00EB6D2C">
        <w:rPr>
          <w:szCs w:val="28"/>
        </w:rPr>
        <w:t xml:space="preserve"> </w:t>
      </w:r>
      <w:r w:rsidRPr="00033986">
        <w:rPr>
          <w:szCs w:val="28"/>
        </w:rPr>
        <w:t xml:space="preserve">She was also admitted on the same day for further care. </w:t>
      </w:r>
      <w:r w:rsidR="00EB6D2C">
        <w:rPr>
          <w:szCs w:val="28"/>
        </w:rPr>
        <w:t xml:space="preserve"> </w:t>
      </w:r>
      <w:r w:rsidRPr="00033986">
        <w:rPr>
          <w:szCs w:val="28"/>
        </w:rPr>
        <w:t xml:space="preserve">MRI right knee also revealed cartilage loss at lateral facet of patella. </w:t>
      </w:r>
      <w:r w:rsidR="00EB6D2C">
        <w:rPr>
          <w:szCs w:val="28"/>
        </w:rPr>
        <w:t xml:space="preserve"> </w:t>
      </w:r>
      <w:r w:rsidRPr="00033986">
        <w:rPr>
          <w:szCs w:val="28"/>
        </w:rPr>
        <w:t xml:space="preserve">The injuries and treatment were by and large consistent with a slip and fall accident. </w:t>
      </w:r>
      <w:r w:rsidR="00EB6D2C">
        <w:rPr>
          <w:szCs w:val="28"/>
        </w:rPr>
        <w:t xml:space="preserve"> </w:t>
      </w:r>
      <w:r w:rsidRPr="00033986">
        <w:rPr>
          <w:szCs w:val="28"/>
        </w:rPr>
        <w:t>This is also supported by other contemporaneous medical examinations and/or records.</w:t>
      </w:r>
      <w:r w:rsidRPr="00033986">
        <w:rPr>
          <w:rStyle w:val="FootnoteReference"/>
          <w:szCs w:val="28"/>
        </w:rPr>
        <w:footnoteReference w:id="28"/>
      </w:r>
      <w:r w:rsidRPr="00033986">
        <w:rPr>
          <w:szCs w:val="28"/>
        </w:rPr>
        <w:t xml:space="preserve"> </w:t>
      </w:r>
    </w:p>
    <w:p w14:paraId="5FEDE71C" w14:textId="77777777" w:rsidR="00033986" w:rsidRPr="00033986" w:rsidRDefault="00033986" w:rsidP="00033986">
      <w:pPr>
        <w:tabs>
          <w:tab w:val="clear" w:pos="4320"/>
        </w:tabs>
        <w:spacing w:line="360" w:lineRule="auto"/>
        <w:jc w:val="both"/>
        <w:rPr>
          <w:szCs w:val="28"/>
        </w:rPr>
      </w:pPr>
    </w:p>
    <w:p w14:paraId="44C8113C"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Second, the </w:t>
      </w:r>
      <w:r w:rsidR="00EB6D2C">
        <w:rPr>
          <w:szCs w:val="28"/>
        </w:rPr>
        <w:t>p</w:t>
      </w:r>
      <w:r w:rsidRPr="00033986">
        <w:rPr>
          <w:szCs w:val="28"/>
        </w:rPr>
        <w:t>laintiff’s account of the Accident taking place at the Staircase on 12 November 2016 at around 00:25 was featured in the Link Incident Report</w:t>
      </w:r>
      <w:r w:rsidRPr="00033986">
        <w:rPr>
          <w:rStyle w:val="FootnoteReference"/>
          <w:szCs w:val="28"/>
        </w:rPr>
        <w:footnoteReference w:id="29"/>
      </w:r>
      <w:r w:rsidRPr="00033986">
        <w:rPr>
          <w:szCs w:val="28"/>
        </w:rPr>
        <w:t xml:space="preserve"> and</w:t>
      </w:r>
      <w:r w:rsidRPr="00EB6D2C">
        <w:rPr>
          <w:rFonts w:ascii="PMingLiU" w:eastAsia="PMingLiU" w:hAnsi="PMingLiU"/>
          <w:szCs w:val="28"/>
        </w:rPr>
        <w:t>跟進事項、事件簿</w:t>
      </w:r>
      <w:r w:rsidRPr="00033986">
        <w:rPr>
          <w:rStyle w:val="FootnoteReference"/>
          <w:szCs w:val="28"/>
        </w:rPr>
        <w:footnoteReference w:id="30"/>
      </w:r>
      <w:r w:rsidRPr="00033986">
        <w:rPr>
          <w:szCs w:val="28"/>
        </w:rPr>
        <w:t xml:space="preserve">. </w:t>
      </w:r>
      <w:r w:rsidR="00EB6D2C">
        <w:rPr>
          <w:szCs w:val="28"/>
        </w:rPr>
        <w:t xml:space="preserve"> </w:t>
      </w:r>
      <w:r w:rsidRPr="00033986">
        <w:rPr>
          <w:szCs w:val="28"/>
        </w:rPr>
        <w:t>More importantly, it was also featured in the D1’s Incident Report prepared by Mr Wong</w:t>
      </w:r>
      <w:r w:rsidRPr="00033986">
        <w:rPr>
          <w:rStyle w:val="FootnoteReference"/>
          <w:szCs w:val="28"/>
        </w:rPr>
        <w:footnoteReference w:id="31"/>
      </w:r>
      <w:r w:rsidRPr="00033986">
        <w:rPr>
          <w:szCs w:val="28"/>
        </w:rPr>
        <w:t xml:space="preserve">. </w:t>
      </w:r>
      <w:r w:rsidR="00EB6D2C">
        <w:rPr>
          <w:szCs w:val="28"/>
        </w:rPr>
        <w:t xml:space="preserve"> </w:t>
      </w:r>
      <w:r w:rsidRPr="00033986">
        <w:rPr>
          <w:szCs w:val="28"/>
        </w:rPr>
        <w:t xml:space="preserve">There </w:t>
      </w:r>
      <w:r w:rsidRPr="00033986">
        <w:rPr>
          <w:szCs w:val="28"/>
        </w:rPr>
        <w:lastRenderedPageBreak/>
        <w:t xml:space="preserve">is no explanation let alone good explanation as to why Mr Wong would have prepared or endorsed such a report and D1 had never sought to correct such record. </w:t>
      </w:r>
      <w:r w:rsidR="00EB6D2C">
        <w:rPr>
          <w:szCs w:val="28"/>
        </w:rPr>
        <w:t xml:space="preserve"> </w:t>
      </w:r>
      <w:r w:rsidRPr="00033986">
        <w:rPr>
          <w:szCs w:val="28"/>
        </w:rPr>
        <w:t xml:space="preserve">In particular, this has to be viewed against (1) Madam Wong’s evidence that she had informed Mr Wong that the </w:t>
      </w:r>
      <w:r w:rsidR="00EB6D2C">
        <w:rPr>
          <w:szCs w:val="28"/>
        </w:rPr>
        <w:t>p</w:t>
      </w:r>
      <w:r w:rsidRPr="00033986">
        <w:rPr>
          <w:szCs w:val="28"/>
        </w:rPr>
        <w:t>laintiff had changed her version of the accident on 12 November 2016; and (2) D1 must have known such a record would be used in the EC Proceedings.</w:t>
      </w:r>
    </w:p>
    <w:p w14:paraId="4A4A127F" w14:textId="77777777" w:rsidR="00033986" w:rsidRPr="00033986" w:rsidRDefault="00033986" w:rsidP="00033986">
      <w:pPr>
        <w:tabs>
          <w:tab w:val="clear" w:pos="4320"/>
        </w:tabs>
        <w:spacing w:line="360" w:lineRule="auto"/>
        <w:jc w:val="both"/>
        <w:rPr>
          <w:szCs w:val="28"/>
        </w:rPr>
      </w:pPr>
    </w:p>
    <w:p w14:paraId="16B47AF7"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Third, turning to Madam Wong’s evidence on the three telephone conversations she had with the </w:t>
      </w:r>
      <w:r w:rsidR="00EB6D2C">
        <w:rPr>
          <w:szCs w:val="28"/>
        </w:rPr>
        <w:t>p</w:t>
      </w:r>
      <w:r w:rsidRPr="00033986">
        <w:rPr>
          <w:szCs w:val="28"/>
        </w:rPr>
        <w:t xml:space="preserve">laintiff on 12 November 2016 which pointed to the </w:t>
      </w:r>
      <w:r w:rsidR="00EB6D2C">
        <w:rPr>
          <w:szCs w:val="28"/>
        </w:rPr>
        <w:t>p</w:t>
      </w:r>
      <w:r w:rsidRPr="00033986">
        <w:rPr>
          <w:szCs w:val="28"/>
        </w:rPr>
        <w:t xml:space="preserve">laintiff changing the version of her accident, I already explained why this part of her evidence was incredible and unreliable. </w:t>
      </w:r>
      <w:r w:rsidR="00EB6D2C">
        <w:rPr>
          <w:szCs w:val="28"/>
        </w:rPr>
        <w:t xml:space="preserve"> </w:t>
      </w:r>
      <w:r w:rsidRPr="00033986">
        <w:rPr>
          <w:szCs w:val="28"/>
        </w:rPr>
        <w:t xml:space="preserve">Her evidence was that the </w:t>
      </w:r>
      <w:r w:rsidR="00EB6D2C">
        <w:rPr>
          <w:szCs w:val="28"/>
        </w:rPr>
        <w:t>p</w:t>
      </w:r>
      <w:r w:rsidRPr="00033986">
        <w:rPr>
          <w:szCs w:val="28"/>
        </w:rPr>
        <w:t xml:space="preserve">laintiff had first informed her that she had an accident taking transportation was a bare assertion. </w:t>
      </w:r>
      <w:r w:rsidR="00EB6D2C">
        <w:rPr>
          <w:szCs w:val="28"/>
        </w:rPr>
        <w:t xml:space="preserve"> </w:t>
      </w:r>
      <w:r w:rsidRPr="00033986">
        <w:rPr>
          <w:szCs w:val="28"/>
        </w:rPr>
        <w:t xml:space="preserve">The same was wholly unsupported by any contemporaneous record kept by D1. </w:t>
      </w:r>
      <w:r w:rsidR="00EB6D2C">
        <w:rPr>
          <w:szCs w:val="28"/>
        </w:rPr>
        <w:t xml:space="preserve"> </w:t>
      </w:r>
      <w:r w:rsidRPr="00033986">
        <w:rPr>
          <w:szCs w:val="28"/>
        </w:rPr>
        <w:t xml:space="preserve">Rather, the same was contradicted by the </w:t>
      </w:r>
      <w:r w:rsidR="00EB6D2C">
        <w:rPr>
          <w:szCs w:val="28"/>
        </w:rPr>
        <w:t>d</w:t>
      </w:r>
      <w:r w:rsidRPr="00033986">
        <w:rPr>
          <w:szCs w:val="28"/>
        </w:rPr>
        <w:t>efendants’ own records including D1’s Incident Report</w:t>
      </w:r>
      <w:r w:rsidRPr="00033986">
        <w:rPr>
          <w:rStyle w:val="FootnoteReference"/>
          <w:szCs w:val="28"/>
        </w:rPr>
        <w:footnoteReference w:id="32"/>
      </w:r>
      <w:r w:rsidRPr="00033986">
        <w:rPr>
          <w:szCs w:val="28"/>
        </w:rPr>
        <w:t xml:space="preserve">. </w:t>
      </w:r>
    </w:p>
    <w:p w14:paraId="24DE0DA1" w14:textId="77777777" w:rsidR="00033986" w:rsidRPr="00033986" w:rsidRDefault="00033986" w:rsidP="00033986">
      <w:pPr>
        <w:tabs>
          <w:tab w:val="clear" w:pos="4320"/>
        </w:tabs>
        <w:spacing w:line="360" w:lineRule="auto"/>
        <w:jc w:val="both"/>
        <w:rPr>
          <w:szCs w:val="28"/>
        </w:rPr>
      </w:pPr>
    </w:p>
    <w:p w14:paraId="75BDA04B"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Fourth, the Handwritten Note</w:t>
      </w:r>
      <w:r w:rsidRPr="00033986">
        <w:rPr>
          <w:rStyle w:val="FootnoteReference"/>
          <w:szCs w:val="28"/>
        </w:rPr>
        <w:footnoteReference w:id="33"/>
      </w:r>
      <w:r w:rsidRPr="00033986">
        <w:rPr>
          <w:szCs w:val="28"/>
        </w:rPr>
        <w:t xml:space="preserve"> is also consistent with the </w:t>
      </w:r>
      <w:r w:rsidR="00EB6D2C">
        <w:rPr>
          <w:szCs w:val="28"/>
        </w:rPr>
        <w:t>p</w:t>
      </w:r>
      <w:r w:rsidRPr="00033986">
        <w:rPr>
          <w:szCs w:val="28"/>
        </w:rPr>
        <w:t xml:space="preserve">laintiff’s description of the Accident. </w:t>
      </w:r>
      <w:r w:rsidR="00EB6D2C">
        <w:rPr>
          <w:szCs w:val="28"/>
        </w:rPr>
        <w:t xml:space="preserve"> </w:t>
      </w:r>
      <w:r w:rsidRPr="00033986">
        <w:rPr>
          <w:szCs w:val="28"/>
        </w:rPr>
        <w:t xml:space="preserve">Whilst the </w:t>
      </w:r>
      <w:r w:rsidR="00EB6D2C">
        <w:rPr>
          <w:szCs w:val="28"/>
        </w:rPr>
        <w:t>d</w:t>
      </w:r>
      <w:r w:rsidRPr="00033986">
        <w:rPr>
          <w:szCs w:val="28"/>
        </w:rPr>
        <w:t xml:space="preserve">efendants made a huge song and dance over the </w:t>
      </w:r>
      <w:r w:rsidR="00EB6D2C">
        <w:rPr>
          <w:szCs w:val="28"/>
        </w:rPr>
        <w:t>p</w:t>
      </w:r>
      <w:r w:rsidRPr="00033986">
        <w:rPr>
          <w:szCs w:val="28"/>
        </w:rPr>
        <w:t xml:space="preserve">laintiff’s change of assertion as to who actually prepared this document and the failure to call the </w:t>
      </w:r>
      <w:r w:rsidR="00EB6D2C">
        <w:rPr>
          <w:szCs w:val="28"/>
        </w:rPr>
        <w:t>p</w:t>
      </w:r>
      <w:r w:rsidRPr="00033986">
        <w:rPr>
          <w:szCs w:val="28"/>
        </w:rPr>
        <w:t xml:space="preserve">laintiff’s husband to give evidence, this is beside the point. </w:t>
      </w:r>
      <w:r w:rsidR="00EB6D2C">
        <w:rPr>
          <w:szCs w:val="28"/>
        </w:rPr>
        <w:t xml:space="preserve"> </w:t>
      </w:r>
      <w:r w:rsidRPr="00033986">
        <w:rPr>
          <w:szCs w:val="28"/>
        </w:rPr>
        <w:t xml:space="preserve">There is no dispute that the Chop and Mr Wong’s mobile phone number appeared on the Handwritten Note. </w:t>
      </w:r>
      <w:r w:rsidR="00EB6D2C">
        <w:rPr>
          <w:szCs w:val="28"/>
        </w:rPr>
        <w:t xml:space="preserve"> </w:t>
      </w:r>
      <w:r w:rsidRPr="00033986">
        <w:rPr>
          <w:szCs w:val="28"/>
        </w:rPr>
        <w:t xml:space="preserve">Regardless of who actually prepared the same and whether the same was only prepared after Madam Wong first provided a draft for the </w:t>
      </w:r>
      <w:r w:rsidR="00EB6D2C">
        <w:rPr>
          <w:szCs w:val="28"/>
        </w:rPr>
        <w:t>p</w:t>
      </w:r>
      <w:r w:rsidRPr="00033986">
        <w:rPr>
          <w:szCs w:val="28"/>
        </w:rPr>
        <w:t xml:space="preserve">laintiff’s husband to copy, it remains the case that either Madam Wong and/or Mr </w:t>
      </w:r>
      <w:r w:rsidRPr="00033986">
        <w:rPr>
          <w:szCs w:val="28"/>
        </w:rPr>
        <w:lastRenderedPageBreak/>
        <w:t xml:space="preserve">Wong, hence D1, must have endorsed or agreed to the same ie the Accident took place on 12 November 2016 at 00:25 at the Staircase. </w:t>
      </w:r>
      <w:r w:rsidR="00EB6D2C">
        <w:rPr>
          <w:szCs w:val="28"/>
        </w:rPr>
        <w:t xml:space="preserve"> </w:t>
      </w:r>
      <w:r w:rsidRPr="00033986">
        <w:rPr>
          <w:szCs w:val="28"/>
        </w:rPr>
        <w:t>This is consistent with the salient evidence summarised below:-</w:t>
      </w:r>
    </w:p>
    <w:p w14:paraId="06BB500A" w14:textId="77777777" w:rsidR="00033986" w:rsidRPr="00033986" w:rsidRDefault="00033986" w:rsidP="00033986">
      <w:pPr>
        <w:tabs>
          <w:tab w:val="clear" w:pos="4320"/>
        </w:tabs>
        <w:spacing w:line="360" w:lineRule="auto"/>
        <w:jc w:val="both"/>
        <w:rPr>
          <w:szCs w:val="28"/>
        </w:rPr>
      </w:pPr>
    </w:p>
    <w:p w14:paraId="5AFA4D99" w14:textId="77777777" w:rsidR="00033986" w:rsidRPr="00033986" w:rsidRDefault="00033986" w:rsidP="006F407B">
      <w:pPr>
        <w:pStyle w:val="ListParagraph"/>
        <w:numPr>
          <w:ilvl w:val="0"/>
          <w:numId w:val="7"/>
        </w:numPr>
        <w:tabs>
          <w:tab w:val="clear" w:pos="4320"/>
          <w:tab w:val="left" w:pos="2160"/>
        </w:tabs>
        <w:spacing w:line="360" w:lineRule="auto"/>
        <w:ind w:left="2160" w:hanging="720"/>
        <w:jc w:val="both"/>
        <w:rPr>
          <w:szCs w:val="28"/>
        </w:rPr>
      </w:pPr>
      <w:r w:rsidRPr="00033986">
        <w:rPr>
          <w:szCs w:val="28"/>
        </w:rPr>
        <w:t xml:space="preserve">Madam Yip’s evidence that the </w:t>
      </w:r>
      <w:r w:rsidR="00EB6D2C">
        <w:rPr>
          <w:szCs w:val="28"/>
        </w:rPr>
        <w:t>p</w:t>
      </w:r>
      <w:r w:rsidRPr="00033986">
        <w:rPr>
          <w:szCs w:val="28"/>
        </w:rPr>
        <w:t xml:space="preserve">laintiff and her husband had never opened the drawer in which the Chop was placed and she would not be able to rule out prior to Madam Wong leaving the Carpark on 15 November 2016, Madam Wong had some conversations or written something with the </w:t>
      </w:r>
      <w:r w:rsidR="00EB6D2C">
        <w:rPr>
          <w:szCs w:val="28"/>
        </w:rPr>
        <w:t>p</w:t>
      </w:r>
      <w:r w:rsidRPr="00033986">
        <w:rPr>
          <w:szCs w:val="28"/>
        </w:rPr>
        <w:t xml:space="preserve">laintiff and her husband (ie </w:t>
      </w:r>
      <w:r w:rsidRPr="00EB6D2C">
        <w:rPr>
          <w:rFonts w:eastAsia="PMingLiU"/>
          <w:szCs w:val="28"/>
        </w:rPr>
        <w:t>啊玊同原告人有無做過</w:t>
      </w:r>
      <w:r w:rsidR="00EB6D2C">
        <w:rPr>
          <w:rFonts w:eastAsia="PMingLiU" w:hint="eastAsia"/>
          <w:szCs w:val="28"/>
          <w:lang w:eastAsia="zh-HK"/>
        </w:rPr>
        <w:t>啲</w:t>
      </w:r>
      <w:r w:rsidRPr="00EB6D2C">
        <w:rPr>
          <w:rFonts w:eastAsia="PMingLiU"/>
          <w:szCs w:val="28"/>
        </w:rPr>
        <w:t>乜或寫過</w:t>
      </w:r>
      <w:r w:rsidR="00EB6D2C">
        <w:rPr>
          <w:rFonts w:eastAsia="PMingLiU" w:hint="eastAsia"/>
          <w:szCs w:val="28"/>
          <w:lang w:eastAsia="zh-HK"/>
        </w:rPr>
        <w:t>啲</w:t>
      </w:r>
      <w:r w:rsidRPr="00EB6D2C">
        <w:rPr>
          <w:rFonts w:eastAsia="PMingLiU"/>
          <w:szCs w:val="28"/>
        </w:rPr>
        <w:t>乜你唔會記得</w:t>
      </w:r>
      <w:r w:rsidRPr="00033986">
        <w:rPr>
          <w:szCs w:val="28"/>
        </w:rPr>
        <w:t>).</w:t>
      </w:r>
    </w:p>
    <w:p w14:paraId="4F7FC8BD" w14:textId="77777777" w:rsidR="00033986" w:rsidRPr="00033986" w:rsidRDefault="00033986" w:rsidP="00EB6D2C">
      <w:pPr>
        <w:tabs>
          <w:tab w:val="clear" w:pos="4320"/>
          <w:tab w:val="left" w:pos="2160"/>
        </w:tabs>
        <w:spacing w:line="360" w:lineRule="auto"/>
        <w:ind w:left="2160" w:hanging="720"/>
        <w:jc w:val="both"/>
        <w:rPr>
          <w:szCs w:val="28"/>
        </w:rPr>
      </w:pPr>
    </w:p>
    <w:p w14:paraId="7444D28C" w14:textId="77777777" w:rsidR="00033986" w:rsidRPr="00033986" w:rsidRDefault="00033986" w:rsidP="006F407B">
      <w:pPr>
        <w:pStyle w:val="ListParagraph"/>
        <w:numPr>
          <w:ilvl w:val="0"/>
          <w:numId w:val="7"/>
        </w:numPr>
        <w:tabs>
          <w:tab w:val="clear" w:pos="4320"/>
          <w:tab w:val="left" w:pos="2160"/>
        </w:tabs>
        <w:spacing w:line="360" w:lineRule="auto"/>
        <w:ind w:left="2160" w:hanging="720"/>
        <w:jc w:val="both"/>
        <w:rPr>
          <w:szCs w:val="28"/>
        </w:rPr>
      </w:pPr>
      <w:r w:rsidRPr="00033986">
        <w:rPr>
          <w:szCs w:val="28"/>
        </w:rPr>
        <w:t xml:space="preserve">There is no suggestion that the </w:t>
      </w:r>
      <w:r w:rsidR="00EB6D2C">
        <w:rPr>
          <w:szCs w:val="28"/>
        </w:rPr>
        <w:t>p</w:t>
      </w:r>
      <w:r w:rsidRPr="00033986">
        <w:rPr>
          <w:szCs w:val="28"/>
        </w:rPr>
        <w:t xml:space="preserve">laintiff who had only been at work in the Carpark for a week or so before the Accident would know Mr Wong’s mobile phone number. </w:t>
      </w:r>
      <w:r w:rsidR="00EB6D2C">
        <w:rPr>
          <w:szCs w:val="28"/>
        </w:rPr>
        <w:t xml:space="preserve"> </w:t>
      </w:r>
      <w:r w:rsidRPr="00033986">
        <w:rPr>
          <w:szCs w:val="28"/>
        </w:rPr>
        <w:t>Even Madam Yip herself did not know Mr Wong’s mobile phone number but Madam Wong should have known as she had to directly liaise with Mr Wong.</w:t>
      </w:r>
    </w:p>
    <w:p w14:paraId="0F4E478A" w14:textId="77777777" w:rsidR="00033986" w:rsidRPr="00033986" w:rsidRDefault="00033986" w:rsidP="00033986">
      <w:pPr>
        <w:tabs>
          <w:tab w:val="clear" w:pos="4320"/>
        </w:tabs>
        <w:spacing w:line="360" w:lineRule="auto"/>
        <w:jc w:val="both"/>
        <w:rPr>
          <w:szCs w:val="28"/>
        </w:rPr>
      </w:pPr>
    </w:p>
    <w:p w14:paraId="491B2437"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In other words, someone from D1 other than the </w:t>
      </w:r>
      <w:r w:rsidR="00EB6D2C">
        <w:rPr>
          <w:szCs w:val="28"/>
        </w:rPr>
        <w:t>p</w:t>
      </w:r>
      <w:r w:rsidRPr="00033986">
        <w:rPr>
          <w:szCs w:val="28"/>
        </w:rPr>
        <w:t xml:space="preserve">laintiff or her husband must have applied the Chop and wrote down/provided Mr Wong’s mobile phone number to be written down. </w:t>
      </w:r>
      <w:r w:rsidR="00EB6D2C">
        <w:rPr>
          <w:szCs w:val="28"/>
        </w:rPr>
        <w:t xml:space="preserve"> </w:t>
      </w:r>
      <w:r w:rsidRPr="00033986">
        <w:rPr>
          <w:szCs w:val="28"/>
        </w:rPr>
        <w:t xml:space="preserve">Against the circumstantial evidence of this case, the irresistible inference is that Madam Wong or someone else from D1 must have seen this Handwritten Note before. </w:t>
      </w:r>
      <w:r w:rsidR="00EB6D2C">
        <w:rPr>
          <w:szCs w:val="28"/>
        </w:rPr>
        <w:t xml:space="preserve"> </w:t>
      </w:r>
      <w:r w:rsidRPr="00033986">
        <w:rPr>
          <w:szCs w:val="28"/>
        </w:rPr>
        <w:t>More importantly, the description of the Accident was consistent with D1’s Incident Report prepared by Mr Wong.</w:t>
      </w:r>
    </w:p>
    <w:p w14:paraId="31493CD4" w14:textId="77777777" w:rsidR="00033986" w:rsidRPr="00033986" w:rsidRDefault="00033986" w:rsidP="00033986">
      <w:pPr>
        <w:tabs>
          <w:tab w:val="clear" w:pos="4320"/>
        </w:tabs>
        <w:spacing w:line="360" w:lineRule="auto"/>
        <w:jc w:val="both"/>
        <w:rPr>
          <w:szCs w:val="28"/>
        </w:rPr>
      </w:pPr>
    </w:p>
    <w:p w14:paraId="61AF6B9A"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Fifth, I should also add that the </w:t>
      </w:r>
      <w:r w:rsidR="00EB6D2C">
        <w:rPr>
          <w:szCs w:val="28"/>
        </w:rPr>
        <w:t>d</w:t>
      </w:r>
      <w:r w:rsidRPr="00033986">
        <w:rPr>
          <w:szCs w:val="28"/>
        </w:rPr>
        <w:t>efendants’ reliance on the words “</w:t>
      </w:r>
      <w:r w:rsidRPr="00EB6D2C">
        <w:rPr>
          <w:rFonts w:ascii="PMingLiU" w:eastAsia="PMingLiU" w:hAnsi="PMingLiU"/>
          <w:szCs w:val="28"/>
        </w:rPr>
        <w:t>不小心跌倒</w:t>
      </w:r>
      <w:r w:rsidRPr="00033986">
        <w:rPr>
          <w:szCs w:val="28"/>
        </w:rPr>
        <w:t>” appearing on the Handwritten Note</w:t>
      </w:r>
      <w:r w:rsidRPr="00033986">
        <w:rPr>
          <w:rStyle w:val="FootnoteReference"/>
          <w:szCs w:val="28"/>
        </w:rPr>
        <w:footnoteReference w:id="34"/>
      </w:r>
      <w:r w:rsidRPr="00033986">
        <w:rPr>
          <w:szCs w:val="28"/>
        </w:rPr>
        <w:t>, the Link Incident Report</w:t>
      </w:r>
      <w:r w:rsidRPr="00033986">
        <w:rPr>
          <w:rStyle w:val="FootnoteReference"/>
          <w:szCs w:val="28"/>
        </w:rPr>
        <w:footnoteReference w:id="35"/>
      </w:r>
      <w:r w:rsidRPr="00033986">
        <w:rPr>
          <w:szCs w:val="28"/>
        </w:rPr>
        <w:t xml:space="preserve">, </w:t>
      </w:r>
      <w:r w:rsidRPr="00EB6D2C">
        <w:rPr>
          <w:rFonts w:ascii="PMingLiU" w:eastAsia="PMingLiU" w:hAnsi="PMingLiU"/>
          <w:szCs w:val="28"/>
        </w:rPr>
        <w:t>跟進事項、事件簿</w:t>
      </w:r>
      <w:r w:rsidRPr="00033986">
        <w:rPr>
          <w:rStyle w:val="FootnoteReference"/>
          <w:szCs w:val="28"/>
        </w:rPr>
        <w:footnoteReference w:id="36"/>
      </w:r>
      <w:r w:rsidRPr="00033986">
        <w:rPr>
          <w:szCs w:val="28"/>
        </w:rPr>
        <w:t xml:space="preserve"> and the words “</w:t>
      </w:r>
      <w:r w:rsidRPr="00EB6D2C">
        <w:rPr>
          <w:rFonts w:ascii="PMingLiU" w:eastAsia="PMingLiU" w:hAnsi="PMingLiU"/>
          <w:szCs w:val="28"/>
        </w:rPr>
        <w:t>不慎跌倒、員工巡邏時不小心</w:t>
      </w:r>
      <w:r w:rsidRPr="00033986">
        <w:rPr>
          <w:szCs w:val="28"/>
        </w:rPr>
        <w:t xml:space="preserve">” appearing on D1’s Incident Report, was misplaced. </w:t>
      </w:r>
      <w:r w:rsidR="0005673B">
        <w:rPr>
          <w:szCs w:val="28"/>
        </w:rPr>
        <w:t xml:space="preserve"> </w:t>
      </w:r>
      <w:r w:rsidRPr="00033986">
        <w:rPr>
          <w:szCs w:val="28"/>
        </w:rPr>
        <w:t xml:space="preserve">There is no basis to suggest these words would be detrimental to the </w:t>
      </w:r>
      <w:r w:rsidR="0005673B">
        <w:rPr>
          <w:szCs w:val="28"/>
        </w:rPr>
        <w:t>p</w:t>
      </w:r>
      <w:r w:rsidRPr="00033986">
        <w:rPr>
          <w:szCs w:val="28"/>
        </w:rPr>
        <w:t xml:space="preserve">laintiff’s claim for common law damages. </w:t>
      </w:r>
      <w:r w:rsidR="0005673B">
        <w:rPr>
          <w:szCs w:val="28"/>
        </w:rPr>
        <w:t xml:space="preserve"> </w:t>
      </w:r>
      <w:r w:rsidRPr="00033986">
        <w:rPr>
          <w:szCs w:val="28"/>
        </w:rPr>
        <w:t xml:space="preserve">The same have no relevance and materiality on the issue of whether the </w:t>
      </w:r>
      <w:r w:rsidR="0005673B">
        <w:rPr>
          <w:szCs w:val="28"/>
        </w:rPr>
        <w:t>p</w:t>
      </w:r>
      <w:r w:rsidRPr="00033986">
        <w:rPr>
          <w:szCs w:val="28"/>
        </w:rPr>
        <w:t xml:space="preserve">laintiff slipped and fell upon stepping on wet and/or slippery substance ie water and/or lemon slices and whether the </w:t>
      </w:r>
      <w:r w:rsidR="0005673B">
        <w:rPr>
          <w:szCs w:val="28"/>
        </w:rPr>
        <w:t>d</w:t>
      </w:r>
      <w:r w:rsidRPr="00033986">
        <w:rPr>
          <w:szCs w:val="28"/>
        </w:rPr>
        <w:t>efendants would have to be liable for the same.</w:t>
      </w:r>
      <w:r w:rsidR="0005673B">
        <w:rPr>
          <w:szCs w:val="28"/>
        </w:rPr>
        <w:t xml:space="preserve"> </w:t>
      </w:r>
      <w:r w:rsidRPr="00033986">
        <w:rPr>
          <w:szCs w:val="28"/>
        </w:rPr>
        <w:t xml:space="preserve"> All these documents were prepared and/or written by laymen. </w:t>
      </w:r>
      <w:r w:rsidR="0005673B">
        <w:rPr>
          <w:szCs w:val="28"/>
        </w:rPr>
        <w:t xml:space="preserve"> </w:t>
      </w:r>
      <w:r w:rsidRPr="00033986">
        <w:rPr>
          <w:szCs w:val="28"/>
        </w:rPr>
        <w:t>It is not uncommon for laymen to use these words to describe an accident without applying a legalistic mind. In any event, these words simply have no bearing on who ought to bear the blame for the Accident.</w:t>
      </w:r>
    </w:p>
    <w:p w14:paraId="21BFE3F0" w14:textId="77777777" w:rsidR="00033986" w:rsidRPr="00033986" w:rsidRDefault="00033986" w:rsidP="00033986">
      <w:pPr>
        <w:tabs>
          <w:tab w:val="clear" w:pos="4320"/>
        </w:tabs>
        <w:spacing w:line="360" w:lineRule="auto"/>
        <w:jc w:val="both"/>
        <w:rPr>
          <w:szCs w:val="28"/>
        </w:rPr>
      </w:pPr>
    </w:p>
    <w:p w14:paraId="599844BA"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Sixth, the </w:t>
      </w:r>
      <w:r w:rsidR="0005673B">
        <w:rPr>
          <w:szCs w:val="28"/>
        </w:rPr>
        <w:t>d</w:t>
      </w:r>
      <w:r w:rsidRPr="00033986">
        <w:rPr>
          <w:szCs w:val="28"/>
        </w:rPr>
        <w:t>efendants also took issue that there was no such staircase known as “staircase no. 1” and the Plaintiff clearly did not know which staircase she fell. Again, this is a red-herring. It matters not that the Plaintiff who had only started working in the Carpark for around a week before the Accident occurred did not know which staircase she fell and/or that the staircases in the Carpark had no formal numbering. The Defendants never took issue as to the location of the Staircase which was identified as the “staircase no. 1” and said to be the scene of the Accident. The same is featured in the Defendants’ contemporaneous records referred to above as well as Form 1 of the EC Proceedings</w:t>
      </w:r>
      <w:r w:rsidRPr="00033986">
        <w:rPr>
          <w:rStyle w:val="FootnoteReference"/>
          <w:szCs w:val="28"/>
        </w:rPr>
        <w:footnoteReference w:id="37"/>
      </w:r>
      <w:r w:rsidRPr="00033986">
        <w:rPr>
          <w:szCs w:val="28"/>
        </w:rPr>
        <w:t xml:space="preserve"> which D1 had not taken issue at </w:t>
      </w:r>
      <w:r w:rsidRPr="00033986">
        <w:rPr>
          <w:szCs w:val="28"/>
        </w:rPr>
        <w:lastRenderedPageBreak/>
        <w:t>the time. Pertinently, even Mr. Wong referred to a “1</w:t>
      </w:r>
      <w:r w:rsidRPr="00033986">
        <w:rPr>
          <w:szCs w:val="28"/>
        </w:rPr>
        <w:t>號梯</w:t>
      </w:r>
      <w:r w:rsidRPr="00033986">
        <w:rPr>
          <w:szCs w:val="28"/>
        </w:rPr>
        <w:t>” in D1’s Incident Report</w:t>
      </w:r>
      <w:r w:rsidRPr="00033986">
        <w:rPr>
          <w:rStyle w:val="FootnoteReference"/>
          <w:szCs w:val="28"/>
        </w:rPr>
        <w:footnoteReference w:id="38"/>
      </w:r>
      <w:r w:rsidRPr="00033986">
        <w:rPr>
          <w:szCs w:val="28"/>
        </w:rPr>
        <w:t>. None of the Defendants’ witnesses was able to explain why Mr. Wong used “1</w:t>
      </w:r>
      <w:r w:rsidRPr="00033986">
        <w:rPr>
          <w:szCs w:val="28"/>
        </w:rPr>
        <w:t>號梯</w:t>
      </w:r>
      <w:r w:rsidRPr="00033986">
        <w:rPr>
          <w:szCs w:val="28"/>
        </w:rPr>
        <w:t xml:space="preserve">” if the same could not identify the Staircase. In fact, at one point during cross-examination, Madam Wong did confirm she would call the staircase next to lift </w:t>
      </w:r>
      <w:r w:rsidRPr="00033986">
        <w:rPr>
          <w:rFonts w:eastAsia="PMingLiU"/>
          <w:szCs w:val="28"/>
        </w:rPr>
        <w:t xml:space="preserve">number 1 as </w:t>
      </w:r>
      <w:r w:rsidRPr="00033986">
        <w:rPr>
          <w:rFonts w:eastAsia="PMingLiU"/>
          <w:szCs w:val="28"/>
        </w:rPr>
        <w:t>一號</w:t>
      </w:r>
      <w:r w:rsidRPr="00033986">
        <w:rPr>
          <w:rFonts w:eastAsia="PMingLiU-ExtB"/>
          <w:szCs w:val="28"/>
        </w:rPr>
        <w:t>𨋢</w:t>
      </w:r>
      <w:r w:rsidRPr="00033986">
        <w:rPr>
          <w:rFonts w:eastAsia="PMingLiU"/>
          <w:szCs w:val="28"/>
        </w:rPr>
        <w:t>樓梯</w:t>
      </w:r>
      <w:r w:rsidRPr="00033986">
        <w:rPr>
          <w:rFonts w:eastAsia="PMingLiU"/>
          <w:szCs w:val="28"/>
        </w:rPr>
        <w:t>/1</w:t>
      </w:r>
      <w:r w:rsidRPr="00033986">
        <w:rPr>
          <w:rFonts w:eastAsia="PMingLiU"/>
          <w:szCs w:val="28"/>
        </w:rPr>
        <w:t>號外面樓梯</w:t>
      </w:r>
      <w:r w:rsidRPr="00033986">
        <w:rPr>
          <w:rFonts w:eastAsia="PMingLiU"/>
          <w:szCs w:val="28"/>
        </w:rPr>
        <w:t>.</w:t>
      </w:r>
    </w:p>
    <w:p w14:paraId="41918BE8" w14:textId="77777777" w:rsidR="00033986" w:rsidRPr="00033986" w:rsidRDefault="00033986" w:rsidP="00033986">
      <w:pPr>
        <w:tabs>
          <w:tab w:val="clear" w:pos="4320"/>
        </w:tabs>
        <w:spacing w:line="360" w:lineRule="auto"/>
        <w:jc w:val="both"/>
        <w:rPr>
          <w:szCs w:val="28"/>
        </w:rPr>
      </w:pPr>
    </w:p>
    <w:p w14:paraId="07B1122F"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Seventh, the above would have been sufficient to determine the first key issue in favour of the Plaintiff. That being the case, the remaining miscellaneous issues taken by the Defendants to suggest the Accident was fabricated or did not otherwise happen are all irrelevant. The same can be briefly dealt with as follows:-</w:t>
      </w:r>
    </w:p>
    <w:p w14:paraId="2F1352D1" w14:textId="77777777" w:rsidR="00033986" w:rsidRPr="00033986" w:rsidRDefault="00033986" w:rsidP="00033986">
      <w:pPr>
        <w:tabs>
          <w:tab w:val="clear" w:pos="4320"/>
        </w:tabs>
        <w:spacing w:line="360" w:lineRule="auto"/>
        <w:jc w:val="both"/>
        <w:rPr>
          <w:szCs w:val="28"/>
        </w:rPr>
      </w:pPr>
    </w:p>
    <w:p w14:paraId="135CE92E" w14:textId="77777777" w:rsidR="00033986" w:rsidRPr="00033986" w:rsidRDefault="00033986" w:rsidP="006F407B">
      <w:pPr>
        <w:pStyle w:val="ListParagraph"/>
        <w:numPr>
          <w:ilvl w:val="0"/>
          <w:numId w:val="8"/>
        </w:numPr>
        <w:tabs>
          <w:tab w:val="clear" w:pos="4320"/>
          <w:tab w:val="left" w:pos="2160"/>
        </w:tabs>
        <w:spacing w:line="360" w:lineRule="auto"/>
        <w:ind w:left="2160" w:hanging="720"/>
        <w:jc w:val="both"/>
        <w:rPr>
          <w:szCs w:val="28"/>
        </w:rPr>
      </w:pPr>
      <w:r w:rsidRPr="00033986">
        <w:rPr>
          <w:szCs w:val="28"/>
        </w:rPr>
        <w:t xml:space="preserve">As referred to above, it is untrue that the </w:t>
      </w:r>
      <w:r w:rsidR="00404725">
        <w:rPr>
          <w:szCs w:val="28"/>
        </w:rPr>
        <w:t>p</w:t>
      </w:r>
      <w:r w:rsidRPr="00033986">
        <w:rPr>
          <w:szCs w:val="28"/>
        </w:rPr>
        <w:t xml:space="preserve">laintiff’s case was a bare assertion not supported by a single piece of contemporaneous supporting evidence. </w:t>
      </w:r>
      <w:r w:rsidR="00404725">
        <w:rPr>
          <w:szCs w:val="28"/>
        </w:rPr>
        <w:t xml:space="preserve"> </w:t>
      </w:r>
      <w:r w:rsidRPr="00033986">
        <w:rPr>
          <w:szCs w:val="28"/>
        </w:rPr>
        <w:t xml:space="preserve">Quite the contrary, it is supported by and is consistent with the </w:t>
      </w:r>
      <w:r w:rsidR="00404725">
        <w:rPr>
          <w:szCs w:val="28"/>
        </w:rPr>
        <w:t>d</w:t>
      </w:r>
      <w:r w:rsidRPr="00033986">
        <w:rPr>
          <w:szCs w:val="28"/>
        </w:rPr>
        <w:t xml:space="preserve">efendants’ own records. </w:t>
      </w:r>
    </w:p>
    <w:p w14:paraId="6E6A4799" w14:textId="77777777" w:rsidR="00033986" w:rsidRPr="00033986" w:rsidRDefault="00033986" w:rsidP="00404725">
      <w:pPr>
        <w:tabs>
          <w:tab w:val="clear" w:pos="4320"/>
          <w:tab w:val="left" w:pos="2160"/>
        </w:tabs>
        <w:spacing w:line="360" w:lineRule="auto"/>
        <w:ind w:left="2160" w:hanging="720"/>
        <w:jc w:val="both"/>
        <w:rPr>
          <w:szCs w:val="28"/>
        </w:rPr>
      </w:pPr>
    </w:p>
    <w:p w14:paraId="7E49BA21" w14:textId="77777777" w:rsidR="00033986" w:rsidRPr="00033986" w:rsidRDefault="00033986" w:rsidP="006F407B">
      <w:pPr>
        <w:pStyle w:val="ListParagraph"/>
        <w:numPr>
          <w:ilvl w:val="0"/>
          <w:numId w:val="8"/>
        </w:numPr>
        <w:tabs>
          <w:tab w:val="clear" w:pos="4320"/>
          <w:tab w:val="left" w:pos="2160"/>
        </w:tabs>
        <w:spacing w:line="360" w:lineRule="auto"/>
        <w:ind w:left="2160" w:hanging="720"/>
        <w:jc w:val="both"/>
        <w:rPr>
          <w:szCs w:val="28"/>
        </w:rPr>
      </w:pPr>
      <w:r w:rsidRPr="00033986">
        <w:rPr>
          <w:szCs w:val="28"/>
        </w:rPr>
        <w:t xml:space="preserve">I do not agree it can be suggested that the </w:t>
      </w:r>
      <w:r w:rsidR="00404725">
        <w:rPr>
          <w:szCs w:val="28"/>
        </w:rPr>
        <w:t>p</w:t>
      </w:r>
      <w:r w:rsidRPr="00033986">
        <w:rPr>
          <w:szCs w:val="28"/>
        </w:rPr>
        <w:t>laintiff was not able to recall the circumstances of the Accident by making a fleeting reference to a record made in English in the Physiotherapy Progress Note on 28 November 2018</w:t>
      </w:r>
      <w:r w:rsidRPr="00033986">
        <w:rPr>
          <w:rStyle w:val="FootnoteReference"/>
          <w:szCs w:val="28"/>
        </w:rPr>
        <w:footnoteReference w:id="39"/>
      </w:r>
      <w:r w:rsidRPr="00033986">
        <w:rPr>
          <w:szCs w:val="28"/>
        </w:rPr>
        <w:t xml:space="preserve"> stating “also complained Rt wrist pain, claimed happened at the same time of IOD (ie injury on duty). Cannot remember the exact mechanism of injury”. </w:t>
      </w:r>
      <w:r w:rsidR="00404725">
        <w:rPr>
          <w:szCs w:val="28"/>
        </w:rPr>
        <w:t xml:space="preserve"> </w:t>
      </w:r>
      <w:r w:rsidRPr="00033986">
        <w:rPr>
          <w:szCs w:val="28"/>
        </w:rPr>
        <w:t xml:space="preserve">The </w:t>
      </w:r>
      <w:r w:rsidRPr="00033986">
        <w:rPr>
          <w:szCs w:val="28"/>
        </w:rPr>
        <w:lastRenderedPageBreak/>
        <w:t xml:space="preserve">record was prepared by the physiotherapist. </w:t>
      </w:r>
      <w:r w:rsidR="00404725">
        <w:rPr>
          <w:szCs w:val="28"/>
        </w:rPr>
        <w:t xml:space="preserve"> </w:t>
      </w:r>
      <w:r w:rsidRPr="00033986">
        <w:rPr>
          <w:szCs w:val="28"/>
        </w:rPr>
        <w:t xml:space="preserve">Against that particular context, it is not unusual that a layman with the </w:t>
      </w:r>
      <w:r w:rsidR="00404725">
        <w:rPr>
          <w:szCs w:val="28"/>
        </w:rPr>
        <w:t>p</w:t>
      </w:r>
      <w:r w:rsidRPr="00033986">
        <w:rPr>
          <w:szCs w:val="28"/>
        </w:rPr>
        <w:t xml:space="preserve">laintiff’s background could not speak to the so-called mechanism of injury of the right wrist. </w:t>
      </w:r>
      <w:r w:rsidR="00404725">
        <w:rPr>
          <w:szCs w:val="28"/>
        </w:rPr>
        <w:t xml:space="preserve"> </w:t>
      </w:r>
      <w:r w:rsidRPr="00033986">
        <w:rPr>
          <w:szCs w:val="28"/>
        </w:rPr>
        <w:t xml:space="preserve">This cannot in any way be taken to mean the </w:t>
      </w:r>
      <w:r w:rsidR="00404725">
        <w:rPr>
          <w:szCs w:val="28"/>
        </w:rPr>
        <w:t>p</w:t>
      </w:r>
      <w:r w:rsidRPr="00033986">
        <w:rPr>
          <w:szCs w:val="28"/>
        </w:rPr>
        <w:t>laintiff could not recall the circumstances of the Accident.</w:t>
      </w:r>
    </w:p>
    <w:p w14:paraId="6D768670" w14:textId="77777777" w:rsidR="00033986" w:rsidRPr="00033986" w:rsidRDefault="00033986" w:rsidP="00404725">
      <w:pPr>
        <w:tabs>
          <w:tab w:val="clear" w:pos="4320"/>
          <w:tab w:val="left" w:pos="2160"/>
        </w:tabs>
        <w:spacing w:line="360" w:lineRule="auto"/>
        <w:ind w:left="2160" w:hanging="720"/>
        <w:jc w:val="both"/>
        <w:rPr>
          <w:szCs w:val="28"/>
        </w:rPr>
      </w:pPr>
    </w:p>
    <w:p w14:paraId="771059AA" w14:textId="77777777" w:rsidR="00033986" w:rsidRPr="00033986" w:rsidRDefault="00033986" w:rsidP="006F407B">
      <w:pPr>
        <w:pStyle w:val="ListParagraph"/>
        <w:numPr>
          <w:ilvl w:val="0"/>
          <w:numId w:val="8"/>
        </w:numPr>
        <w:tabs>
          <w:tab w:val="clear" w:pos="4320"/>
          <w:tab w:val="left" w:pos="2160"/>
        </w:tabs>
        <w:spacing w:line="360" w:lineRule="auto"/>
        <w:ind w:left="2160" w:hanging="720"/>
        <w:jc w:val="both"/>
        <w:rPr>
          <w:szCs w:val="28"/>
        </w:rPr>
      </w:pPr>
      <w:r w:rsidRPr="00033986">
        <w:rPr>
          <w:szCs w:val="28"/>
        </w:rPr>
        <w:t xml:space="preserve">In view of the aforesaid evidence, the fact that the </w:t>
      </w:r>
      <w:r w:rsidR="00404725">
        <w:rPr>
          <w:szCs w:val="28"/>
        </w:rPr>
        <w:t>p</w:t>
      </w:r>
      <w:r w:rsidRPr="00033986">
        <w:rPr>
          <w:szCs w:val="28"/>
        </w:rPr>
        <w:t xml:space="preserve">laintiff had not immediately reported the Accident to D1 or her supervisor ie Madam Wong and/or sought medical treatment and continued to work until the end of her shift do not detract from the case that the Accident did in fact occur. </w:t>
      </w:r>
      <w:r w:rsidR="00404725">
        <w:rPr>
          <w:szCs w:val="28"/>
        </w:rPr>
        <w:t xml:space="preserve"> </w:t>
      </w:r>
      <w:r w:rsidRPr="00033986">
        <w:rPr>
          <w:szCs w:val="28"/>
        </w:rPr>
        <w:t xml:space="preserve">She did seek medical treatment after work on 12 November 2016 and her case was consistent with the contemporaneous medical diagnosis and other records including that of the </w:t>
      </w:r>
      <w:r w:rsidR="00404725">
        <w:rPr>
          <w:szCs w:val="28"/>
        </w:rPr>
        <w:t>d</w:t>
      </w:r>
      <w:r w:rsidRPr="00033986">
        <w:rPr>
          <w:szCs w:val="28"/>
        </w:rPr>
        <w:t xml:space="preserve">efendants’ documents. </w:t>
      </w:r>
      <w:r w:rsidR="00404725">
        <w:rPr>
          <w:szCs w:val="28"/>
        </w:rPr>
        <w:t xml:space="preserve"> </w:t>
      </w:r>
      <w:r w:rsidRPr="00033986">
        <w:rPr>
          <w:szCs w:val="28"/>
        </w:rPr>
        <w:t xml:space="preserve">The fact that it was only recorded “sprain” as opposed to wound or bruises cannot be seriously taken as a suggestion that the Accident did not occur or did not occur in the way described by the </w:t>
      </w:r>
      <w:r w:rsidR="00404725">
        <w:rPr>
          <w:szCs w:val="28"/>
        </w:rPr>
        <w:t>p</w:t>
      </w:r>
      <w:r w:rsidRPr="00033986">
        <w:rPr>
          <w:szCs w:val="28"/>
        </w:rPr>
        <w:t>laintiff.</w:t>
      </w:r>
    </w:p>
    <w:p w14:paraId="494CCD03" w14:textId="77777777" w:rsidR="00033986" w:rsidRPr="00033986" w:rsidRDefault="00033986" w:rsidP="00404725">
      <w:pPr>
        <w:tabs>
          <w:tab w:val="clear" w:pos="4320"/>
          <w:tab w:val="left" w:pos="2160"/>
        </w:tabs>
        <w:spacing w:line="360" w:lineRule="auto"/>
        <w:ind w:left="2160" w:hanging="720"/>
        <w:jc w:val="both"/>
        <w:rPr>
          <w:szCs w:val="28"/>
        </w:rPr>
      </w:pPr>
    </w:p>
    <w:p w14:paraId="2261C87B" w14:textId="77777777" w:rsidR="00033986" w:rsidRPr="00033986" w:rsidRDefault="00033986" w:rsidP="006F407B">
      <w:pPr>
        <w:pStyle w:val="ListParagraph"/>
        <w:numPr>
          <w:ilvl w:val="0"/>
          <w:numId w:val="8"/>
        </w:numPr>
        <w:tabs>
          <w:tab w:val="clear" w:pos="4320"/>
          <w:tab w:val="left" w:pos="2160"/>
        </w:tabs>
        <w:spacing w:line="360" w:lineRule="auto"/>
        <w:ind w:left="2160" w:hanging="720"/>
        <w:jc w:val="both"/>
        <w:rPr>
          <w:szCs w:val="28"/>
        </w:rPr>
      </w:pPr>
      <w:r w:rsidRPr="00033986">
        <w:rPr>
          <w:szCs w:val="28"/>
        </w:rPr>
        <w:t xml:space="preserve">The other so-called inconsistencies relied upon by the </w:t>
      </w:r>
      <w:r w:rsidR="00404725">
        <w:rPr>
          <w:szCs w:val="28"/>
        </w:rPr>
        <w:t>d</w:t>
      </w:r>
      <w:r w:rsidRPr="00033986">
        <w:rPr>
          <w:szCs w:val="28"/>
        </w:rPr>
        <w:t xml:space="preserve">efendants’ counsel had already been explained by the </w:t>
      </w:r>
      <w:r w:rsidR="00404725">
        <w:rPr>
          <w:szCs w:val="28"/>
        </w:rPr>
        <w:t>p</w:t>
      </w:r>
      <w:r w:rsidRPr="00033986">
        <w:rPr>
          <w:szCs w:val="28"/>
        </w:rPr>
        <w:t xml:space="preserve">laintiff. </w:t>
      </w:r>
      <w:r w:rsidR="00404725">
        <w:rPr>
          <w:szCs w:val="28"/>
        </w:rPr>
        <w:t xml:space="preserve"> </w:t>
      </w:r>
      <w:r w:rsidRPr="00033986">
        <w:rPr>
          <w:szCs w:val="28"/>
        </w:rPr>
        <w:t xml:space="preserve">The fact that Dr Li of STH recorded the </w:t>
      </w:r>
      <w:r w:rsidR="00404725">
        <w:rPr>
          <w:szCs w:val="28"/>
        </w:rPr>
        <w:t>p</w:t>
      </w:r>
      <w:r w:rsidRPr="00033986">
        <w:rPr>
          <w:szCs w:val="28"/>
        </w:rPr>
        <w:t>laintiff suffered an injury on 11 November 2016 (as opposed to the early hours of 12 November 2016</w:t>
      </w:r>
      <w:r w:rsidRPr="00033986">
        <w:rPr>
          <w:rStyle w:val="FootnoteReference"/>
          <w:szCs w:val="28"/>
        </w:rPr>
        <w:footnoteReference w:id="40"/>
      </w:r>
      <w:r w:rsidRPr="00033986">
        <w:rPr>
          <w:szCs w:val="28"/>
        </w:rPr>
        <w:t xml:space="preserve"> is </w:t>
      </w:r>
      <w:r w:rsidRPr="00033986">
        <w:rPr>
          <w:szCs w:val="28"/>
        </w:rPr>
        <w:lastRenderedPageBreak/>
        <w:t xml:space="preserve">understandable. </w:t>
      </w:r>
      <w:r w:rsidR="00404725">
        <w:rPr>
          <w:szCs w:val="28"/>
        </w:rPr>
        <w:t xml:space="preserve"> </w:t>
      </w:r>
      <w:r w:rsidRPr="00033986">
        <w:rPr>
          <w:szCs w:val="28"/>
        </w:rPr>
        <w:t>It is not uncommon for laymen to refer early hours of the same day as “last night (</w:t>
      </w:r>
      <w:r w:rsidRPr="00404725">
        <w:rPr>
          <w:rFonts w:ascii="PMingLiU" w:eastAsia="PMingLiU" w:hAnsi="PMingLiU"/>
          <w:szCs w:val="28"/>
        </w:rPr>
        <w:t>尋晚</w:t>
      </w:r>
      <w:r w:rsidRPr="00033986">
        <w:rPr>
          <w:szCs w:val="28"/>
        </w:rPr>
        <w:t xml:space="preserve">)”. </w:t>
      </w:r>
      <w:r w:rsidR="00404725">
        <w:rPr>
          <w:szCs w:val="28"/>
        </w:rPr>
        <w:t xml:space="preserve"> </w:t>
      </w:r>
      <w:r w:rsidRPr="00033986">
        <w:rPr>
          <w:szCs w:val="28"/>
        </w:rPr>
        <w:t>As for the record of Dr Lo of Ngau Tau Kok GOPC ie “complaining of slip and fall injury at stairs on her way to work”</w:t>
      </w:r>
      <w:r w:rsidRPr="00033986">
        <w:rPr>
          <w:rStyle w:val="FootnoteReference"/>
          <w:szCs w:val="28"/>
        </w:rPr>
        <w:footnoteReference w:id="41"/>
      </w:r>
      <w:r w:rsidRPr="00033986">
        <w:rPr>
          <w:szCs w:val="28"/>
        </w:rPr>
        <w:t xml:space="preserve">, the </w:t>
      </w:r>
      <w:r w:rsidR="00404725">
        <w:rPr>
          <w:szCs w:val="28"/>
        </w:rPr>
        <w:t>p</w:t>
      </w:r>
      <w:r w:rsidRPr="00033986">
        <w:rPr>
          <w:szCs w:val="28"/>
        </w:rPr>
        <w:t xml:space="preserve">laintiff’s explanation was that it was most probably due to miscommunication. </w:t>
      </w:r>
      <w:r w:rsidR="00404725">
        <w:rPr>
          <w:szCs w:val="28"/>
        </w:rPr>
        <w:t xml:space="preserve"> </w:t>
      </w:r>
      <w:r w:rsidRPr="00033986">
        <w:rPr>
          <w:szCs w:val="28"/>
        </w:rPr>
        <w:t>She should have said in punti “</w:t>
      </w:r>
      <w:r w:rsidRPr="00404725">
        <w:rPr>
          <w:rFonts w:ascii="PMingLiU" w:eastAsia="PMingLiU" w:hAnsi="PMingLiU"/>
          <w:szCs w:val="28"/>
        </w:rPr>
        <w:t>返工</w:t>
      </w:r>
      <w:r w:rsidR="00404725">
        <w:rPr>
          <w:rFonts w:ascii="PMingLiU" w:eastAsia="PMingLiU" w:hAnsi="PMingLiU" w:hint="eastAsia"/>
          <w:szCs w:val="28"/>
          <w:lang w:eastAsia="zh-HK"/>
        </w:rPr>
        <w:t>嗰</w:t>
      </w:r>
      <w:r w:rsidRPr="00404725">
        <w:rPr>
          <w:rFonts w:ascii="PMingLiU" w:eastAsia="PMingLiU" w:hAnsi="PMingLiU"/>
          <w:szCs w:val="28"/>
        </w:rPr>
        <w:t>時跌親</w:t>
      </w:r>
      <w:r w:rsidRPr="00033986">
        <w:rPr>
          <w:szCs w:val="28"/>
        </w:rPr>
        <w:t xml:space="preserve">” which meant “whilst at work” rather than “on her way to work”. </w:t>
      </w:r>
      <w:r w:rsidR="00A741EC">
        <w:rPr>
          <w:szCs w:val="28"/>
        </w:rPr>
        <w:t xml:space="preserve"> </w:t>
      </w:r>
      <w:r w:rsidRPr="00033986">
        <w:rPr>
          <w:szCs w:val="28"/>
        </w:rPr>
        <w:t xml:space="preserve">Under cross-examination, the </w:t>
      </w:r>
      <w:r w:rsidR="00A741EC">
        <w:rPr>
          <w:szCs w:val="28"/>
        </w:rPr>
        <w:t>p</w:t>
      </w:r>
      <w:r w:rsidRPr="00033986">
        <w:rPr>
          <w:szCs w:val="28"/>
        </w:rPr>
        <w:t xml:space="preserve">laintiff confirmed her explanations. </w:t>
      </w:r>
      <w:r w:rsidR="00A741EC">
        <w:rPr>
          <w:szCs w:val="28"/>
        </w:rPr>
        <w:t xml:space="preserve"> </w:t>
      </w:r>
      <w:r w:rsidRPr="00033986">
        <w:rPr>
          <w:szCs w:val="28"/>
        </w:rPr>
        <w:t>I find such explanations to be reasonable and I accept the same.</w:t>
      </w:r>
    </w:p>
    <w:p w14:paraId="1C54C8BD" w14:textId="77777777" w:rsidR="00033986" w:rsidRPr="00033986" w:rsidRDefault="00033986" w:rsidP="00404725">
      <w:pPr>
        <w:tabs>
          <w:tab w:val="clear" w:pos="4320"/>
          <w:tab w:val="left" w:pos="2160"/>
        </w:tabs>
        <w:spacing w:line="360" w:lineRule="auto"/>
        <w:ind w:left="2160" w:hanging="720"/>
        <w:jc w:val="both"/>
        <w:rPr>
          <w:szCs w:val="28"/>
        </w:rPr>
      </w:pPr>
    </w:p>
    <w:p w14:paraId="7BA5BB05" w14:textId="77777777" w:rsidR="00033986" w:rsidRPr="00033986" w:rsidRDefault="00033986" w:rsidP="006F407B">
      <w:pPr>
        <w:pStyle w:val="ListParagraph"/>
        <w:numPr>
          <w:ilvl w:val="0"/>
          <w:numId w:val="8"/>
        </w:numPr>
        <w:tabs>
          <w:tab w:val="clear" w:pos="4320"/>
          <w:tab w:val="left" w:pos="2160"/>
        </w:tabs>
        <w:spacing w:line="360" w:lineRule="auto"/>
        <w:ind w:left="2160" w:hanging="720"/>
        <w:jc w:val="both"/>
        <w:rPr>
          <w:szCs w:val="28"/>
        </w:rPr>
      </w:pPr>
      <w:r w:rsidRPr="00033986">
        <w:rPr>
          <w:szCs w:val="28"/>
        </w:rPr>
        <w:t xml:space="preserve">Finally, the </w:t>
      </w:r>
      <w:r w:rsidR="00A741EC">
        <w:rPr>
          <w:szCs w:val="28"/>
        </w:rPr>
        <w:t>d</w:t>
      </w:r>
      <w:r w:rsidRPr="00033986">
        <w:rPr>
          <w:szCs w:val="28"/>
        </w:rPr>
        <w:t xml:space="preserve">efendants’ counsel also attempted to run a point that the Accident oddly involved a slip but falling forward whereas slips would usually result in a backward fall injuring back, buttock or head. </w:t>
      </w:r>
      <w:r w:rsidR="00A741EC">
        <w:rPr>
          <w:szCs w:val="28"/>
        </w:rPr>
        <w:t xml:space="preserve"> </w:t>
      </w:r>
      <w:r w:rsidRPr="00033986">
        <w:rPr>
          <w:szCs w:val="28"/>
        </w:rPr>
        <w:t xml:space="preserve">There is no scientific basis nor evidence to suggest that a slip must necessarily result in a backward fall. </w:t>
      </w:r>
    </w:p>
    <w:p w14:paraId="2004B025" w14:textId="77777777" w:rsidR="00033986" w:rsidRPr="00033986" w:rsidRDefault="00033986" w:rsidP="00033986">
      <w:pPr>
        <w:tabs>
          <w:tab w:val="clear" w:pos="4320"/>
        </w:tabs>
        <w:spacing w:line="360" w:lineRule="auto"/>
        <w:jc w:val="both"/>
        <w:rPr>
          <w:szCs w:val="28"/>
        </w:rPr>
      </w:pPr>
    </w:p>
    <w:p w14:paraId="6EE642B2" w14:textId="77777777" w:rsidR="00033986" w:rsidRPr="00A741EC" w:rsidRDefault="00033986" w:rsidP="00A741EC">
      <w:pPr>
        <w:tabs>
          <w:tab w:val="clear" w:pos="4320"/>
        </w:tabs>
        <w:spacing w:line="360" w:lineRule="auto"/>
        <w:jc w:val="both"/>
        <w:rPr>
          <w:bCs/>
          <w:i/>
          <w:szCs w:val="28"/>
          <w:highlight w:val="yellow"/>
          <w:u w:val="single"/>
        </w:rPr>
      </w:pPr>
      <w:r w:rsidRPr="00A741EC">
        <w:rPr>
          <w:bCs/>
          <w:i/>
          <w:szCs w:val="28"/>
          <w:u w:val="single"/>
        </w:rPr>
        <w:t>E</w:t>
      </w:r>
      <w:r w:rsidR="00A741EC">
        <w:rPr>
          <w:bCs/>
          <w:i/>
          <w:szCs w:val="28"/>
          <w:u w:val="single"/>
        </w:rPr>
        <w:t>.</w:t>
      </w:r>
      <w:r w:rsidRPr="00A741EC">
        <w:rPr>
          <w:bCs/>
          <w:i/>
          <w:szCs w:val="28"/>
          <w:u w:val="single"/>
        </w:rPr>
        <w:t>2</w:t>
      </w:r>
      <w:r w:rsidR="00A741EC">
        <w:rPr>
          <w:bCs/>
          <w:i/>
          <w:szCs w:val="28"/>
          <w:u w:val="single"/>
        </w:rPr>
        <w:t xml:space="preserve"> </w:t>
      </w:r>
      <w:r w:rsidRPr="00A741EC">
        <w:rPr>
          <w:bCs/>
          <w:i/>
          <w:szCs w:val="28"/>
          <w:u w:val="single"/>
        </w:rPr>
        <w:t xml:space="preserve">Whether </w:t>
      </w:r>
      <w:r w:rsidR="00A741EC">
        <w:rPr>
          <w:bCs/>
          <w:i/>
          <w:szCs w:val="28"/>
          <w:u w:val="single"/>
        </w:rPr>
        <w:t>t</w:t>
      </w:r>
      <w:r w:rsidRPr="00A741EC">
        <w:rPr>
          <w:bCs/>
          <w:i/>
          <w:szCs w:val="28"/>
          <w:u w:val="single"/>
        </w:rPr>
        <w:t xml:space="preserve">he Slip </w:t>
      </w:r>
      <w:r w:rsidR="00A741EC">
        <w:rPr>
          <w:bCs/>
          <w:i/>
          <w:szCs w:val="28"/>
          <w:u w:val="single"/>
        </w:rPr>
        <w:t>w</w:t>
      </w:r>
      <w:r w:rsidRPr="00A741EC">
        <w:rPr>
          <w:bCs/>
          <w:i/>
          <w:szCs w:val="28"/>
          <w:u w:val="single"/>
        </w:rPr>
        <w:t>as</w:t>
      </w:r>
      <w:r w:rsidR="00A741EC">
        <w:rPr>
          <w:bCs/>
          <w:i/>
          <w:szCs w:val="28"/>
          <w:u w:val="single"/>
        </w:rPr>
        <w:t xml:space="preserve"> c</w:t>
      </w:r>
      <w:r w:rsidRPr="00A741EC">
        <w:rPr>
          <w:bCs/>
          <w:i/>
          <w:szCs w:val="28"/>
          <w:u w:val="single"/>
        </w:rPr>
        <w:t xml:space="preserve">aused by </w:t>
      </w:r>
      <w:r w:rsidR="00A741EC">
        <w:rPr>
          <w:bCs/>
          <w:i/>
          <w:szCs w:val="28"/>
          <w:u w:val="single"/>
        </w:rPr>
        <w:t>t</w:t>
      </w:r>
      <w:r w:rsidRPr="00A741EC">
        <w:rPr>
          <w:bCs/>
          <w:i/>
          <w:szCs w:val="28"/>
          <w:u w:val="single"/>
        </w:rPr>
        <w:t>he Alleged Wet and Slippery Substance</w:t>
      </w:r>
    </w:p>
    <w:p w14:paraId="12999CE7" w14:textId="77777777" w:rsidR="00033986" w:rsidRPr="00033986" w:rsidRDefault="00033986" w:rsidP="00033986">
      <w:pPr>
        <w:tabs>
          <w:tab w:val="clear" w:pos="4320"/>
        </w:tabs>
        <w:spacing w:line="360" w:lineRule="auto"/>
        <w:jc w:val="both"/>
        <w:rPr>
          <w:szCs w:val="28"/>
          <w:highlight w:val="yellow"/>
        </w:rPr>
      </w:pPr>
    </w:p>
    <w:p w14:paraId="2A2515AC"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 however do not accept the </w:t>
      </w:r>
      <w:r w:rsidR="00A741EC">
        <w:rPr>
          <w:szCs w:val="28"/>
        </w:rPr>
        <w:t>p</w:t>
      </w:r>
      <w:r w:rsidRPr="00033986">
        <w:rPr>
          <w:szCs w:val="28"/>
        </w:rPr>
        <w:t xml:space="preserve">laintiff’s belated assertion that she slipped on the lemon slices found on the Staircase. </w:t>
      </w:r>
    </w:p>
    <w:p w14:paraId="6BBD3376" w14:textId="77777777" w:rsidR="00033986" w:rsidRPr="00033986" w:rsidRDefault="00033986" w:rsidP="00033986">
      <w:pPr>
        <w:tabs>
          <w:tab w:val="clear" w:pos="4320"/>
        </w:tabs>
        <w:spacing w:line="360" w:lineRule="auto"/>
        <w:jc w:val="both"/>
        <w:rPr>
          <w:szCs w:val="28"/>
        </w:rPr>
      </w:pPr>
    </w:p>
    <w:p w14:paraId="546C16C0"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lastRenderedPageBreak/>
        <w:t>First, this was never mentioned in her Form 1 in the EC Proceedings</w:t>
      </w:r>
      <w:r w:rsidRPr="00033986">
        <w:rPr>
          <w:rStyle w:val="FootnoteReference"/>
          <w:szCs w:val="28"/>
        </w:rPr>
        <w:footnoteReference w:id="42"/>
      </w:r>
      <w:r w:rsidRPr="00033986">
        <w:rPr>
          <w:szCs w:val="28"/>
        </w:rPr>
        <w:t xml:space="preserve">. </w:t>
      </w:r>
      <w:r w:rsidR="00A741EC">
        <w:rPr>
          <w:szCs w:val="28"/>
        </w:rPr>
        <w:t xml:space="preserve"> </w:t>
      </w:r>
      <w:r w:rsidRPr="00033986">
        <w:rPr>
          <w:szCs w:val="28"/>
        </w:rPr>
        <w:t xml:space="preserve">The presence of lemon slices was only specifically mentioned for the very first time in the </w:t>
      </w:r>
      <w:r w:rsidR="00A741EC">
        <w:rPr>
          <w:szCs w:val="28"/>
        </w:rPr>
        <w:t>p</w:t>
      </w:r>
      <w:r w:rsidRPr="00033986">
        <w:rPr>
          <w:szCs w:val="28"/>
        </w:rPr>
        <w:t xml:space="preserve">laintiff’s witness statement. </w:t>
      </w:r>
      <w:r w:rsidR="00A741EC">
        <w:rPr>
          <w:szCs w:val="28"/>
        </w:rPr>
        <w:t xml:space="preserve"> </w:t>
      </w:r>
      <w:r w:rsidRPr="00033986">
        <w:rPr>
          <w:szCs w:val="28"/>
        </w:rPr>
        <w:t xml:space="preserve">According to the </w:t>
      </w:r>
      <w:r w:rsidR="00A741EC">
        <w:rPr>
          <w:szCs w:val="28"/>
        </w:rPr>
        <w:t>p</w:t>
      </w:r>
      <w:r w:rsidRPr="00033986">
        <w:rPr>
          <w:szCs w:val="28"/>
        </w:rPr>
        <w:t xml:space="preserve">laintiff’s own evidence, she knew the Staircase was usually dirty so she already paid special attention but because the lemon slices were hidden by the riser of the steps, she believed she stepped and slipped on the same because she could not see them. </w:t>
      </w:r>
      <w:r w:rsidR="00A741EC">
        <w:rPr>
          <w:szCs w:val="28"/>
        </w:rPr>
        <w:t xml:space="preserve"> </w:t>
      </w:r>
      <w:r w:rsidRPr="00033986">
        <w:rPr>
          <w:szCs w:val="28"/>
        </w:rPr>
        <w:t xml:space="preserve">If that was the case, the presence of lemon slices must have been something memorable. </w:t>
      </w:r>
      <w:r w:rsidR="00A741EC">
        <w:rPr>
          <w:szCs w:val="28"/>
        </w:rPr>
        <w:t xml:space="preserve"> </w:t>
      </w:r>
      <w:r w:rsidRPr="00033986">
        <w:rPr>
          <w:szCs w:val="28"/>
        </w:rPr>
        <w:t>It does not make sense that this was never mentioned in the Form 1.</w:t>
      </w:r>
    </w:p>
    <w:p w14:paraId="51B19858" w14:textId="77777777" w:rsidR="00033986" w:rsidRPr="00033986" w:rsidRDefault="00033986" w:rsidP="00033986">
      <w:pPr>
        <w:tabs>
          <w:tab w:val="clear" w:pos="4320"/>
        </w:tabs>
        <w:spacing w:line="360" w:lineRule="auto"/>
        <w:jc w:val="both"/>
        <w:rPr>
          <w:szCs w:val="28"/>
        </w:rPr>
      </w:pPr>
    </w:p>
    <w:p w14:paraId="252E4495"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Second, even according to the </w:t>
      </w:r>
      <w:r w:rsidR="00A741EC">
        <w:rPr>
          <w:szCs w:val="28"/>
        </w:rPr>
        <w:t>p</w:t>
      </w:r>
      <w:r w:rsidRPr="00033986">
        <w:rPr>
          <w:szCs w:val="28"/>
        </w:rPr>
        <w:t>laintiff’s witness statement, she was not sure whether she had in fact stepped on the lemon slices or simply the wet surface area (</w:t>
      </w:r>
      <w:r w:rsidRPr="00A741EC">
        <w:rPr>
          <w:rFonts w:ascii="PMingLiU" w:eastAsia="PMingLiU" w:hAnsi="PMingLiU"/>
          <w:szCs w:val="28"/>
        </w:rPr>
        <w:t>我相信我是踩到那些檸檬</w:t>
      </w:r>
      <w:r w:rsidRPr="00A741EC">
        <w:rPr>
          <w:rFonts w:ascii="PMingLiU" w:eastAsia="PMingLiU" w:hAnsi="PMingLiU"/>
          <w:iCs/>
          <w:szCs w:val="28"/>
        </w:rPr>
        <w:t>或</w:t>
      </w:r>
      <w:r w:rsidRPr="00A741EC">
        <w:rPr>
          <w:rStyle w:val="FootnoteReference"/>
          <w:rFonts w:ascii="PMingLiU" w:eastAsia="PMingLiU" w:hAnsi="PMingLiU"/>
          <w:szCs w:val="28"/>
          <w:vertAlign w:val="baseline"/>
        </w:rPr>
        <w:t>濕滑的地方</w:t>
      </w:r>
      <w:r w:rsidRPr="00A741EC">
        <w:rPr>
          <w:rStyle w:val="FootnoteReference"/>
          <w:szCs w:val="28"/>
          <w:vertAlign w:val="baseline"/>
        </w:rPr>
        <w:t>)</w:t>
      </w:r>
      <w:r w:rsidRPr="00A741EC">
        <w:rPr>
          <w:rStyle w:val="FootnoteReference"/>
          <w:szCs w:val="28"/>
        </w:rPr>
        <w:footnoteReference w:id="43"/>
      </w:r>
      <w:r w:rsidRPr="00A741EC">
        <w:rPr>
          <w:szCs w:val="28"/>
        </w:rPr>
        <w:t>.</w:t>
      </w:r>
      <w:r w:rsidRPr="00033986">
        <w:rPr>
          <w:szCs w:val="28"/>
        </w:rPr>
        <w:t xml:space="preserve"> </w:t>
      </w:r>
      <w:r w:rsidR="00A741EC">
        <w:rPr>
          <w:szCs w:val="28"/>
        </w:rPr>
        <w:t xml:space="preserve"> </w:t>
      </w:r>
      <w:r w:rsidRPr="00033986">
        <w:rPr>
          <w:szCs w:val="28"/>
        </w:rPr>
        <w:t>However, she then went on to describe the lemon slices were hidden by the riser of the steps and she could not see them</w:t>
      </w:r>
      <w:r w:rsidRPr="00033986">
        <w:rPr>
          <w:rStyle w:val="FootnoteReference"/>
          <w:szCs w:val="28"/>
        </w:rPr>
        <w:footnoteReference w:id="44"/>
      </w:r>
      <w:r w:rsidRPr="00033986">
        <w:rPr>
          <w:szCs w:val="28"/>
        </w:rPr>
        <w:t xml:space="preserve"> but stepped and slipped on the same. </w:t>
      </w:r>
      <w:r w:rsidR="00A741EC">
        <w:rPr>
          <w:szCs w:val="28"/>
        </w:rPr>
        <w:t xml:space="preserve"> </w:t>
      </w:r>
      <w:r w:rsidRPr="00033986">
        <w:rPr>
          <w:szCs w:val="28"/>
        </w:rPr>
        <w:t xml:space="preserve">Under cross-examination, she purported to give a detailed but convoluted account of how she dealt with the lemon slices immediately after the Accident had occurred. </w:t>
      </w:r>
      <w:r w:rsidR="00A741EC">
        <w:rPr>
          <w:szCs w:val="28"/>
        </w:rPr>
        <w:t xml:space="preserve"> </w:t>
      </w:r>
      <w:r w:rsidRPr="00033986">
        <w:rPr>
          <w:szCs w:val="28"/>
        </w:rPr>
        <w:t xml:space="preserve">I have already explained this part of her evidence was incredible and unreliable. </w:t>
      </w:r>
      <w:r w:rsidR="00A741EC">
        <w:rPr>
          <w:szCs w:val="28"/>
        </w:rPr>
        <w:t xml:space="preserve"> </w:t>
      </w:r>
      <w:r w:rsidRPr="00033986">
        <w:rPr>
          <w:szCs w:val="28"/>
        </w:rPr>
        <w:t>It would appear to me that her oral evidence on how she dealt with the lemon slices was only given in the witness box with a view to bolster her case.</w:t>
      </w:r>
    </w:p>
    <w:p w14:paraId="7B09CF15" w14:textId="77777777" w:rsidR="00033986" w:rsidRPr="00033986" w:rsidRDefault="00033986" w:rsidP="00033986">
      <w:pPr>
        <w:tabs>
          <w:tab w:val="clear" w:pos="4320"/>
        </w:tabs>
        <w:spacing w:line="360" w:lineRule="auto"/>
        <w:jc w:val="both"/>
        <w:rPr>
          <w:szCs w:val="28"/>
        </w:rPr>
      </w:pPr>
    </w:p>
    <w:p w14:paraId="425A595B"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Third, the 5 photographs claimed to be taken in the Carpark in 2018 including the one which purported to show a slice of lemon</w:t>
      </w:r>
      <w:r w:rsidRPr="00033986">
        <w:rPr>
          <w:rStyle w:val="FootnoteReference"/>
          <w:szCs w:val="28"/>
        </w:rPr>
        <w:footnoteReference w:id="45"/>
      </w:r>
      <w:r w:rsidRPr="00033986">
        <w:rPr>
          <w:szCs w:val="28"/>
        </w:rPr>
        <w:t xml:space="preserve"> did not assist the </w:t>
      </w:r>
      <w:r w:rsidR="00A741EC">
        <w:rPr>
          <w:szCs w:val="28"/>
        </w:rPr>
        <w:t>p</w:t>
      </w:r>
      <w:r w:rsidRPr="00033986">
        <w:rPr>
          <w:szCs w:val="28"/>
        </w:rPr>
        <w:t xml:space="preserve">laintiff in this respect. </w:t>
      </w:r>
      <w:r w:rsidR="00A741EC">
        <w:rPr>
          <w:szCs w:val="28"/>
        </w:rPr>
        <w:t xml:space="preserve"> </w:t>
      </w:r>
      <w:r w:rsidRPr="00033986">
        <w:rPr>
          <w:szCs w:val="28"/>
        </w:rPr>
        <w:t xml:space="preserve">The same could not be relied upon </w:t>
      </w:r>
      <w:r w:rsidRPr="00033986">
        <w:rPr>
          <w:szCs w:val="28"/>
        </w:rPr>
        <w:lastRenderedPageBreak/>
        <w:t xml:space="preserve">to support the </w:t>
      </w:r>
      <w:r w:rsidR="00A741EC">
        <w:rPr>
          <w:szCs w:val="28"/>
        </w:rPr>
        <w:t>p</w:t>
      </w:r>
      <w:r w:rsidRPr="00033986">
        <w:rPr>
          <w:szCs w:val="28"/>
        </w:rPr>
        <w:t>laintiff’s case that there were lemon slices present on the Staircase at the time of the Accident back in 2016.</w:t>
      </w:r>
    </w:p>
    <w:p w14:paraId="1F22D44C" w14:textId="77777777" w:rsidR="00033986" w:rsidRPr="00033986" w:rsidRDefault="00033986" w:rsidP="00033986">
      <w:pPr>
        <w:tabs>
          <w:tab w:val="clear" w:pos="4320"/>
        </w:tabs>
        <w:spacing w:line="360" w:lineRule="auto"/>
        <w:jc w:val="both"/>
        <w:rPr>
          <w:szCs w:val="28"/>
        </w:rPr>
      </w:pPr>
    </w:p>
    <w:p w14:paraId="16373217"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Although I do not accept the </w:t>
      </w:r>
      <w:r w:rsidR="00A741EC">
        <w:rPr>
          <w:szCs w:val="28"/>
        </w:rPr>
        <w:t>p</w:t>
      </w:r>
      <w:r w:rsidRPr="00033986">
        <w:rPr>
          <w:szCs w:val="28"/>
        </w:rPr>
        <w:t xml:space="preserve">laintiff’s assertion that she stepped on the lemon slices and slipped, it does not mean the Accident did not happen for reasons set out in </w:t>
      </w:r>
      <w:r w:rsidRPr="00033986">
        <w:rPr>
          <w:bCs/>
          <w:szCs w:val="28"/>
          <w:u w:val="single"/>
        </w:rPr>
        <w:t>Section E1</w:t>
      </w:r>
      <w:r w:rsidRPr="00033986">
        <w:rPr>
          <w:szCs w:val="28"/>
        </w:rPr>
        <w:t xml:space="preserve"> above.  </w:t>
      </w:r>
    </w:p>
    <w:p w14:paraId="5E8964F6" w14:textId="77777777" w:rsidR="00033986" w:rsidRPr="00033986" w:rsidRDefault="00033986" w:rsidP="00033986">
      <w:pPr>
        <w:tabs>
          <w:tab w:val="clear" w:pos="4320"/>
        </w:tabs>
        <w:spacing w:line="360" w:lineRule="auto"/>
        <w:jc w:val="both"/>
        <w:rPr>
          <w:szCs w:val="28"/>
        </w:rPr>
      </w:pPr>
    </w:p>
    <w:p w14:paraId="57F30B94"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Further, having considered the available evidence, I am satisfied that on a balance of probabilities, the slip was caused by wet and slippery substance, namely water. </w:t>
      </w:r>
    </w:p>
    <w:p w14:paraId="22102148" w14:textId="77777777" w:rsidR="00033986" w:rsidRPr="00033986" w:rsidRDefault="00033986" w:rsidP="00033986">
      <w:pPr>
        <w:tabs>
          <w:tab w:val="clear" w:pos="4320"/>
        </w:tabs>
        <w:spacing w:line="360" w:lineRule="auto"/>
        <w:jc w:val="both"/>
        <w:rPr>
          <w:szCs w:val="28"/>
        </w:rPr>
      </w:pPr>
    </w:p>
    <w:p w14:paraId="5FD98BF0"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Indeed, the same has been specifically mentioned in the Form 1 in the EC Proceedings</w:t>
      </w:r>
      <w:r w:rsidRPr="00033986">
        <w:rPr>
          <w:rStyle w:val="FootnoteReference"/>
          <w:szCs w:val="28"/>
        </w:rPr>
        <w:footnoteReference w:id="46"/>
      </w:r>
      <w:r w:rsidRPr="00033986">
        <w:rPr>
          <w:szCs w:val="28"/>
        </w:rPr>
        <w:t xml:space="preserve"> and is consistent with (and in fact included in) a plea of “stepped on something wet and slippery”</w:t>
      </w:r>
      <w:r w:rsidRPr="00033986">
        <w:rPr>
          <w:rStyle w:val="FootnoteReference"/>
          <w:szCs w:val="28"/>
        </w:rPr>
        <w:footnoteReference w:id="47"/>
      </w:r>
      <w:r w:rsidRPr="00033986">
        <w:rPr>
          <w:szCs w:val="28"/>
        </w:rPr>
        <w:t xml:space="preserve">. </w:t>
      </w:r>
      <w:r w:rsidR="0063043A">
        <w:rPr>
          <w:szCs w:val="28"/>
        </w:rPr>
        <w:t xml:space="preserve"> </w:t>
      </w:r>
      <w:r w:rsidRPr="00033986">
        <w:rPr>
          <w:szCs w:val="28"/>
        </w:rPr>
        <w:t xml:space="preserve">The </w:t>
      </w:r>
      <w:r w:rsidR="0063043A">
        <w:rPr>
          <w:szCs w:val="28"/>
        </w:rPr>
        <w:t>d</w:t>
      </w:r>
      <w:r w:rsidRPr="00033986">
        <w:rPr>
          <w:szCs w:val="28"/>
        </w:rPr>
        <w:t>efendants also had sufficient opportunity to defend the claim on this basis.</w:t>
      </w:r>
    </w:p>
    <w:p w14:paraId="37DA6CA6" w14:textId="77777777" w:rsidR="00033986" w:rsidRPr="00033986" w:rsidRDefault="00033986" w:rsidP="00033986">
      <w:pPr>
        <w:tabs>
          <w:tab w:val="clear" w:pos="4320"/>
        </w:tabs>
        <w:spacing w:line="360" w:lineRule="auto"/>
        <w:jc w:val="both"/>
        <w:rPr>
          <w:szCs w:val="28"/>
        </w:rPr>
      </w:pPr>
    </w:p>
    <w:p w14:paraId="5186FCD0"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In this respect, I agree with the </w:t>
      </w:r>
      <w:r w:rsidR="0063043A">
        <w:rPr>
          <w:szCs w:val="28"/>
        </w:rPr>
        <w:t>p</w:t>
      </w:r>
      <w:r w:rsidRPr="00033986">
        <w:rPr>
          <w:szCs w:val="28"/>
        </w:rPr>
        <w:t xml:space="preserve">laintiff’s counsel that water could have caused a person to slip and fall. </w:t>
      </w:r>
      <w:r w:rsidR="0063043A">
        <w:rPr>
          <w:szCs w:val="28"/>
        </w:rPr>
        <w:t xml:space="preserve"> </w:t>
      </w:r>
      <w:r w:rsidRPr="00033986">
        <w:rPr>
          <w:szCs w:val="28"/>
        </w:rPr>
        <w:t xml:space="preserve">I do not accept the </w:t>
      </w:r>
      <w:r w:rsidR="0063043A">
        <w:rPr>
          <w:szCs w:val="28"/>
        </w:rPr>
        <w:t>d</w:t>
      </w:r>
      <w:r w:rsidRPr="00033986">
        <w:rPr>
          <w:szCs w:val="28"/>
        </w:rPr>
        <w:t xml:space="preserve">efendant counsel’s suggestion put to the </w:t>
      </w:r>
      <w:r w:rsidR="0063043A">
        <w:rPr>
          <w:szCs w:val="28"/>
        </w:rPr>
        <w:t>p</w:t>
      </w:r>
      <w:r w:rsidRPr="00033986">
        <w:rPr>
          <w:szCs w:val="28"/>
        </w:rPr>
        <w:t xml:space="preserve">laintiff that if there was only water on the stairs, the same would not be slippery because the staircase was made of concrete. </w:t>
      </w:r>
      <w:r w:rsidR="0063043A">
        <w:rPr>
          <w:szCs w:val="28"/>
        </w:rPr>
        <w:t xml:space="preserve"> </w:t>
      </w:r>
      <w:r w:rsidRPr="00033986">
        <w:rPr>
          <w:szCs w:val="28"/>
        </w:rPr>
        <w:t xml:space="preserve">In fact, the </w:t>
      </w:r>
      <w:r w:rsidR="0063043A">
        <w:rPr>
          <w:szCs w:val="28"/>
        </w:rPr>
        <w:t>p</w:t>
      </w:r>
      <w:r w:rsidRPr="00033986">
        <w:rPr>
          <w:szCs w:val="28"/>
        </w:rPr>
        <w:t xml:space="preserve">laintiff was adamant that she slipped and saw the floor was wet. </w:t>
      </w:r>
      <w:r w:rsidR="0063043A">
        <w:rPr>
          <w:szCs w:val="28"/>
        </w:rPr>
        <w:t xml:space="preserve"> </w:t>
      </w:r>
      <w:r w:rsidRPr="00033986">
        <w:rPr>
          <w:szCs w:val="28"/>
        </w:rPr>
        <w:t xml:space="preserve">This part of her evidence was consistent and remained unshaken. </w:t>
      </w:r>
      <w:r w:rsidR="0063043A">
        <w:rPr>
          <w:szCs w:val="28"/>
        </w:rPr>
        <w:t xml:space="preserve"> </w:t>
      </w:r>
      <w:r w:rsidRPr="00033986">
        <w:rPr>
          <w:szCs w:val="28"/>
        </w:rPr>
        <w:t xml:space="preserve">I have therefore accepted the same. </w:t>
      </w:r>
    </w:p>
    <w:p w14:paraId="429D8F9A" w14:textId="77777777" w:rsidR="00033986" w:rsidRPr="00033986" w:rsidRDefault="00033986" w:rsidP="00033986">
      <w:pPr>
        <w:tabs>
          <w:tab w:val="clear" w:pos="4320"/>
        </w:tabs>
        <w:spacing w:line="360" w:lineRule="auto"/>
        <w:jc w:val="both"/>
        <w:rPr>
          <w:szCs w:val="28"/>
        </w:rPr>
      </w:pPr>
    </w:p>
    <w:p w14:paraId="319AF132"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 have already dealt with the </w:t>
      </w:r>
      <w:r w:rsidR="0063043A">
        <w:rPr>
          <w:szCs w:val="28"/>
        </w:rPr>
        <w:t>d</w:t>
      </w:r>
      <w:r w:rsidRPr="00033986">
        <w:rPr>
          <w:szCs w:val="28"/>
        </w:rPr>
        <w:t>efendants’ submissions and challenge relying on the words “</w:t>
      </w:r>
      <w:r w:rsidRPr="0063043A">
        <w:rPr>
          <w:rFonts w:ascii="PMingLiU" w:eastAsia="PMingLiU" w:hAnsi="PMingLiU"/>
          <w:szCs w:val="28"/>
        </w:rPr>
        <w:t>不小心跌倒</w:t>
      </w:r>
      <w:r w:rsidRPr="00033986">
        <w:rPr>
          <w:szCs w:val="28"/>
        </w:rPr>
        <w:t xml:space="preserve">” in the Handwritten Note, the </w:t>
      </w:r>
      <w:r w:rsidRPr="00033986">
        <w:rPr>
          <w:szCs w:val="28"/>
        </w:rPr>
        <w:lastRenderedPageBreak/>
        <w:t>Link Incident Report and</w:t>
      </w:r>
      <w:r w:rsidRPr="0063043A">
        <w:rPr>
          <w:rFonts w:ascii="PMingLiU" w:eastAsia="PMingLiU" w:hAnsi="PMingLiU"/>
          <w:szCs w:val="28"/>
        </w:rPr>
        <w:t>跟進事項、事件簿</w:t>
      </w:r>
      <w:r w:rsidRPr="00033986">
        <w:rPr>
          <w:szCs w:val="28"/>
        </w:rPr>
        <w:t xml:space="preserve">. </w:t>
      </w:r>
      <w:r w:rsidR="0063043A">
        <w:rPr>
          <w:szCs w:val="28"/>
        </w:rPr>
        <w:t xml:space="preserve"> </w:t>
      </w:r>
      <w:r w:rsidRPr="00033986">
        <w:rPr>
          <w:szCs w:val="28"/>
        </w:rPr>
        <w:t xml:space="preserve">These use of these words </w:t>
      </w:r>
      <w:r w:rsidRPr="00033986">
        <w:rPr>
          <w:i/>
          <w:iCs/>
          <w:szCs w:val="28"/>
        </w:rPr>
        <w:t>per se</w:t>
      </w:r>
      <w:r w:rsidRPr="00033986">
        <w:rPr>
          <w:szCs w:val="28"/>
        </w:rPr>
        <w:t xml:space="preserve"> has no relevance and materiality and would not necessarily shed light on the cause of the slip and fall. </w:t>
      </w:r>
    </w:p>
    <w:p w14:paraId="2023D45F" w14:textId="77777777" w:rsidR="00033986" w:rsidRPr="00033986" w:rsidRDefault="00033986" w:rsidP="00033986">
      <w:pPr>
        <w:tabs>
          <w:tab w:val="clear" w:pos="4320"/>
        </w:tabs>
        <w:spacing w:line="360" w:lineRule="auto"/>
        <w:jc w:val="both"/>
        <w:rPr>
          <w:szCs w:val="28"/>
        </w:rPr>
      </w:pPr>
    </w:p>
    <w:p w14:paraId="199705C0" w14:textId="77777777" w:rsidR="00033986" w:rsidRPr="0063043A" w:rsidRDefault="00033986" w:rsidP="0063043A">
      <w:pPr>
        <w:pStyle w:val="ListParagraph"/>
        <w:tabs>
          <w:tab w:val="clear" w:pos="4320"/>
        </w:tabs>
        <w:spacing w:line="360" w:lineRule="auto"/>
        <w:ind w:left="0"/>
        <w:jc w:val="both"/>
        <w:rPr>
          <w:bCs/>
          <w:i/>
          <w:szCs w:val="28"/>
          <w:u w:val="single"/>
        </w:rPr>
      </w:pPr>
      <w:r w:rsidRPr="0063043A">
        <w:rPr>
          <w:bCs/>
          <w:i/>
          <w:szCs w:val="28"/>
          <w:u w:val="single"/>
        </w:rPr>
        <w:t>E</w:t>
      </w:r>
      <w:r w:rsidR="0063043A">
        <w:rPr>
          <w:bCs/>
          <w:i/>
          <w:szCs w:val="28"/>
          <w:u w:val="single"/>
        </w:rPr>
        <w:t>.</w:t>
      </w:r>
      <w:r w:rsidRPr="0063043A">
        <w:rPr>
          <w:bCs/>
          <w:i/>
          <w:szCs w:val="28"/>
          <w:u w:val="single"/>
        </w:rPr>
        <w:t>3</w:t>
      </w:r>
      <w:r w:rsidR="0063043A">
        <w:rPr>
          <w:bCs/>
          <w:i/>
          <w:szCs w:val="28"/>
          <w:u w:val="single"/>
        </w:rPr>
        <w:t xml:space="preserve"> </w:t>
      </w:r>
      <w:r w:rsidRPr="0063043A">
        <w:rPr>
          <w:bCs/>
          <w:i/>
          <w:szCs w:val="28"/>
          <w:u w:val="single"/>
        </w:rPr>
        <w:t xml:space="preserve">Whether </w:t>
      </w:r>
      <w:r w:rsidR="0063043A">
        <w:rPr>
          <w:bCs/>
          <w:i/>
          <w:szCs w:val="28"/>
          <w:u w:val="single"/>
        </w:rPr>
        <w:t>t</w:t>
      </w:r>
      <w:r w:rsidRPr="0063043A">
        <w:rPr>
          <w:bCs/>
          <w:i/>
          <w:szCs w:val="28"/>
          <w:u w:val="single"/>
        </w:rPr>
        <w:t>h</w:t>
      </w:r>
      <w:r w:rsidR="0063043A">
        <w:rPr>
          <w:bCs/>
          <w:i/>
          <w:szCs w:val="28"/>
          <w:u w:val="single"/>
        </w:rPr>
        <w:t>e d</w:t>
      </w:r>
      <w:r w:rsidRPr="0063043A">
        <w:rPr>
          <w:bCs/>
          <w:i/>
          <w:szCs w:val="28"/>
          <w:u w:val="single"/>
        </w:rPr>
        <w:t xml:space="preserve">efendants </w:t>
      </w:r>
      <w:r w:rsidR="0063043A">
        <w:rPr>
          <w:bCs/>
          <w:i/>
          <w:szCs w:val="28"/>
          <w:u w:val="single"/>
        </w:rPr>
        <w:t>w</w:t>
      </w:r>
      <w:r w:rsidRPr="0063043A">
        <w:rPr>
          <w:bCs/>
          <w:i/>
          <w:szCs w:val="28"/>
          <w:u w:val="single"/>
        </w:rPr>
        <w:t xml:space="preserve">ere </w:t>
      </w:r>
      <w:r w:rsidR="0063043A">
        <w:rPr>
          <w:bCs/>
          <w:i/>
          <w:szCs w:val="28"/>
          <w:u w:val="single"/>
        </w:rPr>
        <w:t>l</w:t>
      </w:r>
      <w:r w:rsidRPr="0063043A">
        <w:rPr>
          <w:bCs/>
          <w:i/>
          <w:szCs w:val="28"/>
          <w:u w:val="single"/>
        </w:rPr>
        <w:t xml:space="preserve">iable </w:t>
      </w:r>
      <w:r w:rsidR="0063043A">
        <w:rPr>
          <w:bCs/>
          <w:i/>
          <w:szCs w:val="28"/>
          <w:u w:val="single"/>
        </w:rPr>
        <w:t>f</w:t>
      </w:r>
      <w:r w:rsidRPr="0063043A">
        <w:rPr>
          <w:bCs/>
          <w:i/>
          <w:szCs w:val="28"/>
          <w:u w:val="single"/>
        </w:rPr>
        <w:t>o</w:t>
      </w:r>
      <w:r w:rsidR="0063043A">
        <w:rPr>
          <w:bCs/>
          <w:i/>
          <w:szCs w:val="28"/>
          <w:u w:val="single"/>
        </w:rPr>
        <w:t>r t</w:t>
      </w:r>
      <w:r w:rsidRPr="0063043A">
        <w:rPr>
          <w:bCs/>
          <w:i/>
          <w:szCs w:val="28"/>
          <w:u w:val="single"/>
        </w:rPr>
        <w:t>he Accident</w:t>
      </w:r>
    </w:p>
    <w:p w14:paraId="51C443EE" w14:textId="77777777" w:rsidR="00033986" w:rsidRPr="00033986" w:rsidRDefault="00033986" w:rsidP="00033986">
      <w:pPr>
        <w:tabs>
          <w:tab w:val="clear" w:pos="4320"/>
        </w:tabs>
        <w:spacing w:line="360" w:lineRule="auto"/>
        <w:jc w:val="both"/>
        <w:rPr>
          <w:szCs w:val="28"/>
        </w:rPr>
      </w:pPr>
    </w:p>
    <w:p w14:paraId="716EEF9A"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63043A">
        <w:rPr>
          <w:szCs w:val="28"/>
        </w:rPr>
        <w:t>d</w:t>
      </w:r>
      <w:r w:rsidRPr="00033986">
        <w:rPr>
          <w:szCs w:val="28"/>
        </w:rPr>
        <w:t xml:space="preserve">efendants did not seriously dispute that D1 as the employer, owed the </w:t>
      </w:r>
      <w:r w:rsidR="0063043A">
        <w:rPr>
          <w:szCs w:val="28"/>
        </w:rPr>
        <w:t>p</w:t>
      </w:r>
      <w:r w:rsidRPr="00033986">
        <w:rPr>
          <w:szCs w:val="28"/>
        </w:rPr>
        <w:t xml:space="preserve">laintiff a duty to take reasonable care for the safety of her as its employee. </w:t>
      </w:r>
    </w:p>
    <w:p w14:paraId="47EAE799" w14:textId="77777777" w:rsidR="00033986" w:rsidRPr="00033986" w:rsidRDefault="00033986" w:rsidP="00033986">
      <w:pPr>
        <w:tabs>
          <w:tab w:val="clear" w:pos="4320"/>
        </w:tabs>
        <w:spacing w:line="360" w:lineRule="auto"/>
        <w:jc w:val="both"/>
        <w:rPr>
          <w:szCs w:val="28"/>
        </w:rPr>
      </w:pPr>
    </w:p>
    <w:p w14:paraId="19C3ADC7"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Likewise, the </w:t>
      </w:r>
      <w:r w:rsidR="0063043A">
        <w:rPr>
          <w:szCs w:val="28"/>
        </w:rPr>
        <w:t>d</w:t>
      </w:r>
      <w:r w:rsidRPr="00033986">
        <w:rPr>
          <w:szCs w:val="28"/>
        </w:rPr>
        <w:t xml:space="preserve">efendants did not seriously dispute that each of them was an occupier of the Carpark including the Staircase within the meaning of the term under the Occupiers’ Liability Ordinance Cap 314. </w:t>
      </w:r>
      <w:r w:rsidR="0063043A">
        <w:rPr>
          <w:szCs w:val="28"/>
        </w:rPr>
        <w:t xml:space="preserve"> </w:t>
      </w:r>
      <w:r w:rsidRPr="00033986">
        <w:rPr>
          <w:szCs w:val="28"/>
        </w:rPr>
        <w:t xml:space="preserve">As occupiers, each of the </w:t>
      </w:r>
      <w:r w:rsidR="0063043A">
        <w:rPr>
          <w:szCs w:val="28"/>
        </w:rPr>
        <w:t>d</w:t>
      </w:r>
      <w:r w:rsidRPr="00033986">
        <w:rPr>
          <w:szCs w:val="28"/>
        </w:rPr>
        <w:t xml:space="preserve">efendants also owed the </w:t>
      </w:r>
      <w:r w:rsidR="0063043A">
        <w:rPr>
          <w:szCs w:val="28"/>
        </w:rPr>
        <w:t>p</w:t>
      </w:r>
      <w:r w:rsidRPr="00033986">
        <w:rPr>
          <w:szCs w:val="28"/>
        </w:rPr>
        <w:t>laintiff a duty in respect of dangers due to the state of the premises or to things done or omitted to be done on them.</w:t>
      </w:r>
    </w:p>
    <w:p w14:paraId="02EE72EE" w14:textId="77777777" w:rsidR="00033986" w:rsidRPr="00033986" w:rsidRDefault="00033986" w:rsidP="00033986">
      <w:pPr>
        <w:tabs>
          <w:tab w:val="clear" w:pos="4320"/>
        </w:tabs>
        <w:spacing w:line="360" w:lineRule="auto"/>
        <w:jc w:val="both"/>
        <w:rPr>
          <w:szCs w:val="28"/>
        </w:rPr>
      </w:pPr>
    </w:p>
    <w:p w14:paraId="10BBBA74"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It is common ground that the law does not impose an absolute duty on the part of such occupiers. </w:t>
      </w:r>
      <w:r w:rsidR="0063043A">
        <w:rPr>
          <w:szCs w:val="28"/>
        </w:rPr>
        <w:t xml:space="preserve"> </w:t>
      </w:r>
      <w:r w:rsidRPr="00033986">
        <w:rPr>
          <w:szCs w:val="28"/>
        </w:rPr>
        <w:t xml:space="preserve">Both parties referred me to the leading authority of </w:t>
      </w:r>
      <w:r w:rsidRPr="00033986">
        <w:rPr>
          <w:i/>
          <w:iCs/>
          <w:szCs w:val="28"/>
        </w:rPr>
        <w:t>Ward v Tesco</w:t>
      </w:r>
      <w:r w:rsidRPr="0063043A">
        <w:rPr>
          <w:rStyle w:val="FootnoteReference"/>
          <w:iCs/>
          <w:szCs w:val="28"/>
        </w:rPr>
        <w:footnoteReference w:id="48"/>
      </w:r>
      <w:r w:rsidRPr="0063043A">
        <w:rPr>
          <w:szCs w:val="28"/>
        </w:rPr>
        <w:t>:</w:t>
      </w:r>
      <w:r w:rsidRPr="00033986">
        <w:rPr>
          <w:szCs w:val="28"/>
        </w:rPr>
        <w:t>-</w:t>
      </w:r>
    </w:p>
    <w:p w14:paraId="0CECAB25" w14:textId="77777777" w:rsidR="00033986" w:rsidRPr="00033986" w:rsidRDefault="00033986" w:rsidP="00033986">
      <w:pPr>
        <w:tabs>
          <w:tab w:val="clear" w:pos="4320"/>
        </w:tabs>
        <w:spacing w:line="360" w:lineRule="auto"/>
        <w:jc w:val="both"/>
        <w:rPr>
          <w:szCs w:val="28"/>
        </w:rPr>
      </w:pPr>
    </w:p>
    <w:p w14:paraId="6E6E5AFE" w14:textId="77777777" w:rsidR="00033986" w:rsidRPr="0063043A" w:rsidRDefault="00033986" w:rsidP="0063043A">
      <w:pPr>
        <w:pStyle w:val="ListParagraph"/>
        <w:tabs>
          <w:tab w:val="clear" w:pos="4320"/>
          <w:tab w:val="clear" w:pos="9072"/>
        </w:tabs>
        <w:ind w:left="1440" w:right="746"/>
        <w:jc w:val="both"/>
        <w:rPr>
          <w:sz w:val="24"/>
          <w:szCs w:val="24"/>
        </w:rPr>
      </w:pPr>
      <w:r w:rsidRPr="0063043A">
        <w:rPr>
          <w:sz w:val="24"/>
          <w:szCs w:val="24"/>
        </w:rPr>
        <w:t xml:space="preserve">“It is for the plaintiff to show that there has occurred an event which is unusual and which, in the absence of explanation, is more consistent with fault on the part of the defendants than the absence of fault; and to my mind the judge was right in taking that view of the presence of this slippery liquid on the floor of the supermarket in the circumstances of this case: that is, that the defendants knew or should have known that it was a not uncommon occurrence; and that if it should happen, and should not be promptly attended to, it created a serious risk that </w:t>
      </w:r>
      <w:r w:rsidRPr="0063043A">
        <w:rPr>
          <w:sz w:val="24"/>
          <w:szCs w:val="24"/>
        </w:rPr>
        <w:lastRenderedPageBreak/>
        <w:t xml:space="preserve">customers would fall and injure themselves. </w:t>
      </w:r>
      <w:r w:rsidR="0063043A">
        <w:rPr>
          <w:sz w:val="24"/>
          <w:szCs w:val="24"/>
        </w:rPr>
        <w:t xml:space="preserve"> </w:t>
      </w:r>
      <w:r w:rsidRPr="0063043A">
        <w:rPr>
          <w:sz w:val="24"/>
          <w:szCs w:val="24"/>
        </w:rPr>
        <w:t xml:space="preserve">When the plaintiff has established that, the defendants can still escape from liability. </w:t>
      </w:r>
      <w:r w:rsidR="0063043A">
        <w:rPr>
          <w:sz w:val="24"/>
          <w:szCs w:val="24"/>
        </w:rPr>
        <w:t xml:space="preserve"> </w:t>
      </w:r>
      <w:r w:rsidRPr="0063043A">
        <w:rPr>
          <w:sz w:val="24"/>
          <w:szCs w:val="24"/>
        </w:rPr>
        <w:t xml:space="preserve">They could escape from liability if they could show that the accident must have happened, or even on balance of probability would have been likely to have happened, even if there had been in existence a proper and adequate system, in relation to the circumstances, to provide for the safety of customers. </w:t>
      </w:r>
      <w:r w:rsidR="0063043A">
        <w:rPr>
          <w:sz w:val="24"/>
          <w:szCs w:val="24"/>
        </w:rPr>
        <w:t xml:space="preserve"> </w:t>
      </w:r>
      <w:r w:rsidRPr="0063043A">
        <w:rPr>
          <w:sz w:val="24"/>
          <w:szCs w:val="24"/>
        </w:rPr>
        <w:t>But if the defendants wish to put forward such a case, it is for them to show that, on balance of probability, either by evidence or by inference from the evidence that is given or is not given, this accident would have been at least equally likely to have happened despite a proper system designed to give reasonable protection to customers.”</w:t>
      </w:r>
    </w:p>
    <w:p w14:paraId="1AA5B717" w14:textId="77777777" w:rsidR="00033986" w:rsidRPr="00033986" w:rsidRDefault="00033986" w:rsidP="00033986">
      <w:pPr>
        <w:tabs>
          <w:tab w:val="clear" w:pos="4320"/>
        </w:tabs>
        <w:spacing w:line="360" w:lineRule="auto"/>
        <w:jc w:val="both"/>
        <w:rPr>
          <w:szCs w:val="28"/>
        </w:rPr>
      </w:pPr>
    </w:p>
    <w:p w14:paraId="626DA7B9"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 have come to the conclusion that the </w:t>
      </w:r>
      <w:r w:rsidR="0063043A">
        <w:rPr>
          <w:szCs w:val="28"/>
        </w:rPr>
        <w:t>d</w:t>
      </w:r>
      <w:r w:rsidRPr="00033986">
        <w:rPr>
          <w:szCs w:val="28"/>
        </w:rPr>
        <w:t>efendants should be liable for the Accident for the following reasons.</w:t>
      </w:r>
    </w:p>
    <w:p w14:paraId="23C85128" w14:textId="77777777" w:rsidR="00033986" w:rsidRPr="00033986" w:rsidRDefault="00033986" w:rsidP="00033986">
      <w:pPr>
        <w:tabs>
          <w:tab w:val="clear" w:pos="4320"/>
        </w:tabs>
        <w:spacing w:line="360" w:lineRule="auto"/>
        <w:jc w:val="both"/>
        <w:rPr>
          <w:szCs w:val="28"/>
        </w:rPr>
      </w:pPr>
    </w:p>
    <w:p w14:paraId="56DE230D"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First, the existence of wet and/or slippery substance like water on the Staircase was an unusual event and which in the absence of explanation, was more consistent with fault on the part of the </w:t>
      </w:r>
      <w:r w:rsidR="0063043A">
        <w:rPr>
          <w:szCs w:val="28"/>
        </w:rPr>
        <w:t>d</w:t>
      </w:r>
      <w:r w:rsidRPr="00033986">
        <w:rPr>
          <w:szCs w:val="28"/>
        </w:rPr>
        <w:t>efendants rather than the absence of fault.</w:t>
      </w:r>
    </w:p>
    <w:p w14:paraId="22F39A6B" w14:textId="77777777" w:rsidR="00033986" w:rsidRPr="00033986" w:rsidRDefault="00033986" w:rsidP="00033986">
      <w:pPr>
        <w:tabs>
          <w:tab w:val="clear" w:pos="4320"/>
        </w:tabs>
        <w:spacing w:line="360" w:lineRule="auto"/>
        <w:jc w:val="both"/>
        <w:rPr>
          <w:szCs w:val="28"/>
        </w:rPr>
      </w:pPr>
    </w:p>
    <w:p w14:paraId="7677B589"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Second, even photo </w:t>
      </w:r>
      <w:r w:rsidR="0063043A">
        <w:rPr>
          <w:szCs w:val="28"/>
        </w:rPr>
        <w:t>N</w:t>
      </w:r>
      <w:r w:rsidRPr="00033986">
        <w:rPr>
          <w:szCs w:val="28"/>
        </w:rPr>
        <w:t>o 3</w:t>
      </w:r>
      <w:r w:rsidRPr="00033986">
        <w:rPr>
          <w:rStyle w:val="FootnoteReference"/>
          <w:szCs w:val="28"/>
        </w:rPr>
        <w:footnoteReference w:id="49"/>
      </w:r>
      <w:r w:rsidRPr="00033986">
        <w:rPr>
          <w:szCs w:val="28"/>
        </w:rPr>
        <w:t xml:space="preserve"> albeit taken in 2018, showed that wet and/or slippery substance like water or liquid was present on the stairs.</w:t>
      </w:r>
      <w:r w:rsidR="0063043A">
        <w:rPr>
          <w:szCs w:val="28"/>
        </w:rPr>
        <w:t xml:space="preserve"> </w:t>
      </w:r>
      <w:r w:rsidRPr="00033986">
        <w:rPr>
          <w:szCs w:val="28"/>
        </w:rPr>
        <w:t xml:space="preserve"> The </w:t>
      </w:r>
      <w:r w:rsidR="0063043A">
        <w:rPr>
          <w:szCs w:val="28"/>
        </w:rPr>
        <w:t>p</w:t>
      </w:r>
      <w:r w:rsidRPr="00033986">
        <w:rPr>
          <w:szCs w:val="28"/>
        </w:rPr>
        <w:t>laintiff’s evidence was that the Staircase was always dirty with cigarette butts.</w:t>
      </w:r>
      <w:r w:rsidR="0063043A">
        <w:rPr>
          <w:szCs w:val="28"/>
        </w:rPr>
        <w:t xml:space="preserve"> </w:t>
      </w:r>
      <w:r w:rsidRPr="00033986">
        <w:rPr>
          <w:szCs w:val="28"/>
        </w:rPr>
        <w:t xml:space="preserve"> If and insofar as it is necessary, I am of the view that the </w:t>
      </w:r>
      <w:r w:rsidR="0063043A">
        <w:rPr>
          <w:szCs w:val="28"/>
        </w:rPr>
        <w:t>pl</w:t>
      </w:r>
      <w:r w:rsidRPr="00033986">
        <w:rPr>
          <w:szCs w:val="28"/>
        </w:rPr>
        <w:t xml:space="preserve">aintiff had additionally showed the existence or presence of water or liquid was not uncommon occurrence which the </w:t>
      </w:r>
      <w:r w:rsidR="0063043A">
        <w:rPr>
          <w:szCs w:val="28"/>
        </w:rPr>
        <w:t>d</w:t>
      </w:r>
      <w:r w:rsidRPr="00033986">
        <w:rPr>
          <w:szCs w:val="28"/>
        </w:rPr>
        <w:t xml:space="preserve">efendants knew or ought to have known. </w:t>
      </w:r>
    </w:p>
    <w:p w14:paraId="697C5196" w14:textId="77777777" w:rsidR="00033986" w:rsidRPr="00033986" w:rsidRDefault="00033986" w:rsidP="00033986">
      <w:pPr>
        <w:tabs>
          <w:tab w:val="clear" w:pos="4320"/>
        </w:tabs>
        <w:spacing w:line="360" w:lineRule="auto"/>
        <w:jc w:val="both"/>
        <w:rPr>
          <w:szCs w:val="28"/>
        </w:rPr>
      </w:pPr>
    </w:p>
    <w:p w14:paraId="6152DB68"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It must be a matter of common sense that the </w:t>
      </w:r>
      <w:r w:rsidR="0063043A">
        <w:rPr>
          <w:szCs w:val="28"/>
        </w:rPr>
        <w:t>d</w:t>
      </w:r>
      <w:r w:rsidRPr="00033986">
        <w:rPr>
          <w:szCs w:val="28"/>
        </w:rPr>
        <w:t xml:space="preserve">efendants should know or ought to have known that if the same was present and </w:t>
      </w:r>
      <w:r w:rsidRPr="00033986">
        <w:rPr>
          <w:szCs w:val="28"/>
        </w:rPr>
        <w:lastRenderedPageBreak/>
        <w:t xml:space="preserve">allowed to be left there, it would create a risk that visitors and employees would fall and injure themselves. </w:t>
      </w:r>
      <w:r w:rsidR="0063043A">
        <w:rPr>
          <w:szCs w:val="28"/>
        </w:rPr>
        <w:t xml:space="preserve"> </w:t>
      </w:r>
      <w:r w:rsidRPr="00033986">
        <w:rPr>
          <w:szCs w:val="28"/>
        </w:rPr>
        <w:t xml:space="preserve">The </w:t>
      </w:r>
      <w:r w:rsidR="0063043A">
        <w:rPr>
          <w:szCs w:val="28"/>
        </w:rPr>
        <w:t>d</w:t>
      </w:r>
      <w:r w:rsidRPr="00033986">
        <w:rPr>
          <w:szCs w:val="28"/>
        </w:rPr>
        <w:t>efendants should obviously guard against this risk.</w:t>
      </w:r>
    </w:p>
    <w:p w14:paraId="42B7FE8C" w14:textId="77777777" w:rsidR="00033986" w:rsidRPr="00033986" w:rsidRDefault="00033986" w:rsidP="00033986">
      <w:pPr>
        <w:tabs>
          <w:tab w:val="clear" w:pos="4320"/>
        </w:tabs>
        <w:spacing w:line="360" w:lineRule="auto"/>
        <w:jc w:val="both"/>
        <w:rPr>
          <w:szCs w:val="28"/>
        </w:rPr>
      </w:pPr>
    </w:p>
    <w:p w14:paraId="27AD0B91"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Third, the </w:t>
      </w:r>
      <w:r w:rsidR="0063043A">
        <w:rPr>
          <w:szCs w:val="28"/>
        </w:rPr>
        <w:t>d</w:t>
      </w:r>
      <w:r w:rsidRPr="00033986">
        <w:rPr>
          <w:szCs w:val="28"/>
        </w:rPr>
        <w:t>efendants had not discharged the evidential burden that there was in place a proper and adequate system to guard against such risk and whether the Accident would have been at least equally likely to have happened despite a proper system designed to give reasonable protection.</w:t>
      </w:r>
    </w:p>
    <w:p w14:paraId="34A170D3" w14:textId="77777777" w:rsidR="00033986" w:rsidRPr="00033986" w:rsidRDefault="00033986" w:rsidP="00033986">
      <w:pPr>
        <w:tabs>
          <w:tab w:val="clear" w:pos="4320"/>
        </w:tabs>
        <w:spacing w:line="360" w:lineRule="auto"/>
        <w:jc w:val="both"/>
        <w:rPr>
          <w:szCs w:val="28"/>
        </w:rPr>
      </w:pPr>
    </w:p>
    <w:p w14:paraId="30721C81"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In this respect, the </w:t>
      </w:r>
      <w:r w:rsidR="0063043A">
        <w:rPr>
          <w:szCs w:val="28"/>
        </w:rPr>
        <w:t>d</w:t>
      </w:r>
      <w:r w:rsidRPr="00033986">
        <w:rPr>
          <w:szCs w:val="28"/>
        </w:rPr>
        <w:t xml:space="preserve">efendants’ counsel relied on </w:t>
      </w:r>
      <w:r w:rsidRPr="00033986">
        <w:rPr>
          <w:i/>
          <w:iCs/>
          <w:szCs w:val="28"/>
        </w:rPr>
        <w:t>Cheung Wai Mei v The Excelsior (Hong Kong) Ltd</w:t>
      </w:r>
      <w:r w:rsidRPr="0063043A">
        <w:rPr>
          <w:rStyle w:val="FootnoteReference"/>
          <w:iCs/>
          <w:szCs w:val="28"/>
        </w:rPr>
        <w:footnoteReference w:id="50"/>
      </w:r>
      <w:r w:rsidRPr="00033986">
        <w:rPr>
          <w:szCs w:val="28"/>
        </w:rPr>
        <w:t xml:space="preserve"> and submitted that what was required was for the </w:t>
      </w:r>
      <w:r w:rsidR="0063043A">
        <w:rPr>
          <w:szCs w:val="28"/>
        </w:rPr>
        <w:t>d</w:t>
      </w:r>
      <w:r w:rsidRPr="00033986">
        <w:rPr>
          <w:szCs w:val="28"/>
        </w:rPr>
        <w:t xml:space="preserve">efendants to meet the threshold of reasonableness and they could not be expected to remove any spillages if and when they occur. </w:t>
      </w:r>
      <w:r w:rsidR="0063043A">
        <w:rPr>
          <w:szCs w:val="28"/>
        </w:rPr>
        <w:t xml:space="preserve"> </w:t>
      </w:r>
      <w:r w:rsidRPr="00033986">
        <w:rPr>
          <w:szCs w:val="28"/>
        </w:rPr>
        <w:t xml:space="preserve">This proposition is of course correct. </w:t>
      </w:r>
      <w:r w:rsidR="0063043A">
        <w:rPr>
          <w:szCs w:val="28"/>
        </w:rPr>
        <w:t xml:space="preserve"> </w:t>
      </w:r>
      <w:r w:rsidRPr="00033986">
        <w:rPr>
          <w:szCs w:val="28"/>
        </w:rPr>
        <w:t xml:space="preserve">However, the </w:t>
      </w:r>
      <w:r w:rsidR="0063043A">
        <w:rPr>
          <w:szCs w:val="28"/>
        </w:rPr>
        <w:t>d</w:t>
      </w:r>
      <w:r w:rsidRPr="00033986">
        <w:rPr>
          <w:szCs w:val="28"/>
        </w:rPr>
        <w:t xml:space="preserve">efendants had not even pleaded they had such a proper and adequate system to meet the threshold of reasonableness. </w:t>
      </w:r>
    </w:p>
    <w:p w14:paraId="24BC5024" w14:textId="77777777" w:rsidR="00033986" w:rsidRPr="00033986" w:rsidRDefault="00033986" w:rsidP="00033986">
      <w:pPr>
        <w:tabs>
          <w:tab w:val="clear" w:pos="4320"/>
        </w:tabs>
        <w:spacing w:line="360" w:lineRule="auto"/>
        <w:jc w:val="both"/>
        <w:rPr>
          <w:szCs w:val="28"/>
        </w:rPr>
      </w:pPr>
    </w:p>
    <w:p w14:paraId="675B2F4C"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 agree with the </w:t>
      </w:r>
      <w:r w:rsidR="0063043A">
        <w:rPr>
          <w:szCs w:val="28"/>
        </w:rPr>
        <w:t>p</w:t>
      </w:r>
      <w:r w:rsidRPr="00033986">
        <w:rPr>
          <w:szCs w:val="28"/>
        </w:rPr>
        <w:t xml:space="preserve">laintiff’s counsel that as the same was not even pleaded, the </w:t>
      </w:r>
      <w:r w:rsidR="0063043A">
        <w:rPr>
          <w:szCs w:val="28"/>
        </w:rPr>
        <w:t>d</w:t>
      </w:r>
      <w:r w:rsidRPr="00033986">
        <w:rPr>
          <w:szCs w:val="28"/>
        </w:rPr>
        <w:t xml:space="preserve">efendants were in principle not entitled to rely on the one-line assertion in Madam Wong’s supplemental witness statement </w:t>
      </w:r>
      <w:r w:rsidRPr="00033986">
        <w:rPr>
          <w:rStyle w:val="FootnoteReference"/>
          <w:szCs w:val="28"/>
        </w:rPr>
        <w:footnoteReference w:id="51"/>
      </w:r>
      <w:r w:rsidRPr="00033986">
        <w:rPr>
          <w:szCs w:val="28"/>
        </w:rPr>
        <w:t xml:space="preserve">. </w:t>
      </w:r>
    </w:p>
    <w:p w14:paraId="3032559F" w14:textId="77777777" w:rsidR="00033986" w:rsidRPr="00033986" w:rsidRDefault="00033986" w:rsidP="00033986">
      <w:pPr>
        <w:tabs>
          <w:tab w:val="clear" w:pos="4320"/>
        </w:tabs>
        <w:spacing w:line="360" w:lineRule="auto"/>
        <w:jc w:val="both"/>
        <w:rPr>
          <w:szCs w:val="28"/>
        </w:rPr>
      </w:pPr>
    </w:p>
    <w:p w14:paraId="160B7487"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More importantly, the one-line assertion without more simply could not show the </w:t>
      </w:r>
      <w:r w:rsidR="0063043A">
        <w:rPr>
          <w:szCs w:val="28"/>
        </w:rPr>
        <w:t>d</w:t>
      </w:r>
      <w:r w:rsidRPr="00033986">
        <w:rPr>
          <w:szCs w:val="28"/>
        </w:rPr>
        <w:t xml:space="preserve">efendants had discharged their duty of care by maintaining an adequate system. </w:t>
      </w:r>
      <w:r w:rsidR="0063043A">
        <w:rPr>
          <w:szCs w:val="28"/>
        </w:rPr>
        <w:t xml:space="preserve"> </w:t>
      </w:r>
      <w:r w:rsidRPr="00033986">
        <w:rPr>
          <w:szCs w:val="28"/>
        </w:rPr>
        <w:t xml:space="preserve">There was no evidence on how the cleaning work was carried out at the Staircase and whether there was a </w:t>
      </w:r>
      <w:r w:rsidRPr="00033986">
        <w:rPr>
          <w:szCs w:val="28"/>
        </w:rPr>
        <w:lastRenderedPageBreak/>
        <w:t xml:space="preserve">system of supervision and/or monitoring on the part of D1 or any of the </w:t>
      </w:r>
      <w:r w:rsidR="0063043A">
        <w:rPr>
          <w:szCs w:val="28"/>
        </w:rPr>
        <w:t>d</w:t>
      </w:r>
      <w:r w:rsidRPr="00033986">
        <w:rPr>
          <w:szCs w:val="28"/>
        </w:rPr>
        <w:t>efendants.</w:t>
      </w:r>
    </w:p>
    <w:p w14:paraId="5082289F" w14:textId="77777777" w:rsidR="00033986" w:rsidRPr="00033986" w:rsidRDefault="00033986" w:rsidP="00033986">
      <w:pPr>
        <w:tabs>
          <w:tab w:val="clear" w:pos="4320"/>
        </w:tabs>
        <w:spacing w:line="360" w:lineRule="auto"/>
        <w:jc w:val="both"/>
        <w:rPr>
          <w:szCs w:val="28"/>
        </w:rPr>
      </w:pPr>
    </w:p>
    <w:p w14:paraId="2C5D43D7"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In the absence of a positive plea and any evidence in this respect, I do not agree the mere fact that the </w:t>
      </w:r>
      <w:r w:rsidR="0063043A">
        <w:rPr>
          <w:szCs w:val="28"/>
        </w:rPr>
        <w:t>p</w:t>
      </w:r>
      <w:r w:rsidRPr="00033986">
        <w:rPr>
          <w:szCs w:val="28"/>
        </w:rPr>
        <w:t xml:space="preserve">laintiff was employed as a security guard and had to patrol the Carpark could amount to sufficient evidence let alone cogent evidence showing Ds had put in place an adequate system to guard against the very risk in question. </w:t>
      </w:r>
      <w:r w:rsidR="0063043A">
        <w:rPr>
          <w:szCs w:val="28"/>
        </w:rPr>
        <w:t xml:space="preserve"> </w:t>
      </w:r>
      <w:r w:rsidRPr="00033986">
        <w:rPr>
          <w:szCs w:val="28"/>
        </w:rPr>
        <w:t xml:space="preserve">It was never the </w:t>
      </w:r>
      <w:r w:rsidR="0063043A">
        <w:rPr>
          <w:szCs w:val="28"/>
        </w:rPr>
        <w:t>d</w:t>
      </w:r>
      <w:r w:rsidRPr="00033986">
        <w:rPr>
          <w:szCs w:val="28"/>
        </w:rPr>
        <w:t xml:space="preserve">efendants’ pleaded case and/or evidence that the </w:t>
      </w:r>
      <w:r w:rsidR="0063043A">
        <w:rPr>
          <w:szCs w:val="28"/>
        </w:rPr>
        <w:t>p</w:t>
      </w:r>
      <w:r w:rsidRPr="00033986">
        <w:rPr>
          <w:szCs w:val="28"/>
        </w:rPr>
        <w:t xml:space="preserve">laintiff (and/or Madam Wong and Madam Yip) was hired to detect any spillage or wet and slippery substance and had a duty to report the same. </w:t>
      </w:r>
    </w:p>
    <w:p w14:paraId="11004E0C" w14:textId="77777777" w:rsidR="00033986" w:rsidRPr="00033986" w:rsidRDefault="00033986" w:rsidP="00033986">
      <w:pPr>
        <w:tabs>
          <w:tab w:val="clear" w:pos="4320"/>
        </w:tabs>
        <w:spacing w:line="360" w:lineRule="auto"/>
        <w:jc w:val="both"/>
        <w:rPr>
          <w:szCs w:val="28"/>
        </w:rPr>
      </w:pPr>
    </w:p>
    <w:p w14:paraId="53BEEC03" w14:textId="77777777" w:rsidR="00033986" w:rsidRPr="0063043A" w:rsidRDefault="00033986" w:rsidP="0063043A">
      <w:pPr>
        <w:pStyle w:val="ListParagraph"/>
        <w:tabs>
          <w:tab w:val="clear" w:pos="4320"/>
        </w:tabs>
        <w:spacing w:line="360" w:lineRule="auto"/>
        <w:ind w:left="0"/>
        <w:jc w:val="both"/>
        <w:rPr>
          <w:bCs/>
          <w:i/>
          <w:szCs w:val="28"/>
          <w:u w:val="single"/>
        </w:rPr>
      </w:pPr>
      <w:r w:rsidRPr="0063043A">
        <w:rPr>
          <w:bCs/>
          <w:i/>
          <w:szCs w:val="28"/>
          <w:u w:val="single"/>
        </w:rPr>
        <w:t>E</w:t>
      </w:r>
      <w:r w:rsidR="0063043A">
        <w:rPr>
          <w:bCs/>
          <w:i/>
          <w:szCs w:val="28"/>
          <w:u w:val="single"/>
        </w:rPr>
        <w:t>.</w:t>
      </w:r>
      <w:r w:rsidRPr="0063043A">
        <w:rPr>
          <w:bCs/>
          <w:i/>
          <w:szCs w:val="28"/>
          <w:u w:val="single"/>
        </w:rPr>
        <w:t>4</w:t>
      </w:r>
      <w:r w:rsidR="0063043A">
        <w:rPr>
          <w:bCs/>
          <w:i/>
          <w:szCs w:val="28"/>
          <w:u w:val="single"/>
        </w:rPr>
        <w:t xml:space="preserve"> </w:t>
      </w:r>
      <w:r w:rsidRPr="0063043A">
        <w:rPr>
          <w:bCs/>
          <w:i/>
          <w:szCs w:val="28"/>
          <w:u w:val="single"/>
        </w:rPr>
        <w:t xml:space="preserve">Was </w:t>
      </w:r>
      <w:r w:rsidR="0063043A">
        <w:rPr>
          <w:bCs/>
          <w:i/>
          <w:szCs w:val="28"/>
          <w:u w:val="single"/>
        </w:rPr>
        <w:t>t</w:t>
      </w:r>
      <w:r w:rsidRPr="0063043A">
        <w:rPr>
          <w:bCs/>
          <w:i/>
          <w:szCs w:val="28"/>
          <w:u w:val="single"/>
        </w:rPr>
        <w:t xml:space="preserve">here </w:t>
      </w:r>
      <w:r w:rsidR="0063043A">
        <w:rPr>
          <w:bCs/>
          <w:i/>
          <w:szCs w:val="28"/>
          <w:u w:val="single"/>
        </w:rPr>
        <w:t>C</w:t>
      </w:r>
      <w:r w:rsidRPr="0063043A">
        <w:rPr>
          <w:bCs/>
          <w:i/>
          <w:szCs w:val="28"/>
          <w:u w:val="single"/>
        </w:rPr>
        <w:t xml:space="preserve">ontributory Negligence on the Part of the </w:t>
      </w:r>
      <w:r w:rsidR="0063043A">
        <w:rPr>
          <w:bCs/>
          <w:i/>
          <w:szCs w:val="28"/>
          <w:u w:val="single"/>
        </w:rPr>
        <w:t>p</w:t>
      </w:r>
      <w:r w:rsidRPr="0063043A">
        <w:rPr>
          <w:bCs/>
          <w:i/>
          <w:szCs w:val="28"/>
          <w:u w:val="single"/>
        </w:rPr>
        <w:t>laintiff</w:t>
      </w:r>
    </w:p>
    <w:p w14:paraId="5E711E22" w14:textId="77777777" w:rsidR="00033986" w:rsidRPr="00033986" w:rsidRDefault="00033986" w:rsidP="00033986">
      <w:pPr>
        <w:tabs>
          <w:tab w:val="clear" w:pos="4320"/>
        </w:tabs>
        <w:spacing w:line="360" w:lineRule="auto"/>
        <w:jc w:val="both"/>
        <w:rPr>
          <w:bCs/>
          <w:szCs w:val="28"/>
          <w:u w:val="single"/>
        </w:rPr>
      </w:pPr>
    </w:p>
    <w:p w14:paraId="349DDF89"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C07891">
        <w:rPr>
          <w:szCs w:val="28"/>
        </w:rPr>
        <w:t>d</w:t>
      </w:r>
      <w:r w:rsidRPr="00033986">
        <w:rPr>
          <w:szCs w:val="28"/>
        </w:rPr>
        <w:t xml:space="preserve">efendants relied on </w:t>
      </w:r>
      <w:r w:rsidRPr="00033986">
        <w:rPr>
          <w:i/>
          <w:iCs/>
          <w:szCs w:val="28"/>
        </w:rPr>
        <w:t>Pak Sai Ming v JV Fitness Limited</w:t>
      </w:r>
      <w:r w:rsidR="00C07891">
        <w:rPr>
          <w:szCs w:val="28"/>
        </w:rPr>
        <w:t> </w:t>
      </w:r>
      <w:r w:rsidRPr="00033986">
        <w:rPr>
          <w:rStyle w:val="FootnoteReference"/>
          <w:szCs w:val="28"/>
        </w:rPr>
        <w:footnoteReference w:id="52"/>
      </w:r>
      <w:r w:rsidRPr="00033986">
        <w:rPr>
          <w:szCs w:val="28"/>
        </w:rPr>
        <w:t xml:space="preserve"> and contended that the </w:t>
      </w:r>
      <w:r w:rsidR="00C07891">
        <w:rPr>
          <w:szCs w:val="28"/>
        </w:rPr>
        <w:t>p</w:t>
      </w:r>
      <w:r w:rsidRPr="00033986">
        <w:rPr>
          <w:szCs w:val="28"/>
        </w:rPr>
        <w:t xml:space="preserve">laintiff was negligent and such contributory negligence should be 60%. </w:t>
      </w:r>
      <w:r w:rsidR="00C07891">
        <w:rPr>
          <w:szCs w:val="28"/>
        </w:rPr>
        <w:t xml:space="preserve"> </w:t>
      </w:r>
      <w:r w:rsidRPr="00033986">
        <w:rPr>
          <w:szCs w:val="28"/>
        </w:rPr>
        <w:t xml:space="preserve">I do not agree the facts of the present case are similar to those in </w:t>
      </w:r>
      <w:r w:rsidRPr="00033986">
        <w:rPr>
          <w:i/>
          <w:iCs/>
          <w:szCs w:val="28"/>
        </w:rPr>
        <w:t>Pak Sai Ming</w:t>
      </w:r>
      <w:r w:rsidRPr="00033986">
        <w:rPr>
          <w:szCs w:val="28"/>
        </w:rPr>
        <w:t xml:space="preserve">. </w:t>
      </w:r>
      <w:r w:rsidR="00C07891">
        <w:rPr>
          <w:szCs w:val="28"/>
        </w:rPr>
        <w:t xml:space="preserve"> </w:t>
      </w:r>
      <w:r w:rsidRPr="00033986">
        <w:rPr>
          <w:szCs w:val="28"/>
        </w:rPr>
        <w:t xml:space="preserve">The discussion on contributory negligence in this decision (and other decisions relied upon by the </w:t>
      </w:r>
      <w:r w:rsidR="00C07891">
        <w:rPr>
          <w:szCs w:val="28"/>
        </w:rPr>
        <w:t>d</w:t>
      </w:r>
      <w:r w:rsidRPr="00033986">
        <w:rPr>
          <w:szCs w:val="28"/>
        </w:rPr>
        <w:t xml:space="preserve">efendants) was mere </w:t>
      </w:r>
      <w:r w:rsidRPr="00033986">
        <w:rPr>
          <w:i/>
          <w:iCs/>
          <w:szCs w:val="28"/>
        </w:rPr>
        <w:t>obiter</w:t>
      </w:r>
      <w:r w:rsidRPr="00033986">
        <w:rPr>
          <w:szCs w:val="28"/>
        </w:rPr>
        <w:t xml:space="preserve">.  Further, it could not seriously be suggested that the </w:t>
      </w:r>
      <w:r w:rsidR="00C07891">
        <w:rPr>
          <w:szCs w:val="28"/>
        </w:rPr>
        <w:t>p</w:t>
      </w:r>
      <w:r w:rsidRPr="00033986">
        <w:rPr>
          <w:szCs w:val="28"/>
        </w:rPr>
        <w:t xml:space="preserve">laintiff was a frequent user who had to use the Staircase 15 to 20 times on each working day and for a several years before the Accident. </w:t>
      </w:r>
      <w:r w:rsidR="00C07891">
        <w:rPr>
          <w:szCs w:val="28"/>
        </w:rPr>
        <w:t xml:space="preserve"> </w:t>
      </w:r>
      <w:r w:rsidRPr="00033986">
        <w:rPr>
          <w:szCs w:val="28"/>
        </w:rPr>
        <w:t>As a matter of fact, she had only been working in the Carpark for a week before the Accident.</w:t>
      </w:r>
    </w:p>
    <w:p w14:paraId="279554CD" w14:textId="77777777" w:rsidR="00033986" w:rsidRPr="00033986" w:rsidRDefault="00033986" w:rsidP="00033986">
      <w:pPr>
        <w:tabs>
          <w:tab w:val="clear" w:pos="4320"/>
        </w:tabs>
        <w:spacing w:line="360" w:lineRule="auto"/>
        <w:jc w:val="both"/>
        <w:rPr>
          <w:szCs w:val="28"/>
        </w:rPr>
      </w:pPr>
    </w:p>
    <w:p w14:paraId="26E301A2"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There is no suggestion let alone evidence that the </w:t>
      </w:r>
      <w:r w:rsidR="00C07891">
        <w:rPr>
          <w:szCs w:val="28"/>
        </w:rPr>
        <w:t>p</w:t>
      </w:r>
      <w:r w:rsidRPr="00033986">
        <w:rPr>
          <w:szCs w:val="28"/>
        </w:rPr>
        <w:t xml:space="preserve">laintiff was patrolling or walking in a quick or hasty pace. </w:t>
      </w:r>
      <w:r w:rsidR="00C07891">
        <w:rPr>
          <w:szCs w:val="28"/>
        </w:rPr>
        <w:t xml:space="preserve"> </w:t>
      </w:r>
      <w:r w:rsidRPr="00033986">
        <w:rPr>
          <w:szCs w:val="28"/>
        </w:rPr>
        <w:t xml:space="preserve">The unchallenged evidence </w:t>
      </w:r>
      <w:r w:rsidRPr="00033986">
        <w:rPr>
          <w:szCs w:val="28"/>
        </w:rPr>
        <w:lastRenderedPageBreak/>
        <w:t>was that at the time when she was descending the Staircase from the third to second floor, she was holding a number of things like paper and pen whilst patrolling</w:t>
      </w:r>
      <w:r w:rsidRPr="00033986">
        <w:rPr>
          <w:rStyle w:val="FootnoteReference"/>
          <w:szCs w:val="28"/>
        </w:rPr>
        <w:footnoteReference w:id="53"/>
      </w:r>
      <w:r w:rsidRPr="00033986">
        <w:rPr>
          <w:szCs w:val="28"/>
        </w:rPr>
        <w:t xml:space="preserve">. </w:t>
      </w:r>
      <w:r w:rsidR="00C07891">
        <w:rPr>
          <w:szCs w:val="28"/>
        </w:rPr>
        <w:t xml:space="preserve"> </w:t>
      </w:r>
      <w:r w:rsidRPr="00033986">
        <w:rPr>
          <w:szCs w:val="28"/>
        </w:rPr>
        <w:t xml:space="preserve">In other words, she could not hold on to the handrail. </w:t>
      </w:r>
    </w:p>
    <w:p w14:paraId="6DC2706D" w14:textId="77777777" w:rsidR="00033986" w:rsidRPr="00033986" w:rsidRDefault="00033986" w:rsidP="00033986">
      <w:pPr>
        <w:tabs>
          <w:tab w:val="clear" w:pos="4320"/>
        </w:tabs>
        <w:spacing w:line="360" w:lineRule="auto"/>
        <w:jc w:val="both"/>
        <w:rPr>
          <w:szCs w:val="28"/>
        </w:rPr>
      </w:pPr>
    </w:p>
    <w:p w14:paraId="575FF7DD"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However, 12 November 2016 was not the </w:t>
      </w:r>
      <w:r w:rsidR="00C07891">
        <w:rPr>
          <w:szCs w:val="28"/>
        </w:rPr>
        <w:t>p</w:t>
      </w:r>
      <w:r w:rsidRPr="00033986">
        <w:rPr>
          <w:szCs w:val="28"/>
        </w:rPr>
        <w:t xml:space="preserve">laintiff’s first day of work. </w:t>
      </w:r>
      <w:r w:rsidR="00C07891">
        <w:rPr>
          <w:szCs w:val="28"/>
        </w:rPr>
        <w:t xml:space="preserve"> </w:t>
      </w:r>
      <w:r w:rsidRPr="00033986">
        <w:rPr>
          <w:szCs w:val="28"/>
        </w:rPr>
        <w:t xml:space="preserve">In fact, it is the </w:t>
      </w:r>
      <w:r w:rsidR="00C07891">
        <w:rPr>
          <w:szCs w:val="28"/>
        </w:rPr>
        <w:t>p</w:t>
      </w:r>
      <w:r w:rsidRPr="00033986">
        <w:rPr>
          <w:szCs w:val="28"/>
        </w:rPr>
        <w:t xml:space="preserve">laintiff’s own evidence that she knew the Staircase was always dirty. </w:t>
      </w:r>
      <w:r w:rsidR="00C07891">
        <w:rPr>
          <w:szCs w:val="28"/>
        </w:rPr>
        <w:t xml:space="preserve"> </w:t>
      </w:r>
      <w:r w:rsidRPr="00033986">
        <w:rPr>
          <w:szCs w:val="28"/>
        </w:rPr>
        <w:t xml:space="preserve">There is no suggestion or evidence that the lighting of the Staircase was not satisfactory. </w:t>
      </w:r>
      <w:r w:rsidR="00C07891">
        <w:rPr>
          <w:szCs w:val="28"/>
        </w:rPr>
        <w:t xml:space="preserve"> </w:t>
      </w:r>
      <w:r w:rsidRPr="00033986">
        <w:rPr>
          <w:szCs w:val="28"/>
        </w:rPr>
        <w:t xml:space="preserve">I have also explained why I do not accept the </w:t>
      </w:r>
      <w:r w:rsidR="00C07891">
        <w:rPr>
          <w:szCs w:val="28"/>
        </w:rPr>
        <w:t>p</w:t>
      </w:r>
      <w:r w:rsidRPr="00033986">
        <w:rPr>
          <w:szCs w:val="28"/>
        </w:rPr>
        <w:t>laintiff’s evidence that despite having exercised caution, she slipped on the lemon slices as they were hidden by the riser of the steps</w:t>
      </w:r>
      <w:r w:rsidRPr="00033986">
        <w:rPr>
          <w:rStyle w:val="FootnoteReference"/>
          <w:szCs w:val="28"/>
        </w:rPr>
        <w:footnoteReference w:id="54"/>
      </w:r>
      <w:r w:rsidRPr="00033986">
        <w:rPr>
          <w:szCs w:val="28"/>
        </w:rPr>
        <w:t xml:space="preserve">. </w:t>
      </w:r>
      <w:r w:rsidR="00C07891">
        <w:rPr>
          <w:szCs w:val="28"/>
        </w:rPr>
        <w:t xml:space="preserve"> </w:t>
      </w:r>
      <w:r w:rsidRPr="00033986">
        <w:rPr>
          <w:szCs w:val="28"/>
        </w:rPr>
        <w:t>All in all, she could have taken more precautions to guard against the risk of a slip and fall.</w:t>
      </w:r>
    </w:p>
    <w:p w14:paraId="17B4B347" w14:textId="77777777" w:rsidR="00033986" w:rsidRPr="00033986" w:rsidRDefault="00033986" w:rsidP="00033986">
      <w:pPr>
        <w:tabs>
          <w:tab w:val="clear" w:pos="4320"/>
        </w:tabs>
        <w:spacing w:line="360" w:lineRule="auto"/>
        <w:jc w:val="both"/>
        <w:rPr>
          <w:szCs w:val="28"/>
        </w:rPr>
      </w:pPr>
    </w:p>
    <w:p w14:paraId="0A4E640B"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On the aforesaid basis, having regard to relative blameworthiness and causal potency, I am of the view that the </w:t>
      </w:r>
      <w:r w:rsidR="00C07891">
        <w:rPr>
          <w:szCs w:val="28"/>
        </w:rPr>
        <w:t>p</w:t>
      </w:r>
      <w:r w:rsidRPr="00033986">
        <w:rPr>
          <w:szCs w:val="28"/>
        </w:rPr>
        <w:t>laintiff had a 10% share in the responsibility for the Accident.</w:t>
      </w:r>
    </w:p>
    <w:p w14:paraId="7C60A4C7" w14:textId="77777777" w:rsidR="00033986" w:rsidRPr="00033986" w:rsidRDefault="00033986" w:rsidP="00033986">
      <w:pPr>
        <w:tabs>
          <w:tab w:val="clear" w:pos="4320"/>
        </w:tabs>
        <w:spacing w:line="360" w:lineRule="auto"/>
        <w:jc w:val="both"/>
        <w:rPr>
          <w:szCs w:val="28"/>
        </w:rPr>
      </w:pPr>
    </w:p>
    <w:p w14:paraId="229E5BA2" w14:textId="77777777" w:rsidR="00033986" w:rsidRPr="00C07891" w:rsidRDefault="00033986" w:rsidP="00C07891">
      <w:pPr>
        <w:pStyle w:val="ListParagraph"/>
        <w:tabs>
          <w:tab w:val="clear" w:pos="4320"/>
        </w:tabs>
        <w:spacing w:line="360" w:lineRule="auto"/>
        <w:ind w:left="0"/>
        <w:jc w:val="both"/>
        <w:rPr>
          <w:bCs/>
          <w:i/>
          <w:szCs w:val="28"/>
          <w:u w:val="single"/>
        </w:rPr>
      </w:pPr>
      <w:r w:rsidRPr="00C07891">
        <w:rPr>
          <w:bCs/>
          <w:i/>
          <w:szCs w:val="28"/>
          <w:u w:val="single"/>
        </w:rPr>
        <w:t>E</w:t>
      </w:r>
      <w:r w:rsidR="00C07891">
        <w:rPr>
          <w:bCs/>
          <w:i/>
          <w:szCs w:val="28"/>
          <w:u w:val="single"/>
        </w:rPr>
        <w:t>.</w:t>
      </w:r>
      <w:r w:rsidRPr="00C07891">
        <w:rPr>
          <w:bCs/>
          <w:i/>
          <w:szCs w:val="28"/>
          <w:u w:val="single"/>
        </w:rPr>
        <w:t>5</w:t>
      </w:r>
      <w:r w:rsidR="00C07891">
        <w:rPr>
          <w:bCs/>
          <w:i/>
          <w:szCs w:val="28"/>
          <w:u w:val="single"/>
        </w:rPr>
        <w:t xml:space="preserve"> </w:t>
      </w:r>
      <w:r w:rsidRPr="00C07891">
        <w:rPr>
          <w:bCs/>
          <w:i/>
          <w:szCs w:val="28"/>
          <w:u w:val="single"/>
        </w:rPr>
        <w:t>What is the Quantum of Damages</w:t>
      </w:r>
    </w:p>
    <w:p w14:paraId="302E1AB6" w14:textId="77777777" w:rsidR="00033986" w:rsidRPr="00033986" w:rsidRDefault="00033986" w:rsidP="00033986">
      <w:pPr>
        <w:tabs>
          <w:tab w:val="clear" w:pos="4320"/>
        </w:tabs>
        <w:spacing w:line="360" w:lineRule="auto"/>
        <w:jc w:val="both"/>
        <w:rPr>
          <w:bCs/>
          <w:szCs w:val="28"/>
          <w:u w:val="single"/>
        </w:rPr>
      </w:pPr>
    </w:p>
    <w:p w14:paraId="73C38F2E" w14:textId="77777777" w:rsidR="00033986" w:rsidRPr="00033986" w:rsidRDefault="00033986" w:rsidP="006F407B">
      <w:pPr>
        <w:pStyle w:val="ListParagraph"/>
        <w:numPr>
          <w:ilvl w:val="0"/>
          <w:numId w:val="1"/>
        </w:numPr>
        <w:tabs>
          <w:tab w:val="clear" w:pos="4320"/>
        </w:tabs>
        <w:spacing w:line="360" w:lineRule="auto"/>
        <w:ind w:left="0" w:firstLine="0"/>
        <w:jc w:val="both"/>
        <w:rPr>
          <w:bCs/>
          <w:szCs w:val="28"/>
          <w:u w:val="single"/>
        </w:rPr>
      </w:pPr>
      <w:r w:rsidRPr="00033986">
        <w:rPr>
          <w:szCs w:val="28"/>
        </w:rPr>
        <w:t xml:space="preserve">In assessing the quantum of damages, the </w:t>
      </w:r>
      <w:r w:rsidR="00C07891">
        <w:rPr>
          <w:szCs w:val="28"/>
        </w:rPr>
        <w:t>p</w:t>
      </w:r>
      <w:r w:rsidRPr="00033986">
        <w:rPr>
          <w:szCs w:val="28"/>
        </w:rPr>
        <w:t xml:space="preserve">laintiff’s counsel accepted that the </w:t>
      </w:r>
      <w:r w:rsidR="00C07891">
        <w:rPr>
          <w:szCs w:val="28"/>
        </w:rPr>
        <w:t>c</w:t>
      </w:r>
      <w:r w:rsidRPr="00033986">
        <w:rPr>
          <w:szCs w:val="28"/>
        </w:rPr>
        <w:t>ourt should not take into account the left knee condition</w:t>
      </w:r>
      <w:r w:rsidRPr="00033986">
        <w:rPr>
          <w:rStyle w:val="FootnoteReference"/>
          <w:szCs w:val="28"/>
        </w:rPr>
        <w:footnoteReference w:id="55"/>
      </w:r>
      <w:r w:rsidRPr="00033986">
        <w:rPr>
          <w:szCs w:val="28"/>
        </w:rPr>
        <w:t xml:space="preserve">. </w:t>
      </w:r>
      <w:r w:rsidR="00C07891">
        <w:rPr>
          <w:szCs w:val="28"/>
        </w:rPr>
        <w:t xml:space="preserve"> </w:t>
      </w:r>
      <w:r w:rsidRPr="00033986">
        <w:rPr>
          <w:szCs w:val="28"/>
        </w:rPr>
        <w:t xml:space="preserve">In fact, the </w:t>
      </w:r>
      <w:r w:rsidR="00C07891">
        <w:rPr>
          <w:szCs w:val="28"/>
        </w:rPr>
        <w:t>p</w:t>
      </w:r>
      <w:r w:rsidRPr="00033986">
        <w:rPr>
          <w:szCs w:val="28"/>
        </w:rPr>
        <w:t>laintiff’s counsel accepted that only the following injuries would be relevant:-</w:t>
      </w:r>
    </w:p>
    <w:p w14:paraId="3058DA76" w14:textId="77777777" w:rsidR="00033986" w:rsidRPr="00033986" w:rsidRDefault="00033986" w:rsidP="00033986">
      <w:pPr>
        <w:tabs>
          <w:tab w:val="clear" w:pos="4320"/>
        </w:tabs>
        <w:spacing w:line="360" w:lineRule="auto"/>
        <w:jc w:val="both"/>
        <w:rPr>
          <w:szCs w:val="28"/>
        </w:rPr>
      </w:pPr>
    </w:p>
    <w:p w14:paraId="5BC1B95B" w14:textId="77777777" w:rsidR="00033986" w:rsidRPr="00033986" w:rsidRDefault="00033986" w:rsidP="006F407B">
      <w:pPr>
        <w:pStyle w:val="ListParagraph"/>
        <w:numPr>
          <w:ilvl w:val="0"/>
          <w:numId w:val="9"/>
        </w:numPr>
        <w:tabs>
          <w:tab w:val="clear" w:pos="4320"/>
          <w:tab w:val="left" w:pos="2160"/>
        </w:tabs>
        <w:spacing w:line="360" w:lineRule="auto"/>
        <w:ind w:left="2160" w:hanging="720"/>
        <w:jc w:val="both"/>
        <w:rPr>
          <w:bCs/>
          <w:szCs w:val="28"/>
          <w:u w:val="single"/>
        </w:rPr>
      </w:pPr>
      <w:r w:rsidRPr="00033986">
        <w:rPr>
          <w:szCs w:val="28"/>
        </w:rPr>
        <w:t>Right knee injury/condition;</w:t>
      </w:r>
    </w:p>
    <w:p w14:paraId="31F0C5C1" w14:textId="77777777" w:rsidR="00033986" w:rsidRPr="00033986" w:rsidRDefault="00033986" w:rsidP="006F407B">
      <w:pPr>
        <w:pStyle w:val="ListParagraph"/>
        <w:numPr>
          <w:ilvl w:val="0"/>
          <w:numId w:val="9"/>
        </w:numPr>
        <w:tabs>
          <w:tab w:val="clear" w:pos="4320"/>
          <w:tab w:val="left" w:pos="2160"/>
        </w:tabs>
        <w:spacing w:line="360" w:lineRule="auto"/>
        <w:ind w:left="2160" w:hanging="720"/>
        <w:jc w:val="both"/>
        <w:rPr>
          <w:bCs/>
          <w:szCs w:val="28"/>
          <w:u w:val="single"/>
        </w:rPr>
      </w:pPr>
      <w:r w:rsidRPr="00033986">
        <w:rPr>
          <w:szCs w:val="28"/>
        </w:rPr>
        <w:lastRenderedPageBreak/>
        <w:t>Right wrist injury/condition;</w:t>
      </w:r>
    </w:p>
    <w:p w14:paraId="7CDF53F4" w14:textId="77777777" w:rsidR="00033986" w:rsidRPr="00033986" w:rsidRDefault="00033986" w:rsidP="006F407B">
      <w:pPr>
        <w:pStyle w:val="ListParagraph"/>
        <w:numPr>
          <w:ilvl w:val="0"/>
          <w:numId w:val="9"/>
        </w:numPr>
        <w:tabs>
          <w:tab w:val="clear" w:pos="4320"/>
          <w:tab w:val="left" w:pos="2160"/>
        </w:tabs>
        <w:spacing w:line="360" w:lineRule="auto"/>
        <w:ind w:left="2160" w:hanging="720"/>
        <w:jc w:val="both"/>
        <w:rPr>
          <w:bCs/>
          <w:szCs w:val="28"/>
          <w:u w:val="single"/>
        </w:rPr>
      </w:pPr>
      <w:r w:rsidRPr="00033986">
        <w:rPr>
          <w:szCs w:val="28"/>
        </w:rPr>
        <w:t xml:space="preserve">Right ankle injury/condition; and </w:t>
      </w:r>
    </w:p>
    <w:p w14:paraId="1EA4A57D" w14:textId="77777777" w:rsidR="00033986" w:rsidRPr="00033986" w:rsidRDefault="00033986" w:rsidP="006F407B">
      <w:pPr>
        <w:pStyle w:val="ListParagraph"/>
        <w:numPr>
          <w:ilvl w:val="0"/>
          <w:numId w:val="9"/>
        </w:numPr>
        <w:tabs>
          <w:tab w:val="clear" w:pos="4320"/>
          <w:tab w:val="left" w:pos="2160"/>
        </w:tabs>
        <w:spacing w:line="360" w:lineRule="auto"/>
        <w:ind w:left="2160" w:hanging="720"/>
        <w:jc w:val="both"/>
        <w:rPr>
          <w:bCs/>
          <w:szCs w:val="28"/>
          <w:u w:val="single"/>
        </w:rPr>
      </w:pPr>
      <w:r w:rsidRPr="00033986">
        <w:rPr>
          <w:szCs w:val="28"/>
        </w:rPr>
        <w:t xml:space="preserve">Psychiatric injury/condition. </w:t>
      </w:r>
    </w:p>
    <w:p w14:paraId="2D6D6AFA" w14:textId="77777777" w:rsidR="00033986" w:rsidRPr="00033986" w:rsidRDefault="00033986" w:rsidP="00033986">
      <w:pPr>
        <w:tabs>
          <w:tab w:val="clear" w:pos="4320"/>
        </w:tabs>
        <w:spacing w:line="360" w:lineRule="auto"/>
        <w:jc w:val="both"/>
        <w:rPr>
          <w:bCs/>
          <w:szCs w:val="28"/>
          <w:u w:val="single"/>
        </w:rPr>
      </w:pPr>
    </w:p>
    <w:p w14:paraId="59ADC5FF"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parties also agreed that the </w:t>
      </w:r>
      <w:r w:rsidR="00C07891">
        <w:rPr>
          <w:szCs w:val="28"/>
        </w:rPr>
        <w:t>c</w:t>
      </w:r>
      <w:r w:rsidRPr="00033986">
        <w:rPr>
          <w:szCs w:val="28"/>
        </w:rPr>
        <w:t xml:space="preserve">ourt has to evaluate the available evidence on an objective basis. </w:t>
      </w:r>
      <w:r w:rsidR="00C07891">
        <w:rPr>
          <w:szCs w:val="28"/>
        </w:rPr>
        <w:t xml:space="preserve"> </w:t>
      </w:r>
      <w:r w:rsidRPr="00033986">
        <w:rPr>
          <w:szCs w:val="28"/>
        </w:rPr>
        <w:t xml:space="preserve">I therefore did not place much reliance on the self-reported feelings and/or symptoms alleged by the </w:t>
      </w:r>
      <w:r w:rsidR="00C07891">
        <w:rPr>
          <w:szCs w:val="28"/>
        </w:rPr>
        <w:t>p</w:t>
      </w:r>
      <w:r w:rsidRPr="00033986">
        <w:rPr>
          <w:szCs w:val="28"/>
        </w:rPr>
        <w:t xml:space="preserve">laintiff in the witness box. </w:t>
      </w:r>
      <w:r w:rsidR="00C07891">
        <w:rPr>
          <w:szCs w:val="28"/>
        </w:rPr>
        <w:t xml:space="preserve"> </w:t>
      </w:r>
      <w:r w:rsidRPr="00033986">
        <w:rPr>
          <w:szCs w:val="28"/>
        </w:rPr>
        <w:t xml:space="preserve">Where the same were not consistent with the conclusions of the experts, I would incline to accept the conclusions of the expert subject to the following caveat. </w:t>
      </w:r>
      <w:r w:rsidR="00C07891">
        <w:rPr>
          <w:szCs w:val="28"/>
        </w:rPr>
        <w:t xml:space="preserve"> </w:t>
      </w:r>
      <w:r w:rsidRPr="00033986">
        <w:rPr>
          <w:szCs w:val="28"/>
        </w:rPr>
        <w:t>An expert is expected to discuss both the “subjective” and “objective” evidence on an even-handed and fair manner whether such evidence supports the case of those instructing him or not before coming to any conclusion.</w:t>
      </w:r>
      <w:r w:rsidR="00C07891">
        <w:rPr>
          <w:szCs w:val="28"/>
        </w:rPr>
        <w:t xml:space="preserve"> </w:t>
      </w:r>
      <w:r w:rsidRPr="00033986">
        <w:rPr>
          <w:szCs w:val="28"/>
        </w:rPr>
        <w:t xml:space="preserve"> In particular, the expert should address whether the “objective” evidence supports the “subjective” complaints. </w:t>
      </w:r>
      <w:r w:rsidR="00C07891">
        <w:rPr>
          <w:szCs w:val="28"/>
        </w:rPr>
        <w:t xml:space="preserve"> </w:t>
      </w:r>
      <w:r w:rsidRPr="00033986">
        <w:rPr>
          <w:szCs w:val="28"/>
        </w:rPr>
        <w:t xml:space="preserve">What an expert must not do is to “play advocate” by “cherry-picking” evidence which support one side’s case and base his opinion entirely on those without any qualifications: </w:t>
      </w:r>
      <w:r w:rsidRPr="00033986">
        <w:rPr>
          <w:rFonts w:eastAsia="PMingLiU"/>
          <w:i/>
          <w:iCs/>
          <w:szCs w:val="28"/>
          <w:lang w:eastAsia="zh-HK"/>
        </w:rPr>
        <w:t>Li Cheuk Lam v Cheung Sun Tai &amp; Ors</w:t>
      </w:r>
      <w:r w:rsidRPr="00033986">
        <w:rPr>
          <w:rFonts w:eastAsia="PMingLiU"/>
          <w:szCs w:val="28"/>
          <w:lang w:eastAsia="zh-HK"/>
        </w:rPr>
        <w:t>.</w:t>
      </w:r>
      <w:r w:rsidRPr="00033986">
        <w:rPr>
          <w:rStyle w:val="FootnoteReference"/>
          <w:rFonts w:eastAsia="PMingLiU"/>
          <w:szCs w:val="28"/>
          <w:lang w:eastAsia="zh-HK"/>
        </w:rPr>
        <w:footnoteReference w:id="56"/>
      </w:r>
    </w:p>
    <w:p w14:paraId="7A91A4EB" w14:textId="77777777" w:rsidR="00033986" w:rsidRPr="00033986" w:rsidRDefault="00033986" w:rsidP="00033986">
      <w:pPr>
        <w:tabs>
          <w:tab w:val="clear" w:pos="4320"/>
        </w:tabs>
        <w:spacing w:line="360" w:lineRule="auto"/>
        <w:jc w:val="both"/>
        <w:rPr>
          <w:szCs w:val="28"/>
        </w:rPr>
      </w:pPr>
    </w:p>
    <w:p w14:paraId="4070D10B"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opinions of Dr Ko and Dr Ho in respect of the conditions of the </w:t>
      </w:r>
      <w:r w:rsidR="00C07891">
        <w:rPr>
          <w:szCs w:val="28"/>
        </w:rPr>
        <w:t>p</w:t>
      </w:r>
      <w:r w:rsidRPr="00033986">
        <w:rPr>
          <w:szCs w:val="28"/>
        </w:rPr>
        <w:t>laintiff’s right knee, right wrist and right ankle can be summarised as follows:-</w:t>
      </w:r>
    </w:p>
    <w:p w14:paraId="43106EA2" w14:textId="77777777" w:rsidR="00033986" w:rsidRDefault="00033986" w:rsidP="00033986">
      <w:pPr>
        <w:tabs>
          <w:tab w:val="clear" w:pos="4320"/>
        </w:tabs>
        <w:spacing w:line="360" w:lineRule="auto"/>
        <w:jc w:val="both"/>
        <w:rPr>
          <w:szCs w:val="28"/>
        </w:rPr>
      </w:pPr>
    </w:p>
    <w:p w14:paraId="68711C4F" w14:textId="77777777" w:rsidR="00012869" w:rsidRDefault="00012869" w:rsidP="00033986">
      <w:pPr>
        <w:tabs>
          <w:tab w:val="clear" w:pos="4320"/>
        </w:tabs>
        <w:spacing w:line="360" w:lineRule="auto"/>
        <w:jc w:val="both"/>
        <w:rPr>
          <w:szCs w:val="28"/>
        </w:rPr>
      </w:pPr>
    </w:p>
    <w:p w14:paraId="5657EC46" w14:textId="77777777" w:rsidR="00012869" w:rsidRDefault="00012869" w:rsidP="00033986">
      <w:pPr>
        <w:tabs>
          <w:tab w:val="clear" w:pos="4320"/>
        </w:tabs>
        <w:spacing w:line="360" w:lineRule="auto"/>
        <w:jc w:val="both"/>
        <w:rPr>
          <w:szCs w:val="28"/>
        </w:rPr>
      </w:pPr>
    </w:p>
    <w:p w14:paraId="061010A6" w14:textId="77777777" w:rsidR="00012869" w:rsidRPr="00033986" w:rsidRDefault="00012869" w:rsidP="00033986">
      <w:pPr>
        <w:tabs>
          <w:tab w:val="clear" w:pos="4320"/>
        </w:tabs>
        <w:spacing w:line="360" w:lineRule="auto"/>
        <w:jc w:val="both"/>
        <w:rPr>
          <w:szCs w:val="28"/>
        </w:rPr>
      </w:pPr>
    </w:p>
    <w:tbl>
      <w:tblPr>
        <w:tblStyle w:val="TableGrid"/>
        <w:tblW w:w="0" w:type="auto"/>
        <w:tblInd w:w="-5" w:type="dxa"/>
        <w:tblLook w:val="04A0" w:firstRow="1" w:lastRow="0" w:firstColumn="1" w:lastColumn="0" w:noHBand="0" w:noVBand="1"/>
      </w:tblPr>
      <w:tblGrid>
        <w:gridCol w:w="2021"/>
        <w:gridCol w:w="3076"/>
        <w:gridCol w:w="3204"/>
      </w:tblGrid>
      <w:tr w:rsidR="00033986" w:rsidRPr="00033986" w14:paraId="004F522A" w14:textId="77777777" w:rsidTr="00012869">
        <w:trPr>
          <w:tblHeader/>
        </w:trPr>
        <w:tc>
          <w:tcPr>
            <w:tcW w:w="2021" w:type="dxa"/>
          </w:tcPr>
          <w:p w14:paraId="315B7444" w14:textId="77777777" w:rsidR="00033986" w:rsidRPr="00012869" w:rsidRDefault="00033986" w:rsidP="00012869">
            <w:pPr>
              <w:tabs>
                <w:tab w:val="clear" w:pos="4320"/>
              </w:tabs>
              <w:jc w:val="center"/>
              <w:rPr>
                <w:b/>
                <w:sz w:val="24"/>
                <w:szCs w:val="24"/>
              </w:rPr>
            </w:pPr>
          </w:p>
        </w:tc>
        <w:tc>
          <w:tcPr>
            <w:tcW w:w="3076" w:type="dxa"/>
          </w:tcPr>
          <w:p w14:paraId="1C8824E1" w14:textId="77777777" w:rsidR="00033986" w:rsidRPr="00012869" w:rsidRDefault="00033986" w:rsidP="00012869">
            <w:pPr>
              <w:tabs>
                <w:tab w:val="clear" w:pos="4320"/>
              </w:tabs>
              <w:jc w:val="center"/>
              <w:rPr>
                <w:b/>
                <w:sz w:val="24"/>
                <w:szCs w:val="24"/>
              </w:rPr>
            </w:pPr>
            <w:r w:rsidRPr="00012869">
              <w:rPr>
                <w:b/>
                <w:sz w:val="24"/>
                <w:szCs w:val="24"/>
              </w:rPr>
              <w:t>Dr Ko’s Opinions</w:t>
            </w:r>
          </w:p>
        </w:tc>
        <w:tc>
          <w:tcPr>
            <w:tcW w:w="3204" w:type="dxa"/>
          </w:tcPr>
          <w:p w14:paraId="2DFB8CDA" w14:textId="77777777" w:rsidR="00033986" w:rsidRPr="00012869" w:rsidRDefault="00033986" w:rsidP="00012869">
            <w:pPr>
              <w:tabs>
                <w:tab w:val="clear" w:pos="4320"/>
              </w:tabs>
              <w:jc w:val="center"/>
              <w:rPr>
                <w:b/>
                <w:sz w:val="24"/>
                <w:szCs w:val="24"/>
              </w:rPr>
            </w:pPr>
            <w:r w:rsidRPr="00012869">
              <w:rPr>
                <w:b/>
                <w:sz w:val="24"/>
                <w:szCs w:val="24"/>
              </w:rPr>
              <w:t>Dr Ho’s Opinions</w:t>
            </w:r>
          </w:p>
          <w:p w14:paraId="26575B1E" w14:textId="77777777" w:rsidR="00012869" w:rsidRPr="00012869" w:rsidRDefault="00012869" w:rsidP="00012869">
            <w:pPr>
              <w:tabs>
                <w:tab w:val="clear" w:pos="4320"/>
              </w:tabs>
              <w:jc w:val="center"/>
              <w:rPr>
                <w:b/>
                <w:sz w:val="24"/>
                <w:szCs w:val="24"/>
              </w:rPr>
            </w:pPr>
          </w:p>
        </w:tc>
      </w:tr>
      <w:tr w:rsidR="00033986" w:rsidRPr="00033986" w14:paraId="268E5AD2" w14:textId="77777777" w:rsidTr="00012869">
        <w:tc>
          <w:tcPr>
            <w:tcW w:w="2021" w:type="dxa"/>
          </w:tcPr>
          <w:p w14:paraId="7E0FB493" w14:textId="77777777" w:rsidR="00033986" w:rsidRPr="00C07891" w:rsidRDefault="00033986" w:rsidP="00012869">
            <w:pPr>
              <w:tabs>
                <w:tab w:val="clear" w:pos="4320"/>
              </w:tabs>
              <w:rPr>
                <w:sz w:val="24"/>
                <w:szCs w:val="24"/>
              </w:rPr>
            </w:pPr>
            <w:r w:rsidRPr="00C07891">
              <w:rPr>
                <w:sz w:val="24"/>
                <w:szCs w:val="24"/>
              </w:rPr>
              <w:t>Right Knee</w:t>
            </w:r>
          </w:p>
        </w:tc>
        <w:tc>
          <w:tcPr>
            <w:tcW w:w="3076" w:type="dxa"/>
          </w:tcPr>
          <w:p w14:paraId="3B8F68C2" w14:textId="77777777" w:rsidR="00033986" w:rsidRPr="00C07891" w:rsidRDefault="00033986" w:rsidP="00012869">
            <w:pPr>
              <w:tabs>
                <w:tab w:val="clear" w:pos="4320"/>
              </w:tabs>
              <w:rPr>
                <w:sz w:val="24"/>
                <w:szCs w:val="24"/>
              </w:rPr>
            </w:pPr>
            <w:r w:rsidRPr="00C07891">
              <w:rPr>
                <w:sz w:val="24"/>
                <w:szCs w:val="24"/>
              </w:rPr>
              <w:t>Patellar cartilage injury (lateral facet).</w:t>
            </w:r>
            <w:r w:rsidRPr="00C07891">
              <w:rPr>
                <w:rStyle w:val="FootnoteReference"/>
                <w:sz w:val="24"/>
                <w:szCs w:val="24"/>
              </w:rPr>
              <w:t xml:space="preserve"> </w:t>
            </w:r>
            <w:r w:rsidRPr="00C07891">
              <w:rPr>
                <w:rStyle w:val="FootnoteReference"/>
                <w:sz w:val="24"/>
                <w:szCs w:val="24"/>
              </w:rPr>
              <w:footnoteReference w:id="57"/>
            </w:r>
            <w:r w:rsidRPr="00C07891">
              <w:rPr>
                <w:sz w:val="24"/>
                <w:szCs w:val="24"/>
              </w:rPr>
              <w:t xml:space="preserve"> </w:t>
            </w:r>
          </w:p>
        </w:tc>
        <w:tc>
          <w:tcPr>
            <w:tcW w:w="3204" w:type="dxa"/>
          </w:tcPr>
          <w:p w14:paraId="07B2BE5C" w14:textId="77777777" w:rsidR="00033986" w:rsidRPr="00C07891" w:rsidRDefault="00033986" w:rsidP="00012869">
            <w:pPr>
              <w:tabs>
                <w:tab w:val="clear" w:pos="4320"/>
              </w:tabs>
              <w:rPr>
                <w:sz w:val="24"/>
                <w:szCs w:val="24"/>
              </w:rPr>
            </w:pPr>
            <w:r w:rsidRPr="00C07891">
              <w:rPr>
                <w:sz w:val="24"/>
                <w:szCs w:val="24"/>
              </w:rPr>
              <w:t xml:space="preserve">The injury only involved the soft tissues. </w:t>
            </w:r>
            <w:r w:rsidR="00012869">
              <w:rPr>
                <w:sz w:val="24"/>
                <w:szCs w:val="24"/>
              </w:rPr>
              <w:t xml:space="preserve"> </w:t>
            </w:r>
            <w:r w:rsidRPr="00C07891">
              <w:rPr>
                <w:sz w:val="24"/>
                <w:szCs w:val="24"/>
              </w:rPr>
              <w:t>There was chronic pre-existing degeneration of both knee joints which should belong to category (iii)</w:t>
            </w:r>
            <w:r w:rsidRPr="00C07891">
              <w:rPr>
                <w:rStyle w:val="FootnoteReference"/>
                <w:sz w:val="24"/>
                <w:szCs w:val="24"/>
              </w:rPr>
              <w:footnoteReference w:id="58"/>
            </w:r>
            <w:r w:rsidRPr="00C07891">
              <w:rPr>
                <w:sz w:val="24"/>
                <w:szCs w:val="24"/>
              </w:rPr>
              <w:t xml:space="preserve">. </w:t>
            </w:r>
            <w:r w:rsidR="00012869">
              <w:rPr>
                <w:sz w:val="24"/>
                <w:szCs w:val="24"/>
              </w:rPr>
              <w:t xml:space="preserve"> </w:t>
            </w:r>
            <w:r w:rsidRPr="00C07891">
              <w:rPr>
                <w:sz w:val="24"/>
                <w:szCs w:val="24"/>
              </w:rPr>
              <w:t>He would apportion 90% of her right knee condition to degeneration and 10% to the Accident</w:t>
            </w:r>
            <w:r w:rsidRPr="00C07891">
              <w:rPr>
                <w:rStyle w:val="FootnoteReference"/>
                <w:sz w:val="24"/>
                <w:szCs w:val="24"/>
              </w:rPr>
              <w:footnoteReference w:id="59"/>
            </w:r>
            <w:r w:rsidRPr="00C07891">
              <w:rPr>
                <w:sz w:val="24"/>
                <w:szCs w:val="24"/>
              </w:rPr>
              <w:t>.</w:t>
            </w:r>
          </w:p>
          <w:p w14:paraId="6F3D87C4" w14:textId="77777777" w:rsidR="00033986" w:rsidRPr="00C07891" w:rsidRDefault="00033986" w:rsidP="00012869">
            <w:pPr>
              <w:tabs>
                <w:tab w:val="clear" w:pos="4320"/>
              </w:tabs>
              <w:rPr>
                <w:sz w:val="24"/>
                <w:szCs w:val="24"/>
              </w:rPr>
            </w:pPr>
          </w:p>
        </w:tc>
      </w:tr>
      <w:tr w:rsidR="00033986" w:rsidRPr="00033986" w14:paraId="1393521E" w14:textId="77777777" w:rsidTr="00012869">
        <w:tc>
          <w:tcPr>
            <w:tcW w:w="2021" w:type="dxa"/>
          </w:tcPr>
          <w:p w14:paraId="3E3F046E" w14:textId="77777777" w:rsidR="00033986" w:rsidRPr="00C07891" w:rsidRDefault="00033986" w:rsidP="00012869">
            <w:pPr>
              <w:tabs>
                <w:tab w:val="clear" w:pos="4320"/>
              </w:tabs>
              <w:rPr>
                <w:sz w:val="24"/>
                <w:szCs w:val="24"/>
              </w:rPr>
            </w:pPr>
            <w:r w:rsidRPr="00C07891">
              <w:rPr>
                <w:sz w:val="24"/>
                <w:szCs w:val="24"/>
              </w:rPr>
              <w:t>Right Wrist</w:t>
            </w:r>
          </w:p>
        </w:tc>
        <w:tc>
          <w:tcPr>
            <w:tcW w:w="3076" w:type="dxa"/>
          </w:tcPr>
          <w:p w14:paraId="1299B725" w14:textId="77777777" w:rsidR="00033986" w:rsidRPr="00C07891" w:rsidRDefault="00033986" w:rsidP="00012869">
            <w:pPr>
              <w:tabs>
                <w:tab w:val="clear" w:pos="4320"/>
              </w:tabs>
              <w:rPr>
                <w:sz w:val="24"/>
                <w:szCs w:val="24"/>
              </w:rPr>
            </w:pPr>
            <w:r w:rsidRPr="00C07891">
              <w:rPr>
                <w:sz w:val="24"/>
                <w:szCs w:val="24"/>
              </w:rPr>
              <w:t>Probable TFCC tear or partial tear.</w:t>
            </w:r>
            <w:r w:rsidRPr="00C07891">
              <w:rPr>
                <w:rStyle w:val="FootnoteReference"/>
                <w:sz w:val="24"/>
                <w:szCs w:val="24"/>
              </w:rPr>
              <w:footnoteReference w:id="60"/>
            </w:r>
          </w:p>
        </w:tc>
        <w:tc>
          <w:tcPr>
            <w:tcW w:w="3204" w:type="dxa"/>
          </w:tcPr>
          <w:p w14:paraId="2E13CF59" w14:textId="77777777" w:rsidR="00033986" w:rsidRDefault="00033986" w:rsidP="00012869">
            <w:pPr>
              <w:tabs>
                <w:tab w:val="clear" w:pos="4320"/>
              </w:tabs>
              <w:rPr>
                <w:sz w:val="24"/>
                <w:szCs w:val="24"/>
              </w:rPr>
            </w:pPr>
            <w:r w:rsidRPr="00C07891">
              <w:rPr>
                <w:sz w:val="24"/>
                <w:szCs w:val="24"/>
              </w:rPr>
              <w:t>The injury only involved the soft tissues</w:t>
            </w:r>
            <w:r w:rsidRPr="00C07891">
              <w:rPr>
                <w:rStyle w:val="FootnoteReference"/>
                <w:sz w:val="24"/>
                <w:szCs w:val="24"/>
              </w:rPr>
              <w:footnoteReference w:id="61"/>
            </w:r>
            <w:r w:rsidRPr="00C07891">
              <w:rPr>
                <w:sz w:val="24"/>
                <w:szCs w:val="24"/>
              </w:rPr>
              <w:t xml:space="preserve">. </w:t>
            </w:r>
            <w:r w:rsidR="00012869">
              <w:rPr>
                <w:sz w:val="24"/>
                <w:szCs w:val="24"/>
              </w:rPr>
              <w:t xml:space="preserve"> </w:t>
            </w:r>
            <w:r w:rsidRPr="00C07891">
              <w:rPr>
                <w:sz w:val="24"/>
                <w:szCs w:val="24"/>
              </w:rPr>
              <w:t>The findings of suspected TFCC should be unrelated to the Accident.</w:t>
            </w:r>
            <w:r w:rsidRPr="00C07891">
              <w:rPr>
                <w:rStyle w:val="FootnoteReference"/>
                <w:sz w:val="24"/>
                <w:szCs w:val="24"/>
              </w:rPr>
              <w:footnoteReference w:id="62"/>
            </w:r>
          </w:p>
          <w:p w14:paraId="4906590E" w14:textId="77777777" w:rsidR="00012869" w:rsidRPr="00C07891" w:rsidRDefault="00012869" w:rsidP="00012869">
            <w:pPr>
              <w:tabs>
                <w:tab w:val="clear" w:pos="4320"/>
              </w:tabs>
              <w:rPr>
                <w:sz w:val="24"/>
                <w:szCs w:val="24"/>
              </w:rPr>
            </w:pPr>
          </w:p>
        </w:tc>
      </w:tr>
      <w:tr w:rsidR="00033986" w:rsidRPr="00033986" w14:paraId="2BF122C4" w14:textId="77777777" w:rsidTr="00012869">
        <w:tc>
          <w:tcPr>
            <w:tcW w:w="2021" w:type="dxa"/>
          </w:tcPr>
          <w:p w14:paraId="15C20F2F" w14:textId="77777777" w:rsidR="00033986" w:rsidRPr="00C07891" w:rsidRDefault="00033986" w:rsidP="00012869">
            <w:pPr>
              <w:tabs>
                <w:tab w:val="clear" w:pos="4320"/>
              </w:tabs>
              <w:rPr>
                <w:sz w:val="24"/>
                <w:szCs w:val="24"/>
              </w:rPr>
            </w:pPr>
            <w:r w:rsidRPr="00C07891">
              <w:rPr>
                <w:sz w:val="24"/>
                <w:szCs w:val="24"/>
              </w:rPr>
              <w:t>Right Ankle</w:t>
            </w:r>
          </w:p>
        </w:tc>
        <w:tc>
          <w:tcPr>
            <w:tcW w:w="3076" w:type="dxa"/>
          </w:tcPr>
          <w:p w14:paraId="50CD4016" w14:textId="77777777" w:rsidR="00033986" w:rsidRPr="00C07891" w:rsidRDefault="00033986" w:rsidP="00012869">
            <w:pPr>
              <w:tabs>
                <w:tab w:val="clear" w:pos="4320"/>
              </w:tabs>
              <w:rPr>
                <w:sz w:val="24"/>
                <w:szCs w:val="24"/>
              </w:rPr>
            </w:pPr>
            <w:r w:rsidRPr="00C07891">
              <w:rPr>
                <w:sz w:val="24"/>
                <w:szCs w:val="24"/>
              </w:rPr>
              <w:t>Sprain injury.</w:t>
            </w:r>
            <w:r w:rsidRPr="00C07891">
              <w:rPr>
                <w:rStyle w:val="FootnoteReference"/>
                <w:sz w:val="24"/>
                <w:szCs w:val="24"/>
              </w:rPr>
              <w:footnoteReference w:id="63"/>
            </w:r>
          </w:p>
        </w:tc>
        <w:tc>
          <w:tcPr>
            <w:tcW w:w="3204" w:type="dxa"/>
          </w:tcPr>
          <w:p w14:paraId="6D2066CE" w14:textId="77777777" w:rsidR="00033986" w:rsidRDefault="00033986" w:rsidP="00012869">
            <w:pPr>
              <w:tabs>
                <w:tab w:val="clear" w:pos="4320"/>
              </w:tabs>
              <w:rPr>
                <w:sz w:val="24"/>
                <w:szCs w:val="24"/>
              </w:rPr>
            </w:pPr>
            <w:r w:rsidRPr="00C07891">
              <w:rPr>
                <w:sz w:val="24"/>
                <w:szCs w:val="24"/>
              </w:rPr>
              <w:t>Sprain with soft tissue injury</w:t>
            </w:r>
            <w:r w:rsidRPr="00C07891">
              <w:rPr>
                <w:rStyle w:val="FootnoteReference"/>
                <w:sz w:val="24"/>
                <w:szCs w:val="24"/>
              </w:rPr>
              <w:footnoteReference w:id="64"/>
            </w:r>
            <w:r w:rsidRPr="00C07891">
              <w:rPr>
                <w:sz w:val="24"/>
                <w:szCs w:val="24"/>
              </w:rPr>
              <w:t>.</w:t>
            </w:r>
          </w:p>
          <w:p w14:paraId="0F14CC5F" w14:textId="77777777" w:rsidR="00012869" w:rsidRPr="00C07891" w:rsidRDefault="00012869" w:rsidP="00012869">
            <w:pPr>
              <w:tabs>
                <w:tab w:val="clear" w:pos="4320"/>
              </w:tabs>
              <w:rPr>
                <w:sz w:val="24"/>
                <w:szCs w:val="24"/>
              </w:rPr>
            </w:pPr>
          </w:p>
        </w:tc>
      </w:tr>
    </w:tbl>
    <w:p w14:paraId="5CCF9344" w14:textId="77777777" w:rsidR="00033986" w:rsidRPr="00033986" w:rsidRDefault="00033986" w:rsidP="00033986">
      <w:pPr>
        <w:tabs>
          <w:tab w:val="clear" w:pos="4320"/>
        </w:tabs>
        <w:spacing w:line="360" w:lineRule="auto"/>
        <w:jc w:val="both"/>
        <w:rPr>
          <w:szCs w:val="28"/>
        </w:rPr>
      </w:pPr>
    </w:p>
    <w:p w14:paraId="22517E48"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In respect of her physical injuries set out above, Dr Ko was of the view that sick leave period up to around October 2019. </w:t>
      </w:r>
      <w:r w:rsidR="00012869">
        <w:rPr>
          <w:szCs w:val="28"/>
        </w:rPr>
        <w:t xml:space="preserve"> </w:t>
      </w:r>
      <w:r w:rsidRPr="00033986">
        <w:rPr>
          <w:szCs w:val="28"/>
        </w:rPr>
        <w:t>Dr Ho was of the view that the appropriate period should be no more than 4 weeks.</w:t>
      </w:r>
      <w:r w:rsidRPr="00033986">
        <w:rPr>
          <w:rStyle w:val="FootnoteReference"/>
          <w:szCs w:val="28"/>
        </w:rPr>
        <w:footnoteReference w:id="65"/>
      </w:r>
      <w:r w:rsidRPr="00033986">
        <w:rPr>
          <w:szCs w:val="28"/>
        </w:rPr>
        <w:t xml:space="preserve"> </w:t>
      </w:r>
      <w:r w:rsidR="00012869">
        <w:rPr>
          <w:szCs w:val="28"/>
        </w:rPr>
        <w:t xml:space="preserve"> </w:t>
      </w:r>
      <w:r w:rsidRPr="00033986">
        <w:rPr>
          <w:szCs w:val="28"/>
        </w:rPr>
        <w:t>Further, Dr Ko was of the view that the degree of impairment for disability was 8% whilst Dr Ho was of the view that the same was 0.1%.</w:t>
      </w:r>
      <w:r w:rsidRPr="00033986">
        <w:rPr>
          <w:rStyle w:val="FootnoteReference"/>
          <w:szCs w:val="28"/>
        </w:rPr>
        <w:footnoteReference w:id="66"/>
      </w:r>
      <w:r w:rsidRPr="00033986">
        <w:rPr>
          <w:szCs w:val="28"/>
        </w:rPr>
        <w:t xml:space="preserve"> </w:t>
      </w:r>
    </w:p>
    <w:p w14:paraId="2B665D2F" w14:textId="77777777" w:rsidR="00033986" w:rsidRPr="00033986" w:rsidRDefault="00033986" w:rsidP="00033986">
      <w:pPr>
        <w:tabs>
          <w:tab w:val="clear" w:pos="4320"/>
        </w:tabs>
        <w:spacing w:line="360" w:lineRule="auto"/>
        <w:jc w:val="both"/>
        <w:rPr>
          <w:szCs w:val="28"/>
        </w:rPr>
      </w:pPr>
    </w:p>
    <w:p w14:paraId="1111A36D"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Having considered the available records, the opinions and basis for such opinions held by the experts concerning the physical injuries, I would prefer the opinions of Dr Ko generally. </w:t>
      </w:r>
    </w:p>
    <w:p w14:paraId="6CB74DC8" w14:textId="77777777" w:rsidR="00033986" w:rsidRPr="00033986" w:rsidRDefault="00033986" w:rsidP="00033986">
      <w:pPr>
        <w:tabs>
          <w:tab w:val="clear" w:pos="4320"/>
        </w:tabs>
        <w:spacing w:line="360" w:lineRule="auto"/>
        <w:jc w:val="both"/>
        <w:rPr>
          <w:szCs w:val="28"/>
        </w:rPr>
      </w:pPr>
    </w:p>
    <w:p w14:paraId="4F2FF2E8"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lastRenderedPageBreak/>
        <w:t>First, Dr Ko’s conclusion on the right knee’s condition was consistent with the MRI examination at STH</w:t>
      </w:r>
      <w:r w:rsidRPr="00033986">
        <w:rPr>
          <w:rStyle w:val="FootnoteReference"/>
          <w:szCs w:val="28"/>
        </w:rPr>
        <w:footnoteReference w:id="67"/>
      </w:r>
      <w:r w:rsidRPr="00033986">
        <w:rPr>
          <w:szCs w:val="28"/>
        </w:rPr>
        <w:t>.</w:t>
      </w:r>
    </w:p>
    <w:p w14:paraId="7D8694DB" w14:textId="77777777" w:rsidR="00033986" w:rsidRPr="00033986" w:rsidRDefault="00033986" w:rsidP="00033986">
      <w:pPr>
        <w:tabs>
          <w:tab w:val="clear" w:pos="4320"/>
        </w:tabs>
        <w:spacing w:line="360" w:lineRule="auto"/>
        <w:jc w:val="both"/>
        <w:rPr>
          <w:szCs w:val="28"/>
        </w:rPr>
      </w:pPr>
    </w:p>
    <w:p w14:paraId="2F0988F3"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Second, Dr Ho’s opinion that there was chronic pre-existing degeneration of both knees and it should belong to category (iii) was based on the fact that the </w:t>
      </w:r>
      <w:r w:rsidR="00012869">
        <w:rPr>
          <w:szCs w:val="28"/>
        </w:rPr>
        <w:t>p</w:t>
      </w:r>
      <w:r w:rsidRPr="00033986">
        <w:rPr>
          <w:szCs w:val="28"/>
        </w:rPr>
        <w:t>laintiff had been referred to the Total Joint Replacement Clinic for total joint replacement and according to the said referral letter, the right side was more sever</w:t>
      </w:r>
      <w:r w:rsidRPr="00033986">
        <w:rPr>
          <w:rStyle w:val="FootnoteReference"/>
          <w:szCs w:val="28"/>
        </w:rPr>
        <w:footnoteReference w:id="68"/>
      </w:r>
      <w:r w:rsidRPr="00033986">
        <w:rPr>
          <w:szCs w:val="28"/>
        </w:rPr>
        <w:t xml:space="preserve">. </w:t>
      </w:r>
      <w:r w:rsidR="00012869">
        <w:rPr>
          <w:szCs w:val="28"/>
        </w:rPr>
        <w:t xml:space="preserve"> </w:t>
      </w:r>
      <w:r w:rsidRPr="00033986">
        <w:rPr>
          <w:szCs w:val="28"/>
        </w:rPr>
        <w:t xml:space="preserve">I agree with the submission of the </w:t>
      </w:r>
      <w:r w:rsidR="00012869">
        <w:rPr>
          <w:szCs w:val="28"/>
        </w:rPr>
        <w:t>p</w:t>
      </w:r>
      <w:r w:rsidRPr="00033986">
        <w:rPr>
          <w:szCs w:val="28"/>
        </w:rPr>
        <w:t xml:space="preserve">laintiff’s counsel that there was no evidence to support his opinion that her present state would certainly have occurred at some stage even if not for the Accident. </w:t>
      </w:r>
      <w:r w:rsidR="00012869">
        <w:rPr>
          <w:szCs w:val="28"/>
        </w:rPr>
        <w:t xml:space="preserve"> </w:t>
      </w:r>
      <w:r w:rsidRPr="00033986">
        <w:rPr>
          <w:szCs w:val="28"/>
        </w:rPr>
        <w:t>In particular, the referral was made on 24 June 2020 ie</w:t>
      </w:r>
      <w:r w:rsidR="00012869">
        <w:rPr>
          <w:szCs w:val="28"/>
        </w:rPr>
        <w:t xml:space="preserve"> </w:t>
      </w:r>
      <w:r w:rsidRPr="00033986">
        <w:rPr>
          <w:szCs w:val="28"/>
        </w:rPr>
        <w:t xml:space="preserve">around 3.5 years after the Accident. </w:t>
      </w:r>
      <w:r w:rsidR="00012869">
        <w:rPr>
          <w:szCs w:val="28"/>
        </w:rPr>
        <w:t xml:space="preserve"> </w:t>
      </w:r>
      <w:r w:rsidRPr="00033986">
        <w:rPr>
          <w:szCs w:val="28"/>
        </w:rPr>
        <w:t>Where the x-ray taken on 15 June 2020 showed minimal to mild degenerative changes for both knees</w:t>
      </w:r>
      <w:r w:rsidRPr="00033986">
        <w:rPr>
          <w:rStyle w:val="FootnoteReference"/>
          <w:szCs w:val="28"/>
        </w:rPr>
        <w:footnoteReference w:id="69"/>
      </w:r>
      <w:r w:rsidRPr="00033986">
        <w:rPr>
          <w:szCs w:val="28"/>
        </w:rPr>
        <w:t>, it is simply unclear whether the same relating to the right knee could really be taken as a relevant pre-existing condition such that any meaningful apportionment would be necessary.</w:t>
      </w:r>
    </w:p>
    <w:p w14:paraId="1BD7A1A1" w14:textId="77777777" w:rsidR="00033986" w:rsidRPr="00033986" w:rsidRDefault="00033986" w:rsidP="00033986">
      <w:pPr>
        <w:tabs>
          <w:tab w:val="clear" w:pos="4320"/>
        </w:tabs>
        <w:spacing w:line="360" w:lineRule="auto"/>
        <w:jc w:val="both"/>
        <w:rPr>
          <w:szCs w:val="28"/>
        </w:rPr>
      </w:pPr>
    </w:p>
    <w:p w14:paraId="3A605EAD"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More importantly, it is equally unclear what was the basis for Dr Ho to apportion 90% of the </w:t>
      </w:r>
      <w:r w:rsidR="00012869">
        <w:rPr>
          <w:szCs w:val="28"/>
        </w:rPr>
        <w:t>p</w:t>
      </w:r>
      <w:r w:rsidRPr="00033986">
        <w:rPr>
          <w:szCs w:val="28"/>
        </w:rPr>
        <w:t>laintiff’s right knee condition to degeneration</w:t>
      </w:r>
      <w:r w:rsidRPr="00033986">
        <w:rPr>
          <w:rStyle w:val="FootnoteReference"/>
          <w:szCs w:val="28"/>
        </w:rPr>
        <w:footnoteReference w:id="70"/>
      </w:r>
      <w:r w:rsidRPr="00033986">
        <w:rPr>
          <w:szCs w:val="28"/>
        </w:rPr>
        <w:t xml:space="preserve">. </w:t>
      </w:r>
      <w:r w:rsidR="00012869">
        <w:rPr>
          <w:szCs w:val="28"/>
        </w:rPr>
        <w:t xml:space="preserve"> </w:t>
      </w:r>
      <w:r w:rsidRPr="00033986">
        <w:rPr>
          <w:szCs w:val="28"/>
        </w:rPr>
        <w:t xml:space="preserve">No particular explanation let alone justifiable and objective explanation had been pro-offered. </w:t>
      </w:r>
    </w:p>
    <w:p w14:paraId="1E1CEDBD" w14:textId="77777777" w:rsidR="00033986" w:rsidRPr="00033986" w:rsidRDefault="00033986" w:rsidP="00033986">
      <w:pPr>
        <w:tabs>
          <w:tab w:val="clear" w:pos="4320"/>
        </w:tabs>
        <w:spacing w:line="360" w:lineRule="auto"/>
        <w:jc w:val="both"/>
        <w:rPr>
          <w:szCs w:val="28"/>
        </w:rPr>
      </w:pPr>
    </w:p>
    <w:p w14:paraId="56D92BCC"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Third, Dr Ko was fair in pointing out that no evidence was found to draw any causal relationship concerning the </w:t>
      </w:r>
      <w:r w:rsidR="00012869">
        <w:rPr>
          <w:szCs w:val="28"/>
        </w:rPr>
        <w:t>p</w:t>
      </w:r>
      <w:r w:rsidRPr="00033986">
        <w:rPr>
          <w:szCs w:val="28"/>
        </w:rPr>
        <w:t>laintiff’s left knee pain with the Accident.</w:t>
      </w:r>
      <w:r w:rsidRPr="00033986">
        <w:rPr>
          <w:rStyle w:val="FootnoteReference"/>
          <w:szCs w:val="28"/>
        </w:rPr>
        <w:footnoteReference w:id="71"/>
      </w:r>
      <w:r w:rsidRPr="00033986">
        <w:rPr>
          <w:szCs w:val="28"/>
        </w:rPr>
        <w:t xml:space="preserve"> </w:t>
      </w:r>
    </w:p>
    <w:p w14:paraId="64721D87" w14:textId="77777777" w:rsidR="00033986" w:rsidRPr="00033986" w:rsidRDefault="00033986" w:rsidP="00033986">
      <w:pPr>
        <w:tabs>
          <w:tab w:val="clear" w:pos="4320"/>
        </w:tabs>
        <w:spacing w:line="360" w:lineRule="auto"/>
        <w:jc w:val="both"/>
        <w:rPr>
          <w:szCs w:val="28"/>
        </w:rPr>
      </w:pPr>
    </w:p>
    <w:p w14:paraId="08E3BDE1"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Fourth, Dr Ko’s initial assessment of the condition of the </w:t>
      </w:r>
      <w:r w:rsidR="00012869">
        <w:rPr>
          <w:szCs w:val="28"/>
        </w:rPr>
        <w:t>p</w:t>
      </w:r>
      <w:r w:rsidRPr="00033986">
        <w:rPr>
          <w:szCs w:val="28"/>
        </w:rPr>
        <w:t xml:space="preserve">laintiff’s right wrist was confirmed by the MRI examination in 2021. </w:t>
      </w:r>
      <w:r w:rsidR="00012869">
        <w:rPr>
          <w:szCs w:val="28"/>
        </w:rPr>
        <w:t xml:space="preserve"> </w:t>
      </w:r>
      <w:r w:rsidRPr="00033986">
        <w:rPr>
          <w:szCs w:val="28"/>
        </w:rPr>
        <w:t>It was only upon seeing the MRI</w:t>
      </w:r>
      <w:r w:rsidR="00012869">
        <w:rPr>
          <w:szCs w:val="28"/>
        </w:rPr>
        <w:t>’</w:t>
      </w:r>
      <w:r w:rsidRPr="00033986">
        <w:rPr>
          <w:szCs w:val="28"/>
        </w:rPr>
        <w:t>s result that Dr Ho agreed in the JSMR that there was a suspected avulsion of the TFCC but nevertheless then suggested the same was unrelated to the Accident and therefore maintained his opinions in the JMR</w:t>
      </w:r>
      <w:r w:rsidRPr="00033986">
        <w:rPr>
          <w:rStyle w:val="FootnoteReference"/>
          <w:szCs w:val="28"/>
        </w:rPr>
        <w:footnoteReference w:id="72"/>
      </w:r>
      <w:r w:rsidRPr="00033986">
        <w:rPr>
          <w:szCs w:val="28"/>
        </w:rPr>
        <w:t xml:space="preserve">. </w:t>
      </w:r>
      <w:r w:rsidR="00012869">
        <w:rPr>
          <w:szCs w:val="28"/>
        </w:rPr>
        <w:t xml:space="preserve"> </w:t>
      </w:r>
      <w:r w:rsidRPr="00033986">
        <w:rPr>
          <w:szCs w:val="28"/>
        </w:rPr>
        <w:t xml:space="preserve">The purported explanation appeared to have relied on “cherry-picking” some reports from Ngau Tau Kok GOPC. </w:t>
      </w:r>
      <w:r w:rsidR="00012869">
        <w:rPr>
          <w:szCs w:val="28"/>
        </w:rPr>
        <w:t xml:space="preserve"> </w:t>
      </w:r>
      <w:r w:rsidRPr="00033986">
        <w:rPr>
          <w:szCs w:val="28"/>
        </w:rPr>
        <w:t xml:space="preserve">It was said that the </w:t>
      </w:r>
      <w:r w:rsidR="00012869">
        <w:rPr>
          <w:szCs w:val="28"/>
        </w:rPr>
        <w:t>p</w:t>
      </w:r>
      <w:r w:rsidRPr="00033986">
        <w:rPr>
          <w:szCs w:val="28"/>
        </w:rPr>
        <w:t xml:space="preserve">laintiff only complained of right wrist pain on 18 April 2018 despite having been attending that clinic since 28 November 2016. </w:t>
      </w:r>
      <w:r w:rsidR="00012869">
        <w:rPr>
          <w:szCs w:val="28"/>
        </w:rPr>
        <w:t xml:space="preserve"> </w:t>
      </w:r>
      <w:r w:rsidRPr="00033986">
        <w:rPr>
          <w:szCs w:val="28"/>
        </w:rPr>
        <w:t xml:space="preserve">This is actually untrue. </w:t>
      </w:r>
      <w:r w:rsidR="00012869">
        <w:rPr>
          <w:szCs w:val="28"/>
        </w:rPr>
        <w:t xml:space="preserve"> </w:t>
      </w:r>
      <w:r w:rsidRPr="00033986">
        <w:rPr>
          <w:szCs w:val="28"/>
        </w:rPr>
        <w:t xml:space="preserve">As the </w:t>
      </w:r>
      <w:r w:rsidR="00012869">
        <w:rPr>
          <w:szCs w:val="28"/>
        </w:rPr>
        <w:t>d</w:t>
      </w:r>
      <w:r w:rsidRPr="00033986">
        <w:rPr>
          <w:szCs w:val="28"/>
        </w:rPr>
        <w:t xml:space="preserve">efendant’s counsel had to accept, the </w:t>
      </w:r>
      <w:r w:rsidR="00012869">
        <w:rPr>
          <w:szCs w:val="28"/>
        </w:rPr>
        <w:t>p</w:t>
      </w:r>
      <w:r w:rsidRPr="00033986">
        <w:rPr>
          <w:szCs w:val="28"/>
        </w:rPr>
        <w:t xml:space="preserve">laintiff did complain about the right wrist pain from time to time including that at the Ngau Tau Kok GOPC in 2017. </w:t>
      </w:r>
      <w:r w:rsidR="00012869">
        <w:rPr>
          <w:szCs w:val="28"/>
        </w:rPr>
        <w:t xml:space="preserve"> </w:t>
      </w:r>
      <w:r w:rsidRPr="00033986">
        <w:rPr>
          <w:szCs w:val="28"/>
        </w:rPr>
        <w:t>The same can also be seen from the record of United Christian Hospital on 13 December 2016</w:t>
      </w:r>
      <w:r w:rsidRPr="00033986">
        <w:rPr>
          <w:rStyle w:val="FootnoteReference"/>
          <w:szCs w:val="28"/>
        </w:rPr>
        <w:footnoteReference w:id="73"/>
      </w:r>
      <w:r w:rsidRPr="00033986">
        <w:rPr>
          <w:szCs w:val="28"/>
        </w:rPr>
        <w:t>.</w:t>
      </w:r>
    </w:p>
    <w:p w14:paraId="23F8218E" w14:textId="77777777" w:rsidR="00033986" w:rsidRPr="00033986" w:rsidRDefault="00033986" w:rsidP="00033986">
      <w:pPr>
        <w:tabs>
          <w:tab w:val="clear" w:pos="4320"/>
        </w:tabs>
        <w:spacing w:line="360" w:lineRule="auto"/>
        <w:jc w:val="both"/>
        <w:rPr>
          <w:szCs w:val="28"/>
        </w:rPr>
      </w:pPr>
    </w:p>
    <w:p w14:paraId="012BFCA3"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In terms of the </w:t>
      </w:r>
      <w:r w:rsidR="00012869">
        <w:rPr>
          <w:szCs w:val="28"/>
        </w:rPr>
        <w:t>p</w:t>
      </w:r>
      <w:r w:rsidRPr="00033986">
        <w:rPr>
          <w:szCs w:val="28"/>
        </w:rPr>
        <w:t xml:space="preserve">laintiff’s psychiatric condition, Dr Wong considered the </w:t>
      </w:r>
      <w:r w:rsidR="00012869">
        <w:rPr>
          <w:szCs w:val="28"/>
        </w:rPr>
        <w:t>p</w:t>
      </w:r>
      <w:r w:rsidRPr="00033986">
        <w:rPr>
          <w:szCs w:val="28"/>
        </w:rPr>
        <w:t>laintiff to have suffered from a major depression disorder (“MDD”) of mild intensity</w:t>
      </w:r>
      <w:r w:rsidRPr="00033986">
        <w:rPr>
          <w:rStyle w:val="FootnoteReference"/>
          <w:szCs w:val="28"/>
        </w:rPr>
        <w:footnoteReference w:id="74"/>
      </w:r>
      <w:r w:rsidRPr="00033986">
        <w:rPr>
          <w:szCs w:val="28"/>
        </w:rPr>
        <w:t xml:space="preserve">. </w:t>
      </w:r>
      <w:r w:rsidR="00012869">
        <w:rPr>
          <w:szCs w:val="28"/>
        </w:rPr>
        <w:t xml:space="preserve"> </w:t>
      </w:r>
      <w:r w:rsidRPr="00033986">
        <w:rPr>
          <w:szCs w:val="28"/>
        </w:rPr>
        <w:t>On the other hand, Dr Hung considered that the appropriate diagnosis should be Adjustment Disorder.</w:t>
      </w:r>
      <w:r w:rsidRPr="00033986">
        <w:rPr>
          <w:rStyle w:val="FootnoteReference"/>
          <w:szCs w:val="28"/>
        </w:rPr>
        <w:footnoteReference w:id="75"/>
      </w:r>
      <w:r w:rsidRPr="00033986">
        <w:rPr>
          <w:szCs w:val="28"/>
        </w:rPr>
        <w:t xml:space="preserve"> </w:t>
      </w:r>
      <w:r w:rsidR="00012869">
        <w:rPr>
          <w:szCs w:val="28"/>
        </w:rPr>
        <w:t xml:space="preserve"> </w:t>
      </w:r>
      <w:r w:rsidRPr="00033986">
        <w:rPr>
          <w:szCs w:val="28"/>
        </w:rPr>
        <w:t xml:space="preserve">For sick leave required for the psychiatric condition, Dr Wong recommended granting the </w:t>
      </w:r>
      <w:r w:rsidR="00012869">
        <w:rPr>
          <w:szCs w:val="28"/>
        </w:rPr>
        <w:t>p</w:t>
      </w:r>
      <w:r w:rsidRPr="00033986">
        <w:rPr>
          <w:szCs w:val="28"/>
        </w:rPr>
        <w:t xml:space="preserve">laintiff sick leave period of 3 months from the date of the report, which would take it to 21 December 2021. </w:t>
      </w:r>
      <w:r w:rsidR="00012869">
        <w:rPr>
          <w:szCs w:val="28"/>
        </w:rPr>
        <w:t xml:space="preserve"> </w:t>
      </w:r>
      <w:r w:rsidRPr="00033986">
        <w:rPr>
          <w:szCs w:val="28"/>
        </w:rPr>
        <w:t>On the other hand, Dr Hung was of the view that 3 months from the first psychiatric appointment (which took place on 6 September 2018)</w:t>
      </w:r>
      <w:r w:rsidRPr="00033986">
        <w:rPr>
          <w:rStyle w:val="FootnoteReference"/>
          <w:szCs w:val="28"/>
        </w:rPr>
        <w:t xml:space="preserve"> </w:t>
      </w:r>
      <w:r w:rsidRPr="00033986">
        <w:rPr>
          <w:rStyle w:val="FootnoteReference"/>
          <w:szCs w:val="28"/>
        </w:rPr>
        <w:footnoteReference w:id="76"/>
      </w:r>
      <w:r w:rsidRPr="00033986">
        <w:rPr>
          <w:szCs w:val="28"/>
        </w:rPr>
        <w:t xml:space="preserve"> would be sufficient</w:t>
      </w:r>
      <w:r w:rsidRPr="00033986">
        <w:rPr>
          <w:rStyle w:val="FootnoteReference"/>
          <w:szCs w:val="28"/>
        </w:rPr>
        <w:footnoteReference w:id="77"/>
      </w:r>
      <w:r w:rsidRPr="00033986">
        <w:rPr>
          <w:szCs w:val="28"/>
        </w:rPr>
        <w:t xml:space="preserve">. </w:t>
      </w:r>
    </w:p>
    <w:p w14:paraId="0F87A799" w14:textId="77777777" w:rsidR="00033986" w:rsidRPr="00033986" w:rsidRDefault="00033986" w:rsidP="00033986">
      <w:pPr>
        <w:tabs>
          <w:tab w:val="clear" w:pos="4320"/>
        </w:tabs>
        <w:spacing w:line="360" w:lineRule="auto"/>
        <w:jc w:val="both"/>
        <w:rPr>
          <w:szCs w:val="28"/>
        </w:rPr>
      </w:pPr>
    </w:p>
    <w:p w14:paraId="62355CC4"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As submitted by the </w:t>
      </w:r>
      <w:r w:rsidR="00012869">
        <w:rPr>
          <w:szCs w:val="28"/>
        </w:rPr>
        <w:t>d</w:t>
      </w:r>
      <w:r w:rsidRPr="00033986">
        <w:rPr>
          <w:szCs w:val="28"/>
        </w:rPr>
        <w:t xml:space="preserve">efendant’s counsel and I agree, the difference between the psychiatric experts on diagnosis is not that material. </w:t>
      </w:r>
      <w:r w:rsidR="00012869">
        <w:rPr>
          <w:szCs w:val="28"/>
        </w:rPr>
        <w:t xml:space="preserve"> </w:t>
      </w:r>
      <w:r w:rsidRPr="00033986">
        <w:rPr>
          <w:szCs w:val="28"/>
        </w:rPr>
        <w:t xml:space="preserve">In all circumstances, the experts agreed that the </w:t>
      </w:r>
      <w:r w:rsidR="00012869">
        <w:rPr>
          <w:szCs w:val="28"/>
        </w:rPr>
        <w:t>p</w:t>
      </w:r>
      <w:r w:rsidRPr="00033986">
        <w:rPr>
          <w:szCs w:val="28"/>
        </w:rPr>
        <w:t>laintiff is and was suffering from a psychiatric condition and she had no pre-existing mental problem before the Accident</w:t>
      </w:r>
      <w:r w:rsidRPr="00033986">
        <w:rPr>
          <w:rStyle w:val="FootnoteReference"/>
          <w:szCs w:val="28"/>
        </w:rPr>
        <w:footnoteReference w:id="78"/>
      </w:r>
      <w:r w:rsidRPr="00033986">
        <w:rPr>
          <w:szCs w:val="28"/>
        </w:rPr>
        <w:t xml:space="preserve">. </w:t>
      </w:r>
      <w:r w:rsidR="00012869">
        <w:rPr>
          <w:szCs w:val="28"/>
        </w:rPr>
        <w:t xml:space="preserve"> </w:t>
      </w:r>
      <w:r w:rsidRPr="00033986">
        <w:rPr>
          <w:szCs w:val="28"/>
        </w:rPr>
        <w:t xml:space="preserve">It really does not matter whether it is called a depressive disorder or an adjustment disorder with depressive mood: </w:t>
      </w:r>
      <w:r w:rsidRPr="00033986">
        <w:rPr>
          <w:i/>
          <w:iCs/>
          <w:szCs w:val="28"/>
        </w:rPr>
        <w:t>Joan Carol Boivin v Wing Kin Yin &amp; Anor</w:t>
      </w:r>
      <w:r w:rsidRPr="00012869">
        <w:rPr>
          <w:rStyle w:val="FootnoteReference"/>
          <w:iCs/>
          <w:szCs w:val="28"/>
        </w:rPr>
        <w:footnoteReference w:id="79"/>
      </w:r>
      <w:r w:rsidR="00012869">
        <w:rPr>
          <w:i/>
          <w:iCs/>
          <w:szCs w:val="28"/>
        </w:rPr>
        <w:t xml:space="preserve"> </w:t>
      </w:r>
      <w:r w:rsidRPr="00033986">
        <w:rPr>
          <w:i/>
          <w:iCs/>
          <w:szCs w:val="28"/>
        </w:rPr>
        <w:t>&amp; Chu Kwong Fu v Wonder Gold Investment Ltd</w:t>
      </w:r>
      <w:r w:rsidRPr="00012869">
        <w:rPr>
          <w:rStyle w:val="FootnoteReference"/>
          <w:iCs/>
          <w:szCs w:val="28"/>
        </w:rPr>
        <w:footnoteReference w:id="80"/>
      </w:r>
      <w:r w:rsidRPr="00012869">
        <w:rPr>
          <w:iCs/>
          <w:szCs w:val="28"/>
        </w:rPr>
        <w:t>.</w:t>
      </w:r>
      <w:r w:rsidRPr="00033986">
        <w:rPr>
          <w:i/>
          <w:iCs/>
          <w:szCs w:val="28"/>
        </w:rPr>
        <w:t xml:space="preserve"> </w:t>
      </w:r>
    </w:p>
    <w:p w14:paraId="3434BBC9" w14:textId="77777777" w:rsidR="00033986" w:rsidRPr="00033986" w:rsidRDefault="00033986" w:rsidP="00033986">
      <w:pPr>
        <w:tabs>
          <w:tab w:val="clear" w:pos="4320"/>
        </w:tabs>
        <w:spacing w:line="360" w:lineRule="auto"/>
        <w:jc w:val="both"/>
        <w:rPr>
          <w:szCs w:val="28"/>
        </w:rPr>
      </w:pPr>
    </w:p>
    <w:p w14:paraId="6614D174"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Even according to Dr Hung, the diagnosis of MDD of mild intensity or Adjustment Disorder is determined by whether the </w:t>
      </w:r>
      <w:r w:rsidR="00012869">
        <w:rPr>
          <w:szCs w:val="28"/>
        </w:rPr>
        <w:t>p</w:t>
      </w:r>
      <w:r w:rsidRPr="00033986">
        <w:rPr>
          <w:szCs w:val="28"/>
        </w:rPr>
        <w:t>laintiff indeed suffered from the additional symptoms and whether her functioning was actually as she reported at the joint examination</w:t>
      </w:r>
      <w:r w:rsidRPr="00033986">
        <w:rPr>
          <w:rStyle w:val="FootnoteReference"/>
          <w:szCs w:val="28"/>
        </w:rPr>
        <w:footnoteReference w:id="81"/>
      </w:r>
      <w:r w:rsidRPr="00033986">
        <w:rPr>
          <w:szCs w:val="28"/>
        </w:rPr>
        <w:t xml:space="preserve">. </w:t>
      </w:r>
      <w:r w:rsidR="00012869">
        <w:rPr>
          <w:szCs w:val="28"/>
        </w:rPr>
        <w:t xml:space="preserve"> </w:t>
      </w:r>
      <w:r w:rsidRPr="00033986">
        <w:rPr>
          <w:szCs w:val="28"/>
        </w:rPr>
        <w:t xml:space="preserve">Again, this was rather subjective, and I am unable to attach much objective weight on the </w:t>
      </w:r>
      <w:r w:rsidR="00012869">
        <w:rPr>
          <w:szCs w:val="28"/>
        </w:rPr>
        <w:t>p</w:t>
      </w:r>
      <w:r w:rsidRPr="00033986">
        <w:rPr>
          <w:szCs w:val="28"/>
        </w:rPr>
        <w:t>laintiff’s self-reported feelings and symptoms.</w:t>
      </w:r>
    </w:p>
    <w:p w14:paraId="47B43B43" w14:textId="77777777" w:rsidR="00033986" w:rsidRPr="00033986" w:rsidRDefault="00033986" w:rsidP="00033986">
      <w:pPr>
        <w:tabs>
          <w:tab w:val="clear" w:pos="4320"/>
        </w:tabs>
        <w:spacing w:line="360" w:lineRule="auto"/>
        <w:jc w:val="both"/>
        <w:rPr>
          <w:szCs w:val="28"/>
        </w:rPr>
      </w:pPr>
    </w:p>
    <w:p w14:paraId="6852574C"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Ultimately, I am of the view that the overall physical or orthopeadic condition of the </w:t>
      </w:r>
      <w:r w:rsidR="00012869">
        <w:rPr>
          <w:szCs w:val="28"/>
        </w:rPr>
        <w:t>p</w:t>
      </w:r>
      <w:r w:rsidRPr="00033986">
        <w:rPr>
          <w:szCs w:val="28"/>
        </w:rPr>
        <w:t>laintiff especially pertaining to the right knee and right wrist was not as minor as opined by Dr Ho.</w:t>
      </w:r>
      <w:r w:rsidR="00012869">
        <w:rPr>
          <w:szCs w:val="28"/>
        </w:rPr>
        <w:t xml:space="preserve"> </w:t>
      </w:r>
      <w:r w:rsidRPr="00033986">
        <w:rPr>
          <w:szCs w:val="28"/>
        </w:rPr>
        <w:t xml:space="preserve"> However, I agree the psychiatric condition of the </w:t>
      </w:r>
      <w:r w:rsidR="00012869">
        <w:rPr>
          <w:szCs w:val="28"/>
        </w:rPr>
        <w:t>p</w:t>
      </w:r>
      <w:r w:rsidRPr="00033986">
        <w:rPr>
          <w:szCs w:val="28"/>
        </w:rPr>
        <w:t xml:space="preserve">laintiff should be mild. </w:t>
      </w:r>
      <w:r w:rsidR="00012869">
        <w:rPr>
          <w:szCs w:val="28"/>
        </w:rPr>
        <w:t xml:space="preserve"> </w:t>
      </w:r>
      <w:r w:rsidRPr="00033986">
        <w:rPr>
          <w:szCs w:val="28"/>
        </w:rPr>
        <w:t>I am not satisfied that she could not return to her pre-Accident work.</w:t>
      </w:r>
    </w:p>
    <w:p w14:paraId="39EBF645" w14:textId="77777777" w:rsidR="00033986" w:rsidRPr="00033986" w:rsidRDefault="00033986" w:rsidP="00033986">
      <w:pPr>
        <w:tabs>
          <w:tab w:val="clear" w:pos="4320"/>
        </w:tabs>
        <w:spacing w:line="360" w:lineRule="auto"/>
        <w:jc w:val="both"/>
        <w:rPr>
          <w:szCs w:val="28"/>
        </w:rPr>
      </w:pPr>
    </w:p>
    <w:p w14:paraId="2C5391FB" w14:textId="77777777" w:rsidR="00033986" w:rsidRPr="00012869" w:rsidRDefault="007B10DA" w:rsidP="007B10DA">
      <w:pPr>
        <w:pStyle w:val="ListParagraph"/>
        <w:keepNext/>
        <w:keepLines/>
        <w:widowControl w:val="0"/>
        <w:tabs>
          <w:tab w:val="clear" w:pos="4320"/>
        </w:tabs>
        <w:spacing w:line="360" w:lineRule="auto"/>
        <w:ind w:left="0"/>
        <w:jc w:val="both"/>
        <w:rPr>
          <w:bCs/>
          <w:i/>
          <w:szCs w:val="28"/>
          <w:u w:val="single"/>
        </w:rPr>
      </w:pPr>
      <w:r>
        <w:rPr>
          <w:bCs/>
          <w:i/>
          <w:szCs w:val="28"/>
          <w:u w:val="single"/>
        </w:rPr>
        <w:lastRenderedPageBreak/>
        <w:t xml:space="preserve">(i) </w:t>
      </w:r>
      <w:r w:rsidR="00033986" w:rsidRPr="00012869">
        <w:rPr>
          <w:bCs/>
          <w:i/>
          <w:szCs w:val="28"/>
          <w:u w:val="single"/>
        </w:rPr>
        <w:t xml:space="preserve">PSLA </w:t>
      </w:r>
    </w:p>
    <w:p w14:paraId="1D1406A7" w14:textId="77777777" w:rsidR="00033986" w:rsidRPr="00033986" w:rsidRDefault="00033986" w:rsidP="007B10DA">
      <w:pPr>
        <w:keepNext/>
        <w:keepLines/>
        <w:widowControl w:val="0"/>
        <w:tabs>
          <w:tab w:val="clear" w:pos="4320"/>
        </w:tabs>
        <w:spacing w:line="360" w:lineRule="auto"/>
        <w:jc w:val="both"/>
        <w:rPr>
          <w:bCs/>
          <w:szCs w:val="28"/>
          <w:u w:val="single"/>
        </w:rPr>
      </w:pPr>
    </w:p>
    <w:p w14:paraId="244FFE8D" w14:textId="77777777" w:rsidR="00033986" w:rsidRPr="00033986" w:rsidRDefault="00033986" w:rsidP="006F407B">
      <w:pPr>
        <w:pStyle w:val="ListParagraph"/>
        <w:keepNext/>
        <w:keepLines/>
        <w:widowControl w:val="0"/>
        <w:numPr>
          <w:ilvl w:val="0"/>
          <w:numId w:val="1"/>
        </w:numPr>
        <w:tabs>
          <w:tab w:val="clear" w:pos="4320"/>
        </w:tabs>
        <w:spacing w:line="360" w:lineRule="auto"/>
        <w:ind w:left="0" w:firstLine="0"/>
        <w:jc w:val="both"/>
        <w:rPr>
          <w:szCs w:val="28"/>
        </w:rPr>
      </w:pPr>
      <w:r w:rsidRPr="00033986">
        <w:rPr>
          <w:szCs w:val="28"/>
        </w:rPr>
        <w:t xml:space="preserve">The parties have cited a number of cases in urging me to derive at a particular figure for PSLA. </w:t>
      </w:r>
      <w:r w:rsidR="007B10DA">
        <w:rPr>
          <w:szCs w:val="28"/>
        </w:rPr>
        <w:t xml:space="preserve"> </w:t>
      </w:r>
      <w:r w:rsidRPr="00033986">
        <w:rPr>
          <w:szCs w:val="28"/>
        </w:rPr>
        <w:t xml:space="preserve">I should add that these cases are merely general reference. </w:t>
      </w:r>
      <w:r w:rsidR="007B10DA">
        <w:rPr>
          <w:szCs w:val="28"/>
        </w:rPr>
        <w:t xml:space="preserve"> </w:t>
      </w:r>
      <w:r w:rsidRPr="00033986">
        <w:rPr>
          <w:szCs w:val="28"/>
        </w:rPr>
        <w:t xml:space="preserve">In some of those cases, the injuries and disabilities were more serious than those suffered by the </w:t>
      </w:r>
      <w:r w:rsidR="007B10DA">
        <w:rPr>
          <w:szCs w:val="28"/>
        </w:rPr>
        <w:t>p</w:t>
      </w:r>
      <w:r w:rsidRPr="00033986">
        <w:rPr>
          <w:szCs w:val="28"/>
        </w:rPr>
        <w:t xml:space="preserve">laintiff, and in other cases they were less serious. </w:t>
      </w:r>
      <w:r w:rsidR="007B10DA">
        <w:rPr>
          <w:szCs w:val="28"/>
        </w:rPr>
        <w:t xml:space="preserve"> </w:t>
      </w:r>
      <w:r w:rsidR="007B10DA" w:rsidRPr="00033986">
        <w:rPr>
          <w:szCs w:val="28"/>
        </w:rPr>
        <w:t>After all</w:t>
      </w:r>
      <w:r w:rsidRPr="00033986">
        <w:rPr>
          <w:szCs w:val="28"/>
        </w:rPr>
        <w:t>, no injuries and disabilities can be exactly the same.</w:t>
      </w:r>
      <w:r w:rsidRPr="00033986">
        <w:rPr>
          <w:rStyle w:val="FootnoteReference"/>
          <w:szCs w:val="28"/>
        </w:rPr>
        <w:footnoteReference w:id="82"/>
      </w:r>
    </w:p>
    <w:p w14:paraId="2BE51E72" w14:textId="77777777" w:rsidR="00033986" w:rsidRPr="00033986" w:rsidRDefault="00033986" w:rsidP="00033986">
      <w:pPr>
        <w:tabs>
          <w:tab w:val="clear" w:pos="4320"/>
        </w:tabs>
        <w:spacing w:line="360" w:lineRule="auto"/>
        <w:jc w:val="both"/>
        <w:rPr>
          <w:szCs w:val="28"/>
        </w:rPr>
      </w:pPr>
    </w:p>
    <w:p w14:paraId="0FCDD03C"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Based on the aforesaid and with reference to some of the authorities</w:t>
      </w:r>
      <w:r w:rsidRPr="00033986">
        <w:rPr>
          <w:rStyle w:val="FootnoteReference"/>
          <w:szCs w:val="28"/>
        </w:rPr>
        <w:footnoteReference w:id="83"/>
      </w:r>
      <w:r w:rsidRPr="00033986">
        <w:rPr>
          <w:szCs w:val="28"/>
        </w:rPr>
        <w:t xml:space="preserve"> referred to by the parties, I am of the view that an award of HK$300,000 would have been appropriate for PSLA as a result of both the </w:t>
      </w:r>
      <w:r w:rsidR="007B10DA">
        <w:rPr>
          <w:szCs w:val="28"/>
        </w:rPr>
        <w:t>p</w:t>
      </w:r>
      <w:r w:rsidRPr="00033986">
        <w:rPr>
          <w:szCs w:val="28"/>
        </w:rPr>
        <w:t xml:space="preserve">laintiff’s physical and psychiatric conditions. </w:t>
      </w:r>
      <w:r w:rsidR="007B10DA">
        <w:rPr>
          <w:szCs w:val="28"/>
        </w:rPr>
        <w:t xml:space="preserve"> </w:t>
      </w:r>
      <w:r w:rsidRPr="00033986">
        <w:rPr>
          <w:szCs w:val="28"/>
        </w:rPr>
        <w:t>For reasons mentioned, I am not satisfied that a discount for any pre-existing condition ought to be applied in the present case.</w:t>
      </w:r>
    </w:p>
    <w:p w14:paraId="65BA58F3" w14:textId="77777777" w:rsidR="00033986" w:rsidRPr="00033986" w:rsidRDefault="00033986" w:rsidP="00033986">
      <w:pPr>
        <w:tabs>
          <w:tab w:val="clear" w:pos="4320"/>
        </w:tabs>
        <w:spacing w:line="360" w:lineRule="auto"/>
        <w:jc w:val="both"/>
        <w:rPr>
          <w:szCs w:val="28"/>
        </w:rPr>
      </w:pPr>
    </w:p>
    <w:p w14:paraId="38F3433C" w14:textId="77777777" w:rsidR="00033986" w:rsidRPr="007B10DA" w:rsidRDefault="007B10DA" w:rsidP="007B10DA">
      <w:pPr>
        <w:pStyle w:val="ListParagraph"/>
        <w:tabs>
          <w:tab w:val="clear" w:pos="4320"/>
        </w:tabs>
        <w:spacing w:line="360" w:lineRule="auto"/>
        <w:ind w:left="0"/>
        <w:jc w:val="both"/>
        <w:rPr>
          <w:bCs/>
          <w:i/>
          <w:szCs w:val="28"/>
          <w:u w:val="single"/>
        </w:rPr>
      </w:pPr>
      <w:r w:rsidRPr="007B10DA">
        <w:rPr>
          <w:bCs/>
          <w:i/>
          <w:szCs w:val="28"/>
          <w:u w:val="single"/>
        </w:rPr>
        <w:t xml:space="preserve">(ii) </w:t>
      </w:r>
      <w:r w:rsidR="00033986" w:rsidRPr="007B10DA">
        <w:rPr>
          <w:bCs/>
          <w:i/>
          <w:szCs w:val="28"/>
          <w:u w:val="single"/>
        </w:rPr>
        <w:t>Pre-Trial Loss of Earnings</w:t>
      </w:r>
    </w:p>
    <w:p w14:paraId="67673048" w14:textId="77777777" w:rsidR="00033986" w:rsidRPr="00033986" w:rsidRDefault="00033986" w:rsidP="00033986">
      <w:pPr>
        <w:tabs>
          <w:tab w:val="clear" w:pos="4320"/>
        </w:tabs>
        <w:spacing w:line="360" w:lineRule="auto"/>
        <w:jc w:val="both"/>
        <w:rPr>
          <w:bCs/>
          <w:szCs w:val="28"/>
          <w:u w:val="single"/>
        </w:rPr>
      </w:pPr>
    </w:p>
    <w:p w14:paraId="7CB4320A"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There is no dispute that the </w:t>
      </w:r>
      <w:r w:rsidR="007B10DA">
        <w:rPr>
          <w:szCs w:val="28"/>
        </w:rPr>
        <w:t>p</w:t>
      </w:r>
      <w:r w:rsidRPr="00033986">
        <w:rPr>
          <w:szCs w:val="28"/>
        </w:rPr>
        <w:t xml:space="preserve">laintiff’s monthly salary was HK$8,400 at the time of the Accident. </w:t>
      </w:r>
    </w:p>
    <w:p w14:paraId="27F09B73" w14:textId="77777777" w:rsidR="00033986" w:rsidRPr="00033986" w:rsidRDefault="00033986" w:rsidP="00033986">
      <w:pPr>
        <w:tabs>
          <w:tab w:val="clear" w:pos="4320"/>
        </w:tabs>
        <w:spacing w:line="360" w:lineRule="auto"/>
        <w:jc w:val="both"/>
        <w:rPr>
          <w:szCs w:val="28"/>
        </w:rPr>
      </w:pPr>
    </w:p>
    <w:p w14:paraId="54886152"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7B10DA">
        <w:rPr>
          <w:szCs w:val="28"/>
        </w:rPr>
        <w:t>d</w:t>
      </w:r>
      <w:r w:rsidRPr="00033986">
        <w:rPr>
          <w:szCs w:val="28"/>
        </w:rPr>
        <w:t xml:space="preserve">efendants agreed that the </w:t>
      </w:r>
      <w:r w:rsidR="007B10DA">
        <w:rPr>
          <w:szCs w:val="28"/>
        </w:rPr>
        <w:t>p</w:t>
      </w:r>
      <w:r w:rsidRPr="00033986">
        <w:rPr>
          <w:szCs w:val="28"/>
        </w:rPr>
        <w:t>laintiff’s salary was adjusted</w:t>
      </w:r>
      <w:r w:rsidRPr="00033986">
        <w:rPr>
          <w:rStyle w:val="FootnoteReference"/>
          <w:szCs w:val="28"/>
        </w:rPr>
        <w:footnoteReference w:id="84"/>
      </w:r>
      <w:r w:rsidRPr="00033986">
        <w:rPr>
          <w:szCs w:val="28"/>
        </w:rPr>
        <w:t xml:space="preserve"> to:-</w:t>
      </w:r>
    </w:p>
    <w:p w14:paraId="0F0A58C4" w14:textId="77777777" w:rsidR="00033986" w:rsidRPr="00033986" w:rsidRDefault="00033986" w:rsidP="00033986">
      <w:pPr>
        <w:tabs>
          <w:tab w:val="clear" w:pos="4320"/>
        </w:tabs>
        <w:spacing w:line="360" w:lineRule="auto"/>
        <w:jc w:val="both"/>
        <w:rPr>
          <w:szCs w:val="28"/>
        </w:rPr>
      </w:pPr>
    </w:p>
    <w:p w14:paraId="1AFBFFBE" w14:textId="77777777" w:rsidR="00033986" w:rsidRPr="00033986" w:rsidRDefault="00033986" w:rsidP="006F407B">
      <w:pPr>
        <w:pStyle w:val="ListParagraph"/>
        <w:numPr>
          <w:ilvl w:val="0"/>
          <w:numId w:val="10"/>
        </w:numPr>
        <w:tabs>
          <w:tab w:val="clear" w:pos="4320"/>
        </w:tabs>
        <w:spacing w:line="360" w:lineRule="auto"/>
        <w:ind w:left="2160" w:hanging="720"/>
        <w:jc w:val="both"/>
        <w:rPr>
          <w:szCs w:val="28"/>
        </w:rPr>
      </w:pPr>
      <w:r w:rsidRPr="00033986">
        <w:rPr>
          <w:szCs w:val="28"/>
        </w:rPr>
        <w:t>HK$8,824 as from 1 May 2017;</w:t>
      </w:r>
    </w:p>
    <w:p w14:paraId="508ED9C3" w14:textId="77777777" w:rsidR="00033986" w:rsidRPr="00033986" w:rsidRDefault="00033986" w:rsidP="006F407B">
      <w:pPr>
        <w:pStyle w:val="ListParagraph"/>
        <w:numPr>
          <w:ilvl w:val="0"/>
          <w:numId w:val="10"/>
        </w:numPr>
        <w:tabs>
          <w:tab w:val="clear" w:pos="4320"/>
        </w:tabs>
        <w:spacing w:line="360" w:lineRule="auto"/>
        <w:ind w:left="2160" w:hanging="720"/>
        <w:jc w:val="both"/>
        <w:rPr>
          <w:szCs w:val="28"/>
        </w:rPr>
      </w:pPr>
      <w:r w:rsidRPr="00033986">
        <w:rPr>
          <w:szCs w:val="28"/>
        </w:rPr>
        <w:lastRenderedPageBreak/>
        <w:t>HK$9,080 as from 1 May 2018;</w:t>
      </w:r>
    </w:p>
    <w:p w14:paraId="13450175" w14:textId="77777777" w:rsidR="00033986" w:rsidRPr="00033986" w:rsidRDefault="00033986" w:rsidP="006F407B">
      <w:pPr>
        <w:pStyle w:val="ListParagraph"/>
        <w:numPr>
          <w:ilvl w:val="0"/>
          <w:numId w:val="10"/>
        </w:numPr>
        <w:tabs>
          <w:tab w:val="clear" w:pos="4320"/>
        </w:tabs>
        <w:spacing w:line="360" w:lineRule="auto"/>
        <w:ind w:left="2160" w:hanging="720"/>
        <w:jc w:val="both"/>
        <w:rPr>
          <w:szCs w:val="28"/>
        </w:rPr>
      </w:pPr>
      <w:r w:rsidRPr="00033986">
        <w:rPr>
          <w:szCs w:val="28"/>
        </w:rPr>
        <w:t>HK$9,600 as from 1 May 2019.</w:t>
      </w:r>
    </w:p>
    <w:p w14:paraId="5955A365" w14:textId="77777777" w:rsidR="00033986" w:rsidRPr="00033986" w:rsidRDefault="00033986" w:rsidP="00033986">
      <w:pPr>
        <w:tabs>
          <w:tab w:val="clear" w:pos="4320"/>
        </w:tabs>
        <w:spacing w:line="360" w:lineRule="auto"/>
        <w:jc w:val="both"/>
        <w:rPr>
          <w:szCs w:val="28"/>
        </w:rPr>
      </w:pPr>
    </w:p>
    <w:p w14:paraId="456A34E1"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7B10DA">
        <w:rPr>
          <w:szCs w:val="28"/>
        </w:rPr>
        <w:t>p</w:t>
      </w:r>
      <w:r w:rsidRPr="00033986">
        <w:rPr>
          <w:szCs w:val="28"/>
        </w:rPr>
        <w:t>laintiff is claiming pre-trial loss of earnings for a period of 76.3 months</w:t>
      </w:r>
      <w:r w:rsidRPr="00033986">
        <w:rPr>
          <w:rStyle w:val="FootnoteReference"/>
          <w:szCs w:val="28"/>
        </w:rPr>
        <w:footnoteReference w:id="85"/>
      </w:r>
      <w:r w:rsidRPr="00033986">
        <w:rPr>
          <w:szCs w:val="28"/>
        </w:rPr>
        <w:t xml:space="preserve">. </w:t>
      </w:r>
      <w:r w:rsidR="007B10DA">
        <w:rPr>
          <w:szCs w:val="28"/>
        </w:rPr>
        <w:t xml:space="preserve"> </w:t>
      </w:r>
      <w:r w:rsidRPr="00033986">
        <w:rPr>
          <w:szCs w:val="28"/>
        </w:rPr>
        <w:t xml:space="preserve">This is even beyond the period of orthopaedic sick leave which was said to be justified according to Dr Ko’s opinion (ie up to around October 2019). </w:t>
      </w:r>
    </w:p>
    <w:p w14:paraId="167B77C1" w14:textId="77777777" w:rsidR="00033986" w:rsidRPr="00033986" w:rsidRDefault="00033986" w:rsidP="00033986">
      <w:pPr>
        <w:tabs>
          <w:tab w:val="clear" w:pos="4320"/>
        </w:tabs>
        <w:spacing w:line="360" w:lineRule="auto"/>
        <w:jc w:val="both"/>
        <w:rPr>
          <w:szCs w:val="28"/>
        </w:rPr>
      </w:pPr>
    </w:p>
    <w:p w14:paraId="19ADDCB1"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 am not persuaded by Dr Ko’s opinion that a generous period of almost 3 years (which was partly based on medical certificates) was justified. </w:t>
      </w:r>
      <w:r w:rsidR="007B10DA">
        <w:rPr>
          <w:szCs w:val="28"/>
        </w:rPr>
        <w:t xml:space="preserve"> </w:t>
      </w:r>
      <w:r w:rsidRPr="00033986">
        <w:rPr>
          <w:szCs w:val="28"/>
        </w:rPr>
        <w:t xml:space="preserve">Indeed, medical certificates were no more than a piece of evidence to be evaluated in the light of all available evidence including medical evidence and I should not be bound by the same: </w:t>
      </w:r>
      <w:r w:rsidRPr="00033986">
        <w:rPr>
          <w:i/>
          <w:iCs/>
          <w:szCs w:val="28"/>
        </w:rPr>
        <w:t>Tam Fu Yip Fip v Sincere Engineering &amp; Trading Co Ltd</w:t>
      </w:r>
      <w:r w:rsidRPr="00033986">
        <w:rPr>
          <w:rStyle w:val="FootnoteReference"/>
          <w:szCs w:val="28"/>
        </w:rPr>
        <w:footnoteReference w:id="86"/>
      </w:r>
      <w:r w:rsidR="007B10DA">
        <w:rPr>
          <w:szCs w:val="28"/>
        </w:rPr>
        <w:t xml:space="preserve">.  </w:t>
      </w:r>
      <w:r w:rsidRPr="00033986">
        <w:rPr>
          <w:szCs w:val="28"/>
        </w:rPr>
        <w:t>I also agree it is inappropriate for me to rely on the MAB assessment which was a relatively quick and simply assessment under the statutory regime for employees’ compensation calculations.</w:t>
      </w:r>
    </w:p>
    <w:p w14:paraId="3DF820E8" w14:textId="77777777" w:rsidR="00033986" w:rsidRPr="00033986" w:rsidRDefault="00033986" w:rsidP="00033986">
      <w:pPr>
        <w:tabs>
          <w:tab w:val="clear" w:pos="4320"/>
        </w:tabs>
        <w:spacing w:line="360" w:lineRule="auto"/>
        <w:jc w:val="both"/>
        <w:rPr>
          <w:szCs w:val="28"/>
        </w:rPr>
      </w:pPr>
    </w:p>
    <w:p w14:paraId="73133D5E" w14:textId="77777777" w:rsidR="007B10DA"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On the other hand, I am of the view that 1 month to a few months orthopaedic sick leave is rather unrealistic. </w:t>
      </w:r>
      <w:r w:rsidR="007B10DA">
        <w:rPr>
          <w:szCs w:val="28"/>
        </w:rPr>
        <w:t xml:space="preserve"> </w:t>
      </w:r>
      <w:r w:rsidRPr="00033986">
        <w:rPr>
          <w:szCs w:val="28"/>
        </w:rPr>
        <w:t xml:space="preserve">Having considered the available medical evidence including the expert reports, I take the view that a period of 21 months orthopaedic sick leave would be appropriate. </w:t>
      </w:r>
      <w:r w:rsidR="007B10DA">
        <w:rPr>
          <w:szCs w:val="28"/>
        </w:rPr>
        <w:t xml:space="preserve"> </w:t>
      </w:r>
      <w:r w:rsidRPr="00033986">
        <w:rPr>
          <w:szCs w:val="28"/>
        </w:rPr>
        <w:t>By the end of August 2018, the mechanical pain and progress with physiotherapy had become more or less static</w:t>
      </w:r>
      <w:r w:rsidRPr="00033986">
        <w:rPr>
          <w:rStyle w:val="FootnoteReference"/>
          <w:szCs w:val="28"/>
        </w:rPr>
        <w:footnoteReference w:id="87"/>
      </w:r>
      <w:r w:rsidRPr="00033986">
        <w:rPr>
          <w:szCs w:val="28"/>
        </w:rPr>
        <w:t>.</w:t>
      </w:r>
    </w:p>
    <w:p w14:paraId="44263E3A" w14:textId="77777777" w:rsidR="00033986" w:rsidRPr="00033986" w:rsidRDefault="00033986" w:rsidP="007B10DA">
      <w:pPr>
        <w:pStyle w:val="ListParagraph"/>
        <w:tabs>
          <w:tab w:val="clear" w:pos="4320"/>
        </w:tabs>
        <w:spacing w:line="360" w:lineRule="auto"/>
        <w:ind w:left="0"/>
        <w:jc w:val="both"/>
        <w:rPr>
          <w:szCs w:val="28"/>
        </w:rPr>
      </w:pPr>
    </w:p>
    <w:p w14:paraId="0A2E1350"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lastRenderedPageBreak/>
        <w:t xml:space="preserve">Insofar as the sick leave required for the psychiatric condition, I would prefer and accept Dr Hung’s assessment i.e. 3 months as from her first appointment at the psychiatric clinic on 6 September 2018. </w:t>
      </w:r>
      <w:r w:rsidR="007B10DA">
        <w:rPr>
          <w:szCs w:val="28"/>
        </w:rPr>
        <w:t xml:space="preserve"> </w:t>
      </w:r>
      <w:r w:rsidRPr="00033986">
        <w:rPr>
          <w:szCs w:val="28"/>
        </w:rPr>
        <w:t xml:space="preserve">By December 2018, the </w:t>
      </w:r>
      <w:r w:rsidR="007B10DA">
        <w:rPr>
          <w:szCs w:val="28"/>
        </w:rPr>
        <w:t>p</w:t>
      </w:r>
      <w:r w:rsidRPr="00033986">
        <w:rPr>
          <w:szCs w:val="28"/>
        </w:rPr>
        <w:t>laintiff had reported better sleep</w:t>
      </w:r>
      <w:r w:rsidRPr="00033986">
        <w:rPr>
          <w:rStyle w:val="FootnoteReference"/>
          <w:szCs w:val="28"/>
        </w:rPr>
        <w:footnoteReference w:id="88"/>
      </w:r>
      <w:r w:rsidRPr="00033986">
        <w:rPr>
          <w:szCs w:val="28"/>
        </w:rPr>
        <w:t xml:space="preserve">. </w:t>
      </w:r>
      <w:r w:rsidR="007B10DA">
        <w:rPr>
          <w:szCs w:val="28"/>
        </w:rPr>
        <w:t xml:space="preserve"> </w:t>
      </w:r>
      <w:r w:rsidRPr="00033986">
        <w:rPr>
          <w:szCs w:val="28"/>
        </w:rPr>
        <w:t>Whilst it is understandable that her mental condition had been fluctuating, her stressors included the subsisting knee pain and ongoing litigation as well as lack of family support.</w:t>
      </w:r>
      <w:r w:rsidRPr="00033986">
        <w:rPr>
          <w:rStyle w:val="FootnoteReference"/>
          <w:szCs w:val="28"/>
        </w:rPr>
        <w:footnoteReference w:id="89"/>
      </w:r>
      <w:r w:rsidR="007B10DA">
        <w:rPr>
          <w:szCs w:val="28"/>
        </w:rPr>
        <w:t xml:space="preserve"> </w:t>
      </w:r>
      <w:r w:rsidRPr="00033986">
        <w:rPr>
          <w:szCs w:val="28"/>
        </w:rPr>
        <w:t xml:space="preserve"> Where I am satisfied that the knee mechanical pain had become static by then</w:t>
      </w:r>
      <w:r w:rsidRPr="00033986">
        <w:rPr>
          <w:rStyle w:val="FootnoteReference"/>
          <w:szCs w:val="28"/>
        </w:rPr>
        <w:footnoteReference w:id="90"/>
      </w:r>
      <w:r w:rsidRPr="00033986">
        <w:rPr>
          <w:szCs w:val="28"/>
        </w:rPr>
        <w:t xml:space="preserve">, she should have felt better and could return to work. </w:t>
      </w:r>
    </w:p>
    <w:p w14:paraId="24A7882E" w14:textId="77777777" w:rsidR="00033986" w:rsidRPr="00033986" w:rsidRDefault="00033986" w:rsidP="00033986">
      <w:pPr>
        <w:tabs>
          <w:tab w:val="clear" w:pos="4320"/>
        </w:tabs>
        <w:spacing w:line="360" w:lineRule="auto"/>
        <w:jc w:val="both"/>
        <w:rPr>
          <w:szCs w:val="28"/>
        </w:rPr>
      </w:pPr>
    </w:p>
    <w:p w14:paraId="4A201551"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Based on the aforesaid, the </w:t>
      </w:r>
      <w:r w:rsidR="007B10DA">
        <w:rPr>
          <w:szCs w:val="28"/>
        </w:rPr>
        <w:t>p</w:t>
      </w:r>
      <w:r w:rsidRPr="00033986">
        <w:rPr>
          <w:szCs w:val="28"/>
        </w:rPr>
        <w:t>laintiff’s pre-trial loss of earnings should be HK$222,020.40, ie the aggregate of:-</w:t>
      </w:r>
    </w:p>
    <w:p w14:paraId="4BDE9EA4" w14:textId="77777777" w:rsidR="00033986" w:rsidRPr="00033986" w:rsidRDefault="00033986" w:rsidP="00033986">
      <w:pPr>
        <w:tabs>
          <w:tab w:val="clear" w:pos="4320"/>
        </w:tabs>
        <w:spacing w:line="360" w:lineRule="auto"/>
        <w:jc w:val="both"/>
        <w:rPr>
          <w:szCs w:val="28"/>
        </w:rPr>
      </w:pPr>
    </w:p>
    <w:p w14:paraId="3678C7BB" w14:textId="77777777" w:rsidR="00033986" w:rsidRPr="00033986" w:rsidRDefault="00033986" w:rsidP="006F407B">
      <w:pPr>
        <w:pStyle w:val="ListParagraph"/>
        <w:numPr>
          <w:ilvl w:val="0"/>
          <w:numId w:val="11"/>
        </w:numPr>
        <w:tabs>
          <w:tab w:val="clear" w:pos="4320"/>
        </w:tabs>
        <w:spacing w:line="360" w:lineRule="auto"/>
        <w:ind w:left="2160" w:hanging="720"/>
        <w:jc w:val="both"/>
        <w:rPr>
          <w:szCs w:val="28"/>
        </w:rPr>
      </w:pPr>
      <w:r w:rsidRPr="00033986">
        <w:rPr>
          <w:szCs w:val="28"/>
        </w:rPr>
        <w:t>HK$8,400 x 5 months for orthopaedic sick leave x 1.05;</w:t>
      </w:r>
    </w:p>
    <w:p w14:paraId="529315B8" w14:textId="77777777" w:rsidR="00033986" w:rsidRPr="00033986" w:rsidRDefault="00033986" w:rsidP="006F407B">
      <w:pPr>
        <w:pStyle w:val="ListParagraph"/>
        <w:numPr>
          <w:ilvl w:val="0"/>
          <w:numId w:val="11"/>
        </w:numPr>
        <w:tabs>
          <w:tab w:val="clear" w:pos="4320"/>
        </w:tabs>
        <w:spacing w:line="360" w:lineRule="auto"/>
        <w:ind w:left="2160" w:hanging="720"/>
        <w:jc w:val="both"/>
        <w:rPr>
          <w:szCs w:val="28"/>
        </w:rPr>
      </w:pPr>
      <w:r w:rsidRPr="00033986">
        <w:rPr>
          <w:szCs w:val="28"/>
        </w:rPr>
        <w:t>HK$8,824 x 12 months for orthopaedic sick leave x 1.05;</w:t>
      </w:r>
    </w:p>
    <w:p w14:paraId="6FB503F1" w14:textId="77777777" w:rsidR="00033986" w:rsidRPr="00033986" w:rsidRDefault="00033986" w:rsidP="006F407B">
      <w:pPr>
        <w:pStyle w:val="ListParagraph"/>
        <w:numPr>
          <w:ilvl w:val="0"/>
          <w:numId w:val="11"/>
        </w:numPr>
        <w:tabs>
          <w:tab w:val="clear" w:pos="4320"/>
        </w:tabs>
        <w:spacing w:line="360" w:lineRule="auto"/>
        <w:ind w:left="2160" w:hanging="720"/>
        <w:jc w:val="both"/>
        <w:rPr>
          <w:szCs w:val="28"/>
        </w:rPr>
      </w:pPr>
      <w:r w:rsidRPr="00033986">
        <w:rPr>
          <w:szCs w:val="28"/>
        </w:rPr>
        <w:t>HK$9,080 x (4 months for orthopaedic sick leave + 3 months for psychiatric sick leave) x 1.05.</w:t>
      </w:r>
    </w:p>
    <w:p w14:paraId="0E651510" w14:textId="77777777" w:rsidR="00033986" w:rsidRPr="00033986" w:rsidRDefault="00033986" w:rsidP="00033986">
      <w:pPr>
        <w:tabs>
          <w:tab w:val="clear" w:pos="4320"/>
        </w:tabs>
        <w:spacing w:line="360" w:lineRule="auto"/>
        <w:jc w:val="both"/>
        <w:rPr>
          <w:bCs/>
          <w:szCs w:val="28"/>
          <w:u w:val="single"/>
        </w:rPr>
      </w:pPr>
    </w:p>
    <w:p w14:paraId="56E5B87D" w14:textId="77777777" w:rsidR="00033986" w:rsidRPr="00CD225A" w:rsidRDefault="00CD225A" w:rsidP="00CD225A">
      <w:pPr>
        <w:pStyle w:val="ListParagraph"/>
        <w:tabs>
          <w:tab w:val="clear" w:pos="4320"/>
        </w:tabs>
        <w:spacing w:line="360" w:lineRule="auto"/>
        <w:ind w:left="0"/>
        <w:jc w:val="both"/>
        <w:rPr>
          <w:bCs/>
          <w:i/>
          <w:szCs w:val="28"/>
          <w:u w:val="single"/>
        </w:rPr>
      </w:pPr>
      <w:r w:rsidRPr="00CD225A">
        <w:rPr>
          <w:bCs/>
          <w:i/>
          <w:szCs w:val="28"/>
          <w:u w:val="single"/>
        </w:rPr>
        <w:t xml:space="preserve">(iii) </w:t>
      </w:r>
      <w:r w:rsidR="00033986" w:rsidRPr="00CD225A">
        <w:rPr>
          <w:bCs/>
          <w:i/>
          <w:szCs w:val="28"/>
          <w:u w:val="single"/>
        </w:rPr>
        <w:t>Future Loss of Earnings</w:t>
      </w:r>
    </w:p>
    <w:p w14:paraId="45E37DA9" w14:textId="77777777" w:rsidR="00033986" w:rsidRPr="00033986" w:rsidRDefault="00033986" w:rsidP="00033986">
      <w:pPr>
        <w:tabs>
          <w:tab w:val="clear" w:pos="4320"/>
        </w:tabs>
        <w:spacing w:line="360" w:lineRule="auto"/>
        <w:jc w:val="both"/>
        <w:rPr>
          <w:bCs/>
          <w:szCs w:val="28"/>
          <w:u w:val="single"/>
        </w:rPr>
      </w:pPr>
    </w:p>
    <w:p w14:paraId="43588599"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 am not satisfied that the </w:t>
      </w:r>
      <w:r w:rsidR="00CD225A">
        <w:rPr>
          <w:szCs w:val="28"/>
        </w:rPr>
        <w:t>p</w:t>
      </w:r>
      <w:r w:rsidRPr="00033986">
        <w:rPr>
          <w:szCs w:val="28"/>
        </w:rPr>
        <w:t xml:space="preserve">laintiff is entitled to any future loss of earnings. </w:t>
      </w:r>
    </w:p>
    <w:p w14:paraId="360A2A2E" w14:textId="77777777" w:rsidR="00033986" w:rsidRPr="00033986" w:rsidRDefault="00033986" w:rsidP="00033986">
      <w:pPr>
        <w:tabs>
          <w:tab w:val="clear" w:pos="4320"/>
        </w:tabs>
        <w:spacing w:line="360" w:lineRule="auto"/>
        <w:jc w:val="both"/>
        <w:rPr>
          <w:szCs w:val="28"/>
        </w:rPr>
      </w:pPr>
    </w:p>
    <w:p w14:paraId="3F00FA42"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First, both orthopaedic experts shared the view that the </w:t>
      </w:r>
      <w:r w:rsidR="00CD225A">
        <w:rPr>
          <w:szCs w:val="28"/>
        </w:rPr>
        <w:t>p</w:t>
      </w:r>
      <w:r w:rsidRPr="00033986">
        <w:rPr>
          <w:szCs w:val="28"/>
        </w:rPr>
        <w:t xml:space="preserve">laintiff should be able to return to normal duty as a security guard </w:t>
      </w:r>
      <w:r w:rsidRPr="00033986">
        <w:rPr>
          <w:szCs w:val="28"/>
        </w:rPr>
        <w:lastRenderedPageBreak/>
        <w:t>although Dr Ko took the view that there would be impairment of work efficiency and effectiveness.</w:t>
      </w:r>
      <w:r w:rsidRPr="00033986">
        <w:rPr>
          <w:rStyle w:val="FootnoteReference"/>
          <w:szCs w:val="28"/>
        </w:rPr>
        <w:footnoteReference w:id="91"/>
      </w:r>
      <w:r w:rsidRPr="00033986">
        <w:rPr>
          <w:szCs w:val="28"/>
        </w:rPr>
        <w:t xml:space="preserve"> </w:t>
      </w:r>
      <w:r w:rsidR="00CD225A">
        <w:rPr>
          <w:szCs w:val="28"/>
        </w:rPr>
        <w:t xml:space="preserve"> </w:t>
      </w:r>
      <w:r w:rsidRPr="00033986">
        <w:rPr>
          <w:szCs w:val="28"/>
        </w:rPr>
        <w:t xml:space="preserve">However, employees do not go to work only when they are 100% fit: </w:t>
      </w:r>
      <w:r w:rsidRPr="00033986">
        <w:rPr>
          <w:i/>
          <w:iCs/>
          <w:szCs w:val="28"/>
        </w:rPr>
        <w:t>Pak Siu Hin Simon v J</w:t>
      </w:r>
      <w:r w:rsidR="00CD225A">
        <w:rPr>
          <w:i/>
          <w:iCs/>
          <w:szCs w:val="28"/>
        </w:rPr>
        <w:t xml:space="preserve"> </w:t>
      </w:r>
      <w:r w:rsidRPr="00033986">
        <w:rPr>
          <w:i/>
          <w:iCs/>
          <w:szCs w:val="28"/>
        </w:rPr>
        <w:t>V Fitness Limited</w:t>
      </w:r>
      <w:r w:rsidRPr="00CD225A">
        <w:rPr>
          <w:rStyle w:val="FootnoteReference"/>
          <w:iCs/>
          <w:szCs w:val="28"/>
        </w:rPr>
        <w:footnoteReference w:id="92"/>
      </w:r>
      <w:r w:rsidRPr="00CD225A">
        <w:rPr>
          <w:szCs w:val="28"/>
        </w:rPr>
        <w:t>.</w:t>
      </w:r>
    </w:p>
    <w:p w14:paraId="238D7DC3" w14:textId="77777777" w:rsidR="00033986" w:rsidRPr="00033986" w:rsidRDefault="00033986" w:rsidP="00033986">
      <w:pPr>
        <w:tabs>
          <w:tab w:val="clear" w:pos="4320"/>
        </w:tabs>
        <w:spacing w:line="360" w:lineRule="auto"/>
        <w:jc w:val="both"/>
        <w:rPr>
          <w:szCs w:val="28"/>
        </w:rPr>
      </w:pPr>
    </w:p>
    <w:p w14:paraId="061E55C5"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Second, I already explained why I do not accept Dr Wong’s opinion that the </w:t>
      </w:r>
      <w:r w:rsidR="00CD225A">
        <w:rPr>
          <w:szCs w:val="28"/>
        </w:rPr>
        <w:t>p</w:t>
      </w:r>
      <w:r w:rsidRPr="00033986">
        <w:rPr>
          <w:szCs w:val="28"/>
        </w:rPr>
        <w:t>laintiff could not return to normal duty as a security guard by reason of her psychiatric condition which should be mild.</w:t>
      </w:r>
    </w:p>
    <w:p w14:paraId="54CD1552" w14:textId="77777777" w:rsidR="00033986" w:rsidRPr="00033986" w:rsidRDefault="00033986" w:rsidP="00033986">
      <w:pPr>
        <w:tabs>
          <w:tab w:val="clear" w:pos="4320"/>
        </w:tabs>
        <w:spacing w:line="360" w:lineRule="auto"/>
        <w:jc w:val="both"/>
        <w:rPr>
          <w:szCs w:val="28"/>
        </w:rPr>
      </w:pPr>
    </w:p>
    <w:p w14:paraId="5AB7D1D0" w14:textId="77777777" w:rsidR="00033986" w:rsidRPr="00CD225A" w:rsidRDefault="00CD225A" w:rsidP="00CD225A">
      <w:pPr>
        <w:pStyle w:val="ListParagraph"/>
        <w:tabs>
          <w:tab w:val="clear" w:pos="4320"/>
        </w:tabs>
        <w:spacing w:line="360" w:lineRule="auto"/>
        <w:ind w:left="0"/>
        <w:jc w:val="both"/>
        <w:rPr>
          <w:bCs/>
          <w:i/>
          <w:szCs w:val="28"/>
          <w:u w:val="single"/>
        </w:rPr>
      </w:pPr>
      <w:r w:rsidRPr="00CD225A">
        <w:rPr>
          <w:bCs/>
          <w:i/>
          <w:szCs w:val="28"/>
          <w:u w:val="single"/>
        </w:rPr>
        <w:t>(iv) Loss</w:t>
      </w:r>
      <w:r w:rsidR="00033986" w:rsidRPr="00CD225A">
        <w:rPr>
          <w:bCs/>
          <w:i/>
          <w:szCs w:val="28"/>
          <w:u w:val="single"/>
        </w:rPr>
        <w:t xml:space="preserve"> of Earning Capacity</w:t>
      </w:r>
    </w:p>
    <w:p w14:paraId="58F90F66" w14:textId="77777777" w:rsidR="00033986" w:rsidRPr="00033986" w:rsidRDefault="00033986" w:rsidP="00033986">
      <w:pPr>
        <w:tabs>
          <w:tab w:val="clear" w:pos="4320"/>
        </w:tabs>
        <w:spacing w:line="360" w:lineRule="auto"/>
        <w:jc w:val="both"/>
        <w:rPr>
          <w:bCs/>
          <w:szCs w:val="28"/>
          <w:u w:val="single"/>
        </w:rPr>
      </w:pPr>
    </w:p>
    <w:p w14:paraId="65D0990A"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purpose of damages under this head is to compensate the risk that at some future date during the </w:t>
      </w:r>
      <w:r w:rsidR="00CD225A">
        <w:rPr>
          <w:szCs w:val="28"/>
        </w:rPr>
        <w:t>p</w:t>
      </w:r>
      <w:r w:rsidRPr="00033986">
        <w:rPr>
          <w:szCs w:val="28"/>
        </w:rPr>
        <w:t xml:space="preserve">laintiff’s working life, she will lose her employment and will then suffer financial loss because of his disadvantage in the labour market: </w:t>
      </w:r>
      <w:r w:rsidRPr="00033986">
        <w:rPr>
          <w:i/>
          <w:iCs/>
          <w:szCs w:val="28"/>
        </w:rPr>
        <w:t>Moeliker v A</w:t>
      </w:r>
      <w:r w:rsidR="00CD225A">
        <w:rPr>
          <w:i/>
          <w:iCs/>
          <w:szCs w:val="28"/>
        </w:rPr>
        <w:t xml:space="preserve"> </w:t>
      </w:r>
      <w:r w:rsidRPr="00033986">
        <w:rPr>
          <w:i/>
          <w:iCs/>
          <w:szCs w:val="28"/>
        </w:rPr>
        <w:t>Reyrolle &amp; Co Limited</w:t>
      </w:r>
      <w:r w:rsidRPr="00033986">
        <w:rPr>
          <w:szCs w:val="28"/>
        </w:rPr>
        <w:t>.</w:t>
      </w:r>
      <w:r w:rsidRPr="00033986">
        <w:rPr>
          <w:rStyle w:val="FootnoteReference"/>
          <w:szCs w:val="28"/>
        </w:rPr>
        <w:footnoteReference w:id="93"/>
      </w:r>
      <w:r w:rsidRPr="00033986">
        <w:rPr>
          <w:szCs w:val="28"/>
        </w:rPr>
        <w:t xml:space="preserve"> See also: </w:t>
      </w:r>
      <w:r w:rsidRPr="00033986">
        <w:rPr>
          <w:i/>
          <w:iCs/>
          <w:szCs w:val="28"/>
        </w:rPr>
        <w:t>Muhammad Asghar v Kwok Kong Moon &amp; Ors</w:t>
      </w:r>
      <w:r w:rsidRPr="00033986">
        <w:rPr>
          <w:szCs w:val="28"/>
        </w:rPr>
        <w:t>.</w:t>
      </w:r>
      <w:r w:rsidRPr="00033986">
        <w:rPr>
          <w:rStyle w:val="FootnoteReference"/>
          <w:szCs w:val="28"/>
        </w:rPr>
        <w:footnoteReference w:id="94"/>
      </w:r>
      <w:r w:rsidRPr="00033986">
        <w:rPr>
          <w:szCs w:val="28"/>
        </w:rPr>
        <w:t xml:space="preserve"> </w:t>
      </w:r>
    </w:p>
    <w:p w14:paraId="0E8BFE6F" w14:textId="77777777" w:rsidR="00033986" w:rsidRPr="00033986" w:rsidRDefault="00033986" w:rsidP="00033986">
      <w:pPr>
        <w:tabs>
          <w:tab w:val="clear" w:pos="4320"/>
        </w:tabs>
        <w:spacing w:line="360" w:lineRule="auto"/>
        <w:jc w:val="both"/>
        <w:rPr>
          <w:szCs w:val="28"/>
        </w:rPr>
      </w:pPr>
    </w:p>
    <w:p w14:paraId="2BACAE16"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 accept that there is a real and substantial risk that the </w:t>
      </w:r>
      <w:r w:rsidR="00CD225A">
        <w:rPr>
          <w:szCs w:val="28"/>
        </w:rPr>
        <w:t>p</w:t>
      </w:r>
      <w:r w:rsidRPr="00033986">
        <w:rPr>
          <w:szCs w:val="28"/>
        </w:rPr>
        <w:t xml:space="preserve">laintiff would suffer a handicap in the labour market as a result of her injuries. </w:t>
      </w:r>
      <w:r w:rsidR="00CD225A">
        <w:rPr>
          <w:szCs w:val="28"/>
        </w:rPr>
        <w:t xml:space="preserve"> </w:t>
      </w:r>
      <w:r w:rsidRPr="00033986">
        <w:rPr>
          <w:szCs w:val="28"/>
        </w:rPr>
        <w:t xml:space="preserve">I have considered the </w:t>
      </w:r>
      <w:r w:rsidR="00CD225A">
        <w:rPr>
          <w:szCs w:val="28"/>
        </w:rPr>
        <w:t>p</w:t>
      </w:r>
      <w:r w:rsidRPr="00033986">
        <w:rPr>
          <w:szCs w:val="28"/>
        </w:rPr>
        <w:t xml:space="preserve">laintiff’s current age and her low educational background. </w:t>
      </w:r>
      <w:r w:rsidR="00CD225A">
        <w:rPr>
          <w:szCs w:val="28"/>
        </w:rPr>
        <w:t xml:space="preserve"> </w:t>
      </w:r>
      <w:r w:rsidRPr="00033986">
        <w:rPr>
          <w:szCs w:val="28"/>
        </w:rPr>
        <w:t>I have also considered the respective experts’ estimated loss of earning capacity which varied from 0% to 12%</w:t>
      </w:r>
      <w:r w:rsidRPr="00033986">
        <w:rPr>
          <w:rStyle w:val="FootnoteReference"/>
          <w:szCs w:val="28"/>
        </w:rPr>
        <w:footnoteReference w:id="95"/>
      </w:r>
      <w:r w:rsidRPr="00033986">
        <w:rPr>
          <w:szCs w:val="28"/>
        </w:rPr>
        <w:t xml:space="preserve"> on the psychiatric front and 0.1% to 8%</w:t>
      </w:r>
      <w:r w:rsidRPr="00033986">
        <w:rPr>
          <w:rStyle w:val="FootnoteReference"/>
          <w:szCs w:val="28"/>
        </w:rPr>
        <w:footnoteReference w:id="96"/>
      </w:r>
      <w:r w:rsidRPr="00033986">
        <w:rPr>
          <w:szCs w:val="28"/>
        </w:rPr>
        <w:t xml:space="preserve"> on the orthopaedic front. </w:t>
      </w:r>
      <w:r w:rsidR="00CD225A">
        <w:rPr>
          <w:szCs w:val="28"/>
        </w:rPr>
        <w:t xml:space="preserve"> </w:t>
      </w:r>
      <w:r w:rsidRPr="00033986">
        <w:rPr>
          <w:szCs w:val="28"/>
        </w:rPr>
        <w:t xml:space="preserve">I am persuaded that the </w:t>
      </w:r>
      <w:r w:rsidR="00CD225A">
        <w:rPr>
          <w:szCs w:val="28"/>
        </w:rPr>
        <w:t>p</w:t>
      </w:r>
      <w:r w:rsidRPr="00033986">
        <w:rPr>
          <w:szCs w:val="28"/>
        </w:rPr>
        <w:t xml:space="preserve">laintiff would have some impaired capacity including impairment of work </w:t>
      </w:r>
      <w:r w:rsidRPr="00033986">
        <w:rPr>
          <w:szCs w:val="28"/>
        </w:rPr>
        <w:lastRenderedPageBreak/>
        <w:t>efficiency and effectiveness</w:t>
      </w:r>
      <w:r w:rsidRPr="00033986">
        <w:rPr>
          <w:rStyle w:val="FootnoteReference"/>
          <w:szCs w:val="28"/>
        </w:rPr>
        <w:footnoteReference w:id="97"/>
      </w:r>
      <w:r w:rsidRPr="00033986">
        <w:rPr>
          <w:szCs w:val="28"/>
        </w:rPr>
        <w:t xml:space="preserve"> whether by reason of the physical or psychiatric impairment as a security guard or site worker (</w:t>
      </w:r>
      <w:r w:rsidRPr="00CD225A">
        <w:rPr>
          <w:rFonts w:ascii="PMingLiU" w:eastAsia="PMingLiU" w:hAnsi="PMingLiU"/>
          <w:szCs w:val="28"/>
        </w:rPr>
        <w:t>場務員</w:t>
      </w:r>
      <w:r w:rsidRPr="00033986">
        <w:rPr>
          <w:szCs w:val="28"/>
        </w:rPr>
        <w:t xml:space="preserve">). </w:t>
      </w:r>
    </w:p>
    <w:p w14:paraId="1A9F3997" w14:textId="77777777" w:rsidR="00033986" w:rsidRPr="00033986" w:rsidRDefault="00033986" w:rsidP="00033986">
      <w:pPr>
        <w:tabs>
          <w:tab w:val="clear" w:pos="4320"/>
        </w:tabs>
        <w:spacing w:line="360" w:lineRule="auto"/>
        <w:jc w:val="both"/>
        <w:rPr>
          <w:szCs w:val="28"/>
        </w:rPr>
      </w:pPr>
    </w:p>
    <w:p w14:paraId="69712727"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 consider that an award of HK$25,500 ie 3 months of the </w:t>
      </w:r>
      <w:r w:rsidR="00CD225A">
        <w:rPr>
          <w:szCs w:val="28"/>
        </w:rPr>
        <w:t>p</w:t>
      </w:r>
      <w:r w:rsidRPr="00033986">
        <w:rPr>
          <w:szCs w:val="28"/>
        </w:rPr>
        <w:t>laintiff’s monthly earning (ie HK$8</w:t>
      </w:r>
      <w:r w:rsidR="00CD225A">
        <w:rPr>
          <w:szCs w:val="28"/>
        </w:rPr>
        <w:t>,</w:t>
      </w:r>
      <w:r w:rsidRPr="00033986">
        <w:rPr>
          <w:szCs w:val="28"/>
        </w:rPr>
        <w:t>500)</w:t>
      </w:r>
      <w:r w:rsidRPr="00033986">
        <w:rPr>
          <w:rStyle w:val="FootnoteReference"/>
          <w:szCs w:val="28"/>
        </w:rPr>
        <w:footnoteReference w:id="98"/>
      </w:r>
      <w:r w:rsidRPr="00033986">
        <w:rPr>
          <w:szCs w:val="28"/>
        </w:rPr>
        <w:t xml:space="preserve"> is appropriate in the circumstances.</w:t>
      </w:r>
    </w:p>
    <w:p w14:paraId="34F7E014" w14:textId="77777777" w:rsidR="00033986" w:rsidRPr="00033986" w:rsidRDefault="00033986" w:rsidP="00033986">
      <w:pPr>
        <w:tabs>
          <w:tab w:val="clear" w:pos="4320"/>
        </w:tabs>
        <w:spacing w:line="360" w:lineRule="auto"/>
        <w:jc w:val="both"/>
        <w:rPr>
          <w:bCs/>
          <w:szCs w:val="28"/>
          <w:u w:val="single"/>
        </w:rPr>
      </w:pPr>
    </w:p>
    <w:p w14:paraId="245C4219" w14:textId="77777777" w:rsidR="00033986" w:rsidRPr="00CD225A" w:rsidRDefault="00CD225A" w:rsidP="00CD225A">
      <w:pPr>
        <w:pStyle w:val="ListParagraph"/>
        <w:tabs>
          <w:tab w:val="clear" w:pos="4320"/>
        </w:tabs>
        <w:spacing w:line="360" w:lineRule="auto"/>
        <w:ind w:left="0"/>
        <w:jc w:val="both"/>
        <w:rPr>
          <w:bCs/>
          <w:i/>
          <w:szCs w:val="28"/>
          <w:u w:val="single"/>
        </w:rPr>
      </w:pPr>
      <w:r>
        <w:rPr>
          <w:bCs/>
          <w:i/>
          <w:szCs w:val="28"/>
          <w:u w:val="single"/>
        </w:rPr>
        <w:t xml:space="preserve">(v) </w:t>
      </w:r>
      <w:r w:rsidR="00033986" w:rsidRPr="00CD225A">
        <w:rPr>
          <w:bCs/>
          <w:i/>
          <w:szCs w:val="28"/>
          <w:u w:val="single"/>
        </w:rPr>
        <w:t>Costs of Future Medical Treatment</w:t>
      </w:r>
    </w:p>
    <w:p w14:paraId="026082F7" w14:textId="77777777" w:rsidR="00033986" w:rsidRPr="00033986" w:rsidRDefault="00033986" w:rsidP="00033986">
      <w:pPr>
        <w:tabs>
          <w:tab w:val="clear" w:pos="4320"/>
        </w:tabs>
        <w:spacing w:line="360" w:lineRule="auto"/>
        <w:jc w:val="both"/>
        <w:rPr>
          <w:bCs/>
          <w:szCs w:val="28"/>
          <w:u w:val="single"/>
        </w:rPr>
      </w:pPr>
    </w:p>
    <w:p w14:paraId="4B8CF4F4" w14:textId="77777777" w:rsidR="00033986" w:rsidRPr="00033986" w:rsidRDefault="00033986" w:rsidP="006F407B">
      <w:pPr>
        <w:pStyle w:val="ListParagraph"/>
        <w:numPr>
          <w:ilvl w:val="0"/>
          <w:numId w:val="1"/>
        </w:numPr>
        <w:tabs>
          <w:tab w:val="clear" w:pos="4320"/>
        </w:tabs>
        <w:spacing w:line="360" w:lineRule="auto"/>
        <w:ind w:left="0" w:firstLine="0"/>
        <w:jc w:val="both"/>
        <w:rPr>
          <w:bCs/>
          <w:szCs w:val="28"/>
          <w:u w:val="single"/>
        </w:rPr>
      </w:pPr>
      <w:r w:rsidRPr="00033986">
        <w:rPr>
          <w:szCs w:val="28"/>
        </w:rPr>
        <w:t xml:space="preserve">Insofar as the costs of future medical treatment is concerned, one can always expect private sessions are preferrable to those offered by the public health care system. </w:t>
      </w:r>
      <w:r w:rsidR="00CD225A">
        <w:rPr>
          <w:szCs w:val="28"/>
        </w:rPr>
        <w:t xml:space="preserve"> </w:t>
      </w:r>
      <w:r w:rsidRPr="00033986">
        <w:rPr>
          <w:szCs w:val="28"/>
        </w:rPr>
        <w:t>Nevertheless, I doubt if the extensive treatment of private psychiatrist and clinical psychologist recommended by Dr Wong</w:t>
      </w:r>
      <w:r w:rsidRPr="00033986">
        <w:rPr>
          <w:rStyle w:val="FootnoteReference"/>
          <w:szCs w:val="28"/>
        </w:rPr>
        <w:footnoteReference w:id="99"/>
      </w:r>
      <w:r w:rsidRPr="00033986">
        <w:rPr>
          <w:szCs w:val="28"/>
        </w:rPr>
        <w:t xml:space="preserve"> is genuinely necessary. </w:t>
      </w:r>
    </w:p>
    <w:p w14:paraId="799E0975" w14:textId="77777777" w:rsidR="00033986" w:rsidRPr="00033986" w:rsidRDefault="00033986" w:rsidP="00033986">
      <w:pPr>
        <w:tabs>
          <w:tab w:val="clear" w:pos="4320"/>
        </w:tabs>
        <w:spacing w:line="360" w:lineRule="auto"/>
        <w:jc w:val="both"/>
        <w:rPr>
          <w:bCs/>
          <w:szCs w:val="28"/>
          <w:u w:val="single"/>
        </w:rPr>
      </w:pPr>
    </w:p>
    <w:p w14:paraId="3EDDD606" w14:textId="77777777" w:rsid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w:t>
      </w:r>
      <w:r w:rsidR="00CD225A">
        <w:rPr>
          <w:szCs w:val="28"/>
        </w:rPr>
        <w:t>p</w:t>
      </w:r>
      <w:r w:rsidRPr="00033986">
        <w:rPr>
          <w:szCs w:val="28"/>
        </w:rPr>
        <w:t xml:space="preserve">laintiff has been and is still receiving both clinical psychology and psychiatric treatment from the Hospital Authority. </w:t>
      </w:r>
      <w:r w:rsidR="00CD225A">
        <w:rPr>
          <w:szCs w:val="28"/>
        </w:rPr>
        <w:t xml:space="preserve"> </w:t>
      </w:r>
      <w:r w:rsidRPr="00033986">
        <w:rPr>
          <w:szCs w:val="28"/>
        </w:rPr>
        <w:t xml:space="preserve">I am not persuaded that she has a genuine need to resort to extensive private treatment and/or sessions or that the current treatment for the </w:t>
      </w:r>
      <w:r w:rsidR="00CD225A">
        <w:rPr>
          <w:szCs w:val="28"/>
        </w:rPr>
        <w:t>p</w:t>
      </w:r>
      <w:r w:rsidRPr="00033986">
        <w:rPr>
          <w:szCs w:val="28"/>
        </w:rPr>
        <w:t xml:space="preserve">laintiff is inadequate. </w:t>
      </w:r>
    </w:p>
    <w:p w14:paraId="5F687C38" w14:textId="77777777" w:rsidR="00CD225A" w:rsidRPr="00033986" w:rsidRDefault="00CD225A" w:rsidP="00CD225A">
      <w:pPr>
        <w:pStyle w:val="ListParagraph"/>
        <w:tabs>
          <w:tab w:val="clear" w:pos="4320"/>
        </w:tabs>
        <w:spacing w:line="360" w:lineRule="auto"/>
        <w:ind w:left="0"/>
        <w:jc w:val="both"/>
        <w:rPr>
          <w:szCs w:val="28"/>
        </w:rPr>
      </w:pPr>
    </w:p>
    <w:p w14:paraId="46725A98"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In the circumstances, I agree with the </w:t>
      </w:r>
      <w:r w:rsidR="00CD225A">
        <w:rPr>
          <w:szCs w:val="28"/>
        </w:rPr>
        <w:t>d</w:t>
      </w:r>
      <w:r w:rsidRPr="00033986">
        <w:rPr>
          <w:szCs w:val="28"/>
        </w:rPr>
        <w:t xml:space="preserve">efendants’ counsel that the award under this head should be no more than HK$1,000. </w:t>
      </w:r>
    </w:p>
    <w:p w14:paraId="2C0A426D" w14:textId="77777777" w:rsidR="00033986" w:rsidRPr="00033986" w:rsidRDefault="00033986" w:rsidP="00033986">
      <w:pPr>
        <w:tabs>
          <w:tab w:val="clear" w:pos="4320"/>
        </w:tabs>
        <w:spacing w:line="360" w:lineRule="auto"/>
        <w:jc w:val="both"/>
        <w:rPr>
          <w:bCs/>
          <w:szCs w:val="28"/>
          <w:u w:val="single"/>
        </w:rPr>
      </w:pPr>
    </w:p>
    <w:p w14:paraId="20A314D5" w14:textId="77777777" w:rsidR="00033986" w:rsidRPr="00CD225A" w:rsidRDefault="00CD225A" w:rsidP="00CD225A">
      <w:pPr>
        <w:pStyle w:val="ListParagraph"/>
        <w:keepNext/>
        <w:keepLines/>
        <w:widowControl w:val="0"/>
        <w:tabs>
          <w:tab w:val="clear" w:pos="4320"/>
        </w:tabs>
        <w:spacing w:line="360" w:lineRule="auto"/>
        <w:ind w:left="0"/>
        <w:jc w:val="both"/>
        <w:rPr>
          <w:bCs/>
          <w:i/>
          <w:szCs w:val="28"/>
          <w:u w:val="single"/>
        </w:rPr>
      </w:pPr>
      <w:r>
        <w:rPr>
          <w:bCs/>
          <w:i/>
          <w:szCs w:val="28"/>
          <w:u w:val="single"/>
        </w:rPr>
        <w:lastRenderedPageBreak/>
        <w:t xml:space="preserve">(vi) </w:t>
      </w:r>
      <w:r w:rsidR="00033986" w:rsidRPr="00CD225A">
        <w:rPr>
          <w:bCs/>
          <w:i/>
          <w:szCs w:val="28"/>
          <w:u w:val="single"/>
        </w:rPr>
        <w:t>Special Damages</w:t>
      </w:r>
    </w:p>
    <w:p w14:paraId="2B6302ED" w14:textId="77777777" w:rsidR="00033986" w:rsidRPr="00033986" w:rsidRDefault="00033986" w:rsidP="00CD225A">
      <w:pPr>
        <w:keepNext/>
        <w:keepLines/>
        <w:widowControl w:val="0"/>
        <w:tabs>
          <w:tab w:val="clear" w:pos="4320"/>
        </w:tabs>
        <w:spacing w:line="360" w:lineRule="auto"/>
        <w:jc w:val="both"/>
        <w:rPr>
          <w:szCs w:val="28"/>
        </w:rPr>
      </w:pPr>
    </w:p>
    <w:p w14:paraId="107405E2" w14:textId="77777777" w:rsidR="00033986" w:rsidRPr="00033986" w:rsidRDefault="00033986" w:rsidP="006F407B">
      <w:pPr>
        <w:pStyle w:val="ListParagraph"/>
        <w:keepNext/>
        <w:keepLines/>
        <w:widowControl w:val="0"/>
        <w:numPr>
          <w:ilvl w:val="0"/>
          <w:numId w:val="1"/>
        </w:numPr>
        <w:tabs>
          <w:tab w:val="clear" w:pos="4320"/>
        </w:tabs>
        <w:spacing w:line="360" w:lineRule="auto"/>
        <w:ind w:left="0" w:firstLine="0"/>
        <w:jc w:val="both"/>
        <w:rPr>
          <w:szCs w:val="28"/>
        </w:rPr>
      </w:pPr>
      <w:r w:rsidRPr="00033986">
        <w:rPr>
          <w:szCs w:val="28"/>
        </w:rPr>
        <w:t xml:space="preserve">The </w:t>
      </w:r>
      <w:r w:rsidR="00CD225A">
        <w:rPr>
          <w:szCs w:val="28"/>
        </w:rPr>
        <w:t>d</w:t>
      </w:r>
      <w:r w:rsidRPr="00033986">
        <w:rPr>
          <w:szCs w:val="28"/>
        </w:rPr>
        <w:t xml:space="preserve">efendants agreed to the </w:t>
      </w:r>
      <w:r w:rsidR="00CD225A">
        <w:rPr>
          <w:szCs w:val="28"/>
        </w:rPr>
        <w:t>p</w:t>
      </w:r>
      <w:r w:rsidRPr="00033986">
        <w:rPr>
          <w:szCs w:val="28"/>
        </w:rPr>
        <w:t xml:space="preserve">laintiff’s claim of HK$78,439. </w:t>
      </w:r>
    </w:p>
    <w:p w14:paraId="4E126307" w14:textId="77777777" w:rsidR="00033986" w:rsidRPr="00033986" w:rsidRDefault="00033986" w:rsidP="00033986">
      <w:pPr>
        <w:tabs>
          <w:tab w:val="clear" w:pos="4320"/>
        </w:tabs>
        <w:spacing w:line="360" w:lineRule="auto"/>
        <w:jc w:val="both"/>
        <w:rPr>
          <w:bCs/>
          <w:szCs w:val="28"/>
          <w:u w:val="single"/>
        </w:rPr>
      </w:pPr>
    </w:p>
    <w:p w14:paraId="326DD8AA" w14:textId="77777777" w:rsidR="00033986" w:rsidRPr="00C6681D" w:rsidRDefault="00033986" w:rsidP="00CD225A">
      <w:pPr>
        <w:pStyle w:val="ListParagraph"/>
        <w:tabs>
          <w:tab w:val="clear" w:pos="4320"/>
        </w:tabs>
        <w:spacing w:line="360" w:lineRule="auto"/>
        <w:ind w:left="0"/>
        <w:jc w:val="both"/>
        <w:rPr>
          <w:bCs/>
          <w:i/>
          <w:szCs w:val="28"/>
          <w:u w:val="single"/>
        </w:rPr>
      </w:pPr>
      <w:r w:rsidRPr="00C6681D">
        <w:rPr>
          <w:bCs/>
          <w:i/>
          <w:szCs w:val="28"/>
          <w:u w:val="single"/>
        </w:rPr>
        <w:t>(v</w:t>
      </w:r>
      <w:r w:rsidR="00C6681D" w:rsidRPr="00C6681D">
        <w:rPr>
          <w:bCs/>
          <w:i/>
          <w:szCs w:val="28"/>
          <w:u w:val="single"/>
        </w:rPr>
        <w:t>ii</w:t>
      </w:r>
      <w:r w:rsidRPr="00C6681D">
        <w:rPr>
          <w:bCs/>
          <w:i/>
          <w:szCs w:val="28"/>
          <w:u w:val="single"/>
        </w:rPr>
        <w:t>) Summary of Damages Awarded</w:t>
      </w:r>
    </w:p>
    <w:p w14:paraId="3B1DB26C" w14:textId="77777777" w:rsidR="00033986" w:rsidRPr="00033986" w:rsidRDefault="00033986" w:rsidP="00033986">
      <w:pPr>
        <w:tabs>
          <w:tab w:val="clear" w:pos="4320"/>
        </w:tabs>
        <w:spacing w:line="360" w:lineRule="auto"/>
        <w:jc w:val="both"/>
        <w:rPr>
          <w:bCs/>
          <w:szCs w:val="28"/>
          <w:u w:val="single"/>
        </w:rPr>
      </w:pPr>
    </w:p>
    <w:p w14:paraId="7D52A9B4"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parties agree that credit should be given to the Settlement Sum as employees’ compensation already paid by D1 to the </w:t>
      </w:r>
      <w:r w:rsidR="00C6681D">
        <w:rPr>
          <w:szCs w:val="28"/>
        </w:rPr>
        <w:t>p</w:t>
      </w:r>
      <w:r w:rsidRPr="00033986">
        <w:rPr>
          <w:szCs w:val="28"/>
        </w:rPr>
        <w:t>laintiff.</w:t>
      </w:r>
    </w:p>
    <w:p w14:paraId="674561BD" w14:textId="77777777" w:rsidR="00033986" w:rsidRPr="00033986" w:rsidRDefault="00033986" w:rsidP="00033986">
      <w:pPr>
        <w:tabs>
          <w:tab w:val="clear" w:pos="4320"/>
        </w:tabs>
        <w:spacing w:line="360" w:lineRule="auto"/>
        <w:jc w:val="both"/>
        <w:rPr>
          <w:szCs w:val="28"/>
        </w:rPr>
      </w:pPr>
    </w:p>
    <w:p w14:paraId="6BC37988" w14:textId="77777777"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In summary, I would award the following sums as damages to the </w:t>
      </w:r>
      <w:r w:rsidR="00C6681D">
        <w:rPr>
          <w:szCs w:val="28"/>
        </w:rPr>
        <w:t>p</w:t>
      </w:r>
      <w:r w:rsidRPr="00033986">
        <w:rPr>
          <w:szCs w:val="28"/>
        </w:rPr>
        <w:t>laintiff in this case:-</w:t>
      </w:r>
    </w:p>
    <w:p w14:paraId="451A497F" w14:textId="77777777" w:rsidR="00033986" w:rsidRDefault="00033986" w:rsidP="00033986">
      <w:pPr>
        <w:tabs>
          <w:tab w:val="clear" w:pos="4320"/>
        </w:tabs>
        <w:spacing w:line="360" w:lineRule="auto"/>
        <w:jc w:val="both"/>
        <w:rPr>
          <w:bCs/>
          <w:szCs w:val="28"/>
          <w:u w:val="single"/>
        </w:rPr>
      </w:pPr>
    </w:p>
    <w:p w14:paraId="1C8266FA" w14:textId="77777777" w:rsidR="00C6681D" w:rsidRPr="004D2390" w:rsidRDefault="00C6681D" w:rsidP="006F407B">
      <w:pPr>
        <w:pStyle w:val="ListParagraph"/>
        <w:numPr>
          <w:ilvl w:val="0"/>
          <w:numId w:val="12"/>
        </w:numPr>
        <w:tabs>
          <w:tab w:val="clear" w:pos="4320"/>
          <w:tab w:val="left" w:pos="2160"/>
        </w:tabs>
        <w:spacing w:line="360" w:lineRule="auto"/>
        <w:ind w:left="1440" w:firstLine="0"/>
        <w:jc w:val="both"/>
        <w:rPr>
          <w:bCs/>
          <w:szCs w:val="28"/>
        </w:rPr>
      </w:pPr>
      <w:r w:rsidRPr="004D2390">
        <w:rPr>
          <w:bCs/>
          <w:szCs w:val="28"/>
        </w:rPr>
        <w:t>PSLA</w:t>
      </w:r>
      <w:r w:rsidRPr="004D2390">
        <w:rPr>
          <w:bCs/>
          <w:szCs w:val="28"/>
        </w:rPr>
        <w:tab/>
        <w:t>HK$300,000.00</w:t>
      </w:r>
    </w:p>
    <w:p w14:paraId="51B5567E" w14:textId="77777777" w:rsidR="00C6681D" w:rsidRPr="004D2390" w:rsidRDefault="00C6681D" w:rsidP="006F407B">
      <w:pPr>
        <w:pStyle w:val="ListParagraph"/>
        <w:numPr>
          <w:ilvl w:val="0"/>
          <w:numId w:val="12"/>
        </w:numPr>
        <w:tabs>
          <w:tab w:val="clear" w:pos="4320"/>
          <w:tab w:val="left" w:pos="2160"/>
        </w:tabs>
        <w:spacing w:line="360" w:lineRule="auto"/>
        <w:ind w:left="1440" w:firstLine="0"/>
        <w:jc w:val="both"/>
        <w:rPr>
          <w:bCs/>
          <w:szCs w:val="28"/>
        </w:rPr>
      </w:pPr>
      <w:r w:rsidRPr="004D2390">
        <w:rPr>
          <w:bCs/>
          <w:szCs w:val="28"/>
        </w:rPr>
        <w:t>Pre-trial loss of earnings</w:t>
      </w:r>
      <w:r w:rsidRPr="004D2390">
        <w:rPr>
          <w:bCs/>
          <w:szCs w:val="28"/>
        </w:rPr>
        <w:tab/>
        <w:t>HK$222,020.40</w:t>
      </w:r>
    </w:p>
    <w:p w14:paraId="34C3F92A" w14:textId="77777777" w:rsidR="00C6681D" w:rsidRPr="004D2390" w:rsidRDefault="00C6681D" w:rsidP="006F407B">
      <w:pPr>
        <w:pStyle w:val="ListParagraph"/>
        <w:numPr>
          <w:ilvl w:val="0"/>
          <w:numId w:val="12"/>
        </w:numPr>
        <w:tabs>
          <w:tab w:val="clear" w:pos="4320"/>
          <w:tab w:val="left" w:pos="2160"/>
          <w:tab w:val="left" w:pos="7200"/>
        </w:tabs>
        <w:spacing w:line="360" w:lineRule="auto"/>
        <w:ind w:left="1440" w:firstLine="0"/>
        <w:jc w:val="both"/>
        <w:rPr>
          <w:szCs w:val="28"/>
        </w:rPr>
      </w:pPr>
      <w:r w:rsidRPr="004D2390">
        <w:rPr>
          <w:szCs w:val="28"/>
        </w:rPr>
        <w:t>Future loss of earnings</w:t>
      </w:r>
      <w:r w:rsidRPr="004D2390">
        <w:rPr>
          <w:szCs w:val="28"/>
        </w:rPr>
        <w:tab/>
        <w:t>Nil</w:t>
      </w:r>
    </w:p>
    <w:p w14:paraId="5D3A8E7B" w14:textId="77777777" w:rsidR="00C6681D" w:rsidRPr="004D2390" w:rsidRDefault="00C6681D" w:rsidP="006F407B">
      <w:pPr>
        <w:pStyle w:val="ListParagraph"/>
        <w:numPr>
          <w:ilvl w:val="0"/>
          <w:numId w:val="12"/>
        </w:numPr>
        <w:tabs>
          <w:tab w:val="clear" w:pos="4320"/>
          <w:tab w:val="left" w:pos="2160"/>
        </w:tabs>
        <w:spacing w:line="360" w:lineRule="auto"/>
        <w:ind w:left="1440" w:firstLine="0"/>
        <w:jc w:val="both"/>
        <w:rPr>
          <w:szCs w:val="28"/>
        </w:rPr>
      </w:pPr>
      <w:r w:rsidRPr="004D2390">
        <w:rPr>
          <w:szCs w:val="28"/>
        </w:rPr>
        <w:t>Loss of earning capacity</w:t>
      </w:r>
      <w:r w:rsidRPr="004D2390">
        <w:rPr>
          <w:szCs w:val="28"/>
        </w:rPr>
        <w:tab/>
        <w:t>HK$25,500.00</w:t>
      </w:r>
    </w:p>
    <w:p w14:paraId="2A78F6CD" w14:textId="77777777" w:rsidR="00C6681D" w:rsidRDefault="00C6681D" w:rsidP="006F407B">
      <w:pPr>
        <w:pStyle w:val="ListParagraph"/>
        <w:numPr>
          <w:ilvl w:val="0"/>
          <w:numId w:val="12"/>
        </w:numPr>
        <w:tabs>
          <w:tab w:val="clear" w:pos="4320"/>
          <w:tab w:val="left" w:pos="2160"/>
        </w:tabs>
        <w:ind w:left="1440" w:firstLine="0"/>
        <w:jc w:val="both"/>
        <w:rPr>
          <w:szCs w:val="28"/>
        </w:rPr>
      </w:pPr>
      <w:r w:rsidRPr="004D2390">
        <w:rPr>
          <w:szCs w:val="28"/>
        </w:rPr>
        <w:t>Costs of future medical treatment</w:t>
      </w:r>
      <w:r w:rsidRPr="004D2390">
        <w:rPr>
          <w:szCs w:val="28"/>
        </w:rPr>
        <w:tab/>
        <w:t>HK$1,000.00</w:t>
      </w:r>
    </w:p>
    <w:p w14:paraId="196A600F" w14:textId="19A1FB32" w:rsidR="007F574D" w:rsidRPr="004D2390" w:rsidRDefault="007F574D" w:rsidP="006F407B">
      <w:pPr>
        <w:pStyle w:val="ListParagraph"/>
        <w:numPr>
          <w:ilvl w:val="0"/>
          <w:numId w:val="12"/>
        </w:numPr>
        <w:tabs>
          <w:tab w:val="clear" w:pos="4320"/>
          <w:tab w:val="left" w:pos="2160"/>
        </w:tabs>
        <w:ind w:left="1440" w:firstLine="0"/>
        <w:jc w:val="both"/>
        <w:rPr>
          <w:szCs w:val="28"/>
        </w:rPr>
      </w:pPr>
      <w:r>
        <w:rPr>
          <w:szCs w:val="28"/>
        </w:rPr>
        <w:t>Special Damages</w:t>
      </w:r>
      <w:r>
        <w:rPr>
          <w:szCs w:val="28"/>
        </w:rPr>
        <w:tab/>
        <w:t>HK$78,439</w:t>
      </w:r>
    </w:p>
    <w:p w14:paraId="7DA0E272" w14:textId="77777777" w:rsidR="00C6681D" w:rsidRDefault="00C6681D" w:rsidP="004D2390">
      <w:pPr>
        <w:tabs>
          <w:tab w:val="clear" w:pos="4320"/>
          <w:tab w:val="left" w:pos="2160"/>
          <w:tab w:val="left" w:pos="6480"/>
        </w:tabs>
        <w:ind w:left="1440"/>
        <w:jc w:val="both"/>
        <w:rPr>
          <w:szCs w:val="28"/>
        </w:rPr>
      </w:pPr>
      <w:r>
        <w:rPr>
          <w:szCs w:val="28"/>
        </w:rPr>
        <w:tab/>
      </w:r>
      <w:r>
        <w:rPr>
          <w:szCs w:val="28"/>
        </w:rPr>
        <w:tab/>
        <w:t>_____________</w:t>
      </w:r>
    </w:p>
    <w:p w14:paraId="201C36A9" w14:textId="77777777" w:rsidR="00C6681D" w:rsidRDefault="00C6681D" w:rsidP="004D2390">
      <w:pPr>
        <w:tabs>
          <w:tab w:val="clear" w:pos="1440"/>
          <w:tab w:val="clear" w:pos="4320"/>
          <w:tab w:val="left" w:pos="3600"/>
        </w:tabs>
        <w:jc w:val="both"/>
        <w:rPr>
          <w:b/>
          <w:szCs w:val="28"/>
        </w:rPr>
      </w:pPr>
      <w:r>
        <w:rPr>
          <w:b/>
          <w:szCs w:val="28"/>
        </w:rPr>
        <w:tab/>
        <w:t>Sub-Total:</w:t>
      </w:r>
      <w:r>
        <w:rPr>
          <w:b/>
          <w:szCs w:val="28"/>
        </w:rPr>
        <w:tab/>
        <w:t>HK$626,959.40</w:t>
      </w:r>
    </w:p>
    <w:p w14:paraId="7569C5FC" w14:textId="77777777" w:rsidR="001807BF" w:rsidRDefault="001807BF" w:rsidP="00013D7A">
      <w:pPr>
        <w:tabs>
          <w:tab w:val="clear" w:pos="1440"/>
          <w:tab w:val="clear" w:pos="4320"/>
          <w:tab w:val="left" w:pos="2160"/>
          <w:tab w:val="left" w:pos="2880"/>
        </w:tabs>
        <w:ind w:right="-64"/>
        <w:jc w:val="both"/>
        <w:rPr>
          <w:bCs/>
          <w:szCs w:val="28"/>
        </w:rPr>
      </w:pPr>
    </w:p>
    <w:p w14:paraId="75DD5785" w14:textId="77777777" w:rsidR="004D2390" w:rsidRDefault="004D2390" w:rsidP="00013D7A">
      <w:pPr>
        <w:tabs>
          <w:tab w:val="clear" w:pos="1440"/>
          <w:tab w:val="clear" w:pos="4320"/>
          <w:tab w:val="left" w:pos="2160"/>
          <w:tab w:val="left" w:pos="2880"/>
        </w:tabs>
        <w:ind w:right="-64"/>
        <w:jc w:val="both"/>
        <w:rPr>
          <w:szCs w:val="28"/>
        </w:rPr>
      </w:pPr>
      <w:r>
        <w:rPr>
          <w:bCs/>
          <w:szCs w:val="28"/>
        </w:rPr>
        <w:tab/>
      </w:r>
      <w:r w:rsidR="00C6681D" w:rsidRPr="00013D7A">
        <w:rPr>
          <w:b/>
          <w:bCs/>
          <w:szCs w:val="28"/>
        </w:rPr>
        <w:t>Less:</w:t>
      </w:r>
      <w:r w:rsidR="00013D7A">
        <w:rPr>
          <w:bCs/>
          <w:szCs w:val="28"/>
        </w:rPr>
        <w:tab/>
      </w:r>
      <w:r w:rsidR="00C6681D" w:rsidRPr="00C6681D">
        <w:rPr>
          <w:szCs w:val="28"/>
        </w:rPr>
        <w:t>Contributory Negligence (10%)</w:t>
      </w:r>
      <w:r w:rsidR="00C6681D">
        <w:rPr>
          <w:szCs w:val="28"/>
        </w:rPr>
        <w:tab/>
      </w:r>
      <w:r w:rsidR="00C6681D" w:rsidRPr="00C6681D">
        <w:rPr>
          <w:szCs w:val="28"/>
        </w:rPr>
        <w:t>(HK$62,695.94)</w:t>
      </w:r>
      <w:r w:rsidRPr="004D2390">
        <w:rPr>
          <w:szCs w:val="28"/>
        </w:rPr>
        <w:t xml:space="preserve"> </w:t>
      </w:r>
    </w:p>
    <w:p w14:paraId="477376A3" w14:textId="77777777" w:rsidR="001807BF" w:rsidRDefault="001807BF" w:rsidP="00013D7A">
      <w:pPr>
        <w:tabs>
          <w:tab w:val="clear" w:pos="4320"/>
          <w:tab w:val="clear" w:pos="9072"/>
          <w:tab w:val="left" w:pos="2880"/>
          <w:tab w:val="decimal" w:pos="7920"/>
        </w:tabs>
        <w:ind w:right="-64"/>
        <w:rPr>
          <w:szCs w:val="28"/>
        </w:rPr>
      </w:pPr>
    </w:p>
    <w:p w14:paraId="339B25A8" w14:textId="77777777" w:rsidR="00C6681D" w:rsidRDefault="00013D7A" w:rsidP="00013D7A">
      <w:pPr>
        <w:tabs>
          <w:tab w:val="clear" w:pos="4320"/>
          <w:tab w:val="clear" w:pos="9072"/>
          <w:tab w:val="left" w:pos="2880"/>
          <w:tab w:val="decimal" w:pos="7920"/>
        </w:tabs>
        <w:ind w:right="-64"/>
        <w:rPr>
          <w:szCs w:val="28"/>
        </w:rPr>
      </w:pPr>
      <w:r>
        <w:rPr>
          <w:szCs w:val="28"/>
        </w:rPr>
        <w:tab/>
      </w:r>
      <w:r>
        <w:rPr>
          <w:szCs w:val="28"/>
        </w:rPr>
        <w:tab/>
      </w:r>
      <w:r w:rsidR="004D2390">
        <w:rPr>
          <w:szCs w:val="28"/>
        </w:rPr>
        <w:t>The Settlement Sum</w:t>
      </w:r>
      <w:r w:rsidR="004D2390">
        <w:rPr>
          <w:szCs w:val="28"/>
        </w:rPr>
        <w:tab/>
      </w:r>
      <w:r w:rsidR="00C6681D" w:rsidRPr="00C6681D">
        <w:rPr>
          <w:szCs w:val="28"/>
        </w:rPr>
        <w:t>(HK$314,649</w:t>
      </w:r>
      <w:r w:rsidR="004D2390">
        <w:rPr>
          <w:szCs w:val="28"/>
        </w:rPr>
        <w:t>.00)</w:t>
      </w:r>
    </w:p>
    <w:p w14:paraId="62005AB9" w14:textId="77777777" w:rsidR="004D2390" w:rsidRDefault="004D2390" w:rsidP="004D2390">
      <w:pPr>
        <w:tabs>
          <w:tab w:val="clear" w:pos="4320"/>
          <w:tab w:val="left" w:pos="6480"/>
        </w:tabs>
        <w:jc w:val="both"/>
        <w:rPr>
          <w:szCs w:val="28"/>
        </w:rPr>
      </w:pPr>
      <w:r>
        <w:rPr>
          <w:szCs w:val="28"/>
        </w:rPr>
        <w:tab/>
      </w:r>
      <w:r>
        <w:rPr>
          <w:szCs w:val="28"/>
        </w:rPr>
        <w:tab/>
        <w:t>_____________</w:t>
      </w:r>
    </w:p>
    <w:p w14:paraId="42A549FE" w14:textId="77777777" w:rsidR="00C6681D" w:rsidRPr="00C6681D" w:rsidRDefault="00C6681D" w:rsidP="004D2390">
      <w:pPr>
        <w:tabs>
          <w:tab w:val="clear" w:pos="4320"/>
          <w:tab w:val="left" w:pos="6480"/>
        </w:tabs>
        <w:spacing w:line="360" w:lineRule="auto"/>
        <w:ind w:right="-64"/>
        <w:jc w:val="both"/>
        <w:rPr>
          <w:b/>
          <w:bCs/>
          <w:szCs w:val="28"/>
        </w:rPr>
      </w:pPr>
      <w:r>
        <w:rPr>
          <w:b/>
          <w:bCs/>
          <w:szCs w:val="28"/>
        </w:rPr>
        <w:tab/>
      </w:r>
      <w:r w:rsidRPr="00C6681D">
        <w:rPr>
          <w:b/>
          <w:bCs/>
          <w:szCs w:val="28"/>
        </w:rPr>
        <w:t>Total:</w:t>
      </w:r>
      <w:r>
        <w:rPr>
          <w:b/>
          <w:bCs/>
          <w:szCs w:val="28"/>
        </w:rPr>
        <w:tab/>
      </w:r>
      <w:r w:rsidRPr="004D2390">
        <w:rPr>
          <w:b/>
          <w:bCs/>
          <w:szCs w:val="28"/>
        </w:rPr>
        <w:t>HK$249,614.46</w:t>
      </w:r>
    </w:p>
    <w:p w14:paraId="5A14667F" w14:textId="34168D25" w:rsidR="00033986" w:rsidRDefault="00033986" w:rsidP="00033986">
      <w:pPr>
        <w:tabs>
          <w:tab w:val="clear" w:pos="4320"/>
        </w:tabs>
        <w:spacing w:line="360" w:lineRule="auto"/>
        <w:jc w:val="both"/>
        <w:rPr>
          <w:szCs w:val="28"/>
        </w:rPr>
      </w:pPr>
    </w:p>
    <w:p w14:paraId="60319729" w14:textId="0540AFD2" w:rsidR="00273A1D" w:rsidRDefault="00273A1D" w:rsidP="00033986">
      <w:pPr>
        <w:tabs>
          <w:tab w:val="clear" w:pos="4320"/>
        </w:tabs>
        <w:spacing w:line="360" w:lineRule="auto"/>
        <w:jc w:val="both"/>
        <w:rPr>
          <w:szCs w:val="28"/>
        </w:rPr>
      </w:pPr>
    </w:p>
    <w:p w14:paraId="1DA5C43D" w14:textId="0ACA46CD" w:rsidR="00273A1D" w:rsidRDefault="00273A1D" w:rsidP="00033986">
      <w:pPr>
        <w:tabs>
          <w:tab w:val="clear" w:pos="4320"/>
        </w:tabs>
        <w:spacing w:line="360" w:lineRule="auto"/>
        <w:jc w:val="both"/>
        <w:rPr>
          <w:szCs w:val="28"/>
        </w:rPr>
      </w:pPr>
    </w:p>
    <w:p w14:paraId="0D0AEFE8" w14:textId="77777777" w:rsidR="00273A1D" w:rsidRPr="00033986" w:rsidRDefault="00273A1D" w:rsidP="00033986">
      <w:pPr>
        <w:tabs>
          <w:tab w:val="clear" w:pos="4320"/>
        </w:tabs>
        <w:spacing w:line="360" w:lineRule="auto"/>
        <w:jc w:val="both"/>
        <w:rPr>
          <w:szCs w:val="28"/>
        </w:rPr>
      </w:pPr>
    </w:p>
    <w:p w14:paraId="5BACEC14" w14:textId="4E2A3B4A"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lastRenderedPageBreak/>
        <w:t>Interest on general damages shall be 2% per annum from the date of service of the writ until judgment, and thereafter at judgment rate</w:t>
      </w:r>
      <w:r w:rsidR="00912027">
        <w:rPr>
          <w:szCs w:val="28"/>
        </w:rPr>
        <w:t xml:space="preserve"> until full payment</w:t>
      </w:r>
      <w:r w:rsidRPr="00033986">
        <w:rPr>
          <w:szCs w:val="28"/>
        </w:rPr>
        <w:t xml:space="preserve">. </w:t>
      </w:r>
      <w:r w:rsidR="00013D7A">
        <w:rPr>
          <w:szCs w:val="28"/>
        </w:rPr>
        <w:t xml:space="preserve"> </w:t>
      </w:r>
      <w:r w:rsidRPr="00033986">
        <w:rPr>
          <w:szCs w:val="28"/>
        </w:rPr>
        <w:t>Interest on pre-trial losses and special damages shall be at half of the judgment rate from the date of the Accident to the date of judgment, and thereafter at judgment rate</w:t>
      </w:r>
      <w:r w:rsidR="00912027">
        <w:rPr>
          <w:szCs w:val="28"/>
        </w:rPr>
        <w:t xml:space="preserve"> until full payment</w:t>
      </w:r>
      <w:r w:rsidRPr="00033986">
        <w:rPr>
          <w:szCs w:val="28"/>
        </w:rPr>
        <w:t>.</w:t>
      </w:r>
    </w:p>
    <w:p w14:paraId="13E9A238" w14:textId="7D6D38BB" w:rsidR="00033986" w:rsidRDefault="00033986" w:rsidP="00033986">
      <w:pPr>
        <w:tabs>
          <w:tab w:val="clear" w:pos="4320"/>
        </w:tabs>
        <w:spacing w:line="360" w:lineRule="auto"/>
        <w:jc w:val="both"/>
        <w:rPr>
          <w:szCs w:val="28"/>
        </w:rPr>
      </w:pPr>
    </w:p>
    <w:p w14:paraId="6226697C" w14:textId="77777777" w:rsidR="00273A1D" w:rsidRPr="00033986" w:rsidRDefault="00273A1D" w:rsidP="00033986">
      <w:pPr>
        <w:tabs>
          <w:tab w:val="clear" w:pos="4320"/>
        </w:tabs>
        <w:spacing w:line="360" w:lineRule="auto"/>
        <w:jc w:val="both"/>
        <w:rPr>
          <w:szCs w:val="28"/>
        </w:rPr>
      </w:pPr>
      <w:bookmarkStart w:id="0" w:name="_GoBack"/>
      <w:bookmarkEnd w:id="0"/>
    </w:p>
    <w:p w14:paraId="050107DA" w14:textId="77777777" w:rsidR="00033986" w:rsidRPr="00013D7A" w:rsidRDefault="00013D7A" w:rsidP="00013D7A">
      <w:pPr>
        <w:pStyle w:val="ListParagraph"/>
        <w:tabs>
          <w:tab w:val="clear" w:pos="4320"/>
        </w:tabs>
        <w:spacing w:line="360" w:lineRule="auto"/>
        <w:ind w:left="0"/>
        <w:jc w:val="both"/>
        <w:rPr>
          <w:b/>
          <w:bCs/>
          <w:i/>
          <w:szCs w:val="28"/>
        </w:rPr>
      </w:pPr>
      <w:r w:rsidRPr="00013D7A">
        <w:rPr>
          <w:b/>
          <w:bCs/>
          <w:i/>
          <w:szCs w:val="28"/>
        </w:rPr>
        <w:t xml:space="preserve">F. </w:t>
      </w:r>
      <w:r w:rsidR="00033986" w:rsidRPr="00013D7A">
        <w:rPr>
          <w:b/>
          <w:bCs/>
          <w:i/>
          <w:szCs w:val="28"/>
        </w:rPr>
        <w:t xml:space="preserve">Conclusion </w:t>
      </w:r>
    </w:p>
    <w:p w14:paraId="1396F0F1" w14:textId="77777777" w:rsidR="00033986" w:rsidRPr="00033986" w:rsidRDefault="00033986" w:rsidP="00033986">
      <w:pPr>
        <w:tabs>
          <w:tab w:val="clear" w:pos="4320"/>
        </w:tabs>
        <w:spacing w:line="360" w:lineRule="auto"/>
        <w:jc w:val="both"/>
        <w:rPr>
          <w:bCs/>
          <w:szCs w:val="28"/>
          <w:u w:val="single"/>
        </w:rPr>
      </w:pPr>
    </w:p>
    <w:p w14:paraId="20A6109D" w14:textId="77777777" w:rsidR="00033986" w:rsidRPr="00033986" w:rsidRDefault="00033986" w:rsidP="006F407B">
      <w:pPr>
        <w:pStyle w:val="ListParagraph"/>
        <w:numPr>
          <w:ilvl w:val="0"/>
          <w:numId w:val="1"/>
        </w:numPr>
        <w:tabs>
          <w:tab w:val="clear" w:pos="4320"/>
        </w:tabs>
        <w:spacing w:line="360" w:lineRule="auto"/>
        <w:ind w:left="0" w:firstLine="0"/>
        <w:jc w:val="both"/>
        <w:rPr>
          <w:bCs/>
          <w:szCs w:val="28"/>
          <w:u w:val="single"/>
        </w:rPr>
      </w:pPr>
      <w:r w:rsidRPr="00033986">
        <w:rPr>
          <w:szCs w:val="28"/>
        </w:rPr>
        <w:t>For the above reasons, I make the following orders:-</w:t>
      </w:r>
    </w:p>
    <w:p w14:paraId="1DD82051" w14:textId="77777777" w:rsidR="00033986" w:rsidRPr="00033986" w:rsidRDefault="00033986" w:rsidP="00033986">
      <w:pPr>
        <w:tabs>
          <w:tab w:val="clear" w:pos="4320"/>
        </w:tabs>
        <w:spacing w:line="360" w:lineRule="auto"/>
        <w:jc w:val="both"/>
        <w:rPr>
          <w:szCs w:val="28"/>
        </w:rPr>
      </w:pPr>
    </w:p>
    <w:p w14:paraId="075C8FA2" w14:textId="77777777" w:rsidR="00033986" w:rsidRPr="00013D7A" w:rsidRDefault="00033986" w:rsidP="006F407B">
      <w:pPr>
        <w:pStyle w:val="ListParagraph"/>
        <w:numPr>
          <w:ilvl w:val="0"/>
          <w:numId w:val="13"/>
        </w:numPr>
        <w:tabs>
          <w:tab w:val="clear" w:pos="4320"/>
          <w:tab w:val="left" w:pos="2160"/>
        </w:tabs>
        <w:spacing w:line="360" w:lineRule="auto"/>
        <w:ind w:left="2160" w:hanging="720"/>
        <w:jc w:val="both"/>
        <w:rPr>
          <w:bCs/>
          <w:szCs w:val="28"/>
          <w:u w:val="single"/>
        </w:rPr>
      </w:pPr>
      <w:r w:rsidRPr="00033986">
        <w:rPr>
          <w:szCs w:val="28"/>
        </w:rPr>
        <w:t xml:space="preserve">Judgment be entered against the </w:t>
      </w:r>
      <w:r w:rsidR="00013D7A">
        <w:rPr>
          <w:szCs w:val="28"/>
        </w:rPr>
        <w:t>d</w:t>
      </w:r>
      <w:r w:rsidRPr="00033986">
        <w:rPr>
          <w:szCs w:val="28"/>
        </w:rPr>
        <w:t>efendants in the sum of HK$249,614.46 plus interest set out in Paragraph 113 above;</w:t>
      </w:r>
    </w:p>
    <w:p w14:paraId="04FEE2EB" w14:textId="77777777" w:rsidR="00013D7A" w:rsidRPr="00033986" w:rsidRDefault="00013D7A" w:rsidP="001807BF">
      <w:pPr>
        <w:pStyle w:val="ListParagraph"/>
        <w:tabs>
          <w:tab w:val="clear" w:pos="4320"/>
          <w:tab w:val="left" w:pos="2160"/>
        </w:tabs>
        <w:spacing w:line="360" w:lineRule="auto"/>
        <w:ind w:left="2160" w:hanging="720"/>
        <w:jc w:val="both"/>
        <w:rPr>
          <w:bCs/>
          <w:szCs w:val="28"/>
          <w:u w:val="single"/>
        </w:rPr>
      </w:pPr>
    </w:p>
    <w:p w14:paraId="4153F32A" w14:textId="77777777" w:rsidR="00033986" w:rsidRPr="00033986" w:rsidRDefault="00033986" w:rsidP="006F407B">
      <w:pPr>
        <w:pStyle w:val="ListParagraph"/>
        <w:numPr>
          <w:ilvl w:val="0"/>
          <w:numId w:val="13"/>
        </w:numPr>
        <w:tabs>
          <w:tab w:val="clear" w:pos="4320"/>
          <w:tab w:val="left" w:pos="2160"/>
        </w:tabs>
        <w:spacing w:line="360" w:lineRule="auto"/>
        <w:ind w:left="2160" w:hanging="720"/>
        <w:jc w:val="both"/>
        <w:rPr>
          <w:szCs w:val="28"/>
        </w:rPr>
      </w:pPr>
      <w:r w:rsidRPr="00033986">
        <w:rPr>
          <w:szCs w:val="28"/>
        </w:rPr>
        <w:t>The 1</w:t>
      </w:r>
      <w:r w:rsidRPr="00033986">
        <w:rPr>
          <w:szCs w:val="28"/>
          <w:vertAlign w:val="superscript"/>
        </w:rPr>
        <w:t>st</w:t>
      </w:r>
      <w:r w:rsidRPr="00033986">
        <w:rPr>
          <w:szCs w:val="28"/>
        </w:rPr>
        <w:t xml:space="preserve"> </w:t>
      </w:r>
      <w:r w:rsidR="00013D7A">
        <w:rPr>
          <w:szCs w:val="28"/>
        </w:rPr>
        <w:t>d</w:t>
      </w:r>
      <w:r w:rsidRPr="00033986">
        <w:rPr>
          <w:szCs w:val="28"/>
        </w:rPr>
        <w:t>efendant’s counterclaim be dismissed;</w:t>
      </w:r>
    </w:p>
    <w:p w14:paraId="4CA46906" w14:textId="77777777" w:rsidR="00033986" w:rsidRPr="00033986" w:rsidRDefault="00033986" w:rsidP="001807BF">
      <w:pPr>
        <w:tabs>
          <w:tab w:val="clear" w:pos="4320"/>
          <w:tab w:val="left" w:pos="2160"/>
        </w:tabs>
        <w:spacing w:line="360" w:lineRule="auto"/>
        <w:ind w:left="2160" w:hanging="720"/>
        <w:jc w:val="both"/>
        <w:rPr>
          <w:bCs/>
          <w:szCs w:val="28"/>
          <w:u w:val="single"/>
        </w:rPr>
      </w:pPr>
    </w:p>
    <w:p w14:paraId="5A5DF20E" w14:textId="33F6A524" w:rsidR="00033986" w:rsidRPr="00033986" w:rsidRDefault="00033986" w:rsidP="006F407B">
      <w:pPr>
        <w:pStyle w:val="ListParagraph"/>
        <w:numPr>
          <w:ilvl w:val="0"/>
          <w:numId w:val="13"/>
        </w:numPr>
        <w:tabs>
          <w:tab w:val="clear" w:pos="4320"/>
          <w:tab w:val="left" w:pos="2160"/>
        </w:tabs>
        <w:spacing w:line="360" w:lineRule="auto"/>
        <w:ind w:left="2160" w:hanging="720"/>
        <w:jc w:val="both"/>
        <w:rPr>
          <w:bCs/>
          <w:szCs w:val="28"/>
          <w:u w:val="single"/>
        </w:rPr>
      </w:pPr>
      <w:r w:rsidRPr="00033986">
        <w:rPr>
          <w:szCs w:val="28"/>
        </w:rPr>
        <w:t xml:space="preserve">There be a costs order </w:t>
      </w:r>
      <w:r w:rsidRPr="00033986">
        <w:rPr>
          <w:i/>
          <w:iCs/>
          <w:szCs w:val="28"/>
        </w:rPr>
        <w:t>nisi</w:t>
      </w:r>
      <w:r w:rsidRPr="00033986">
        <w:rPr>
          <w:szCs w:val="28"/>
        </w:rPr>
        <w:t xml:space="preserve"> that the </w:t>
      </w:r>
      <w:r w:rsidR="00013D7A">
        <w:rPr>
          <w:szCs w:val="28"/>
        </w:rPr>
        <w:t>d</w:t>
      </w:r>
      <w:r w:rsidRPr="00033986">
        <w:rPr>
          <w:szCs w:val="28"/>
        </w:rPr>
        <w:t xml:space="preserve">efendants shall pay the </w:t>
      </w:r>
      <w:r w:rsidR="00013D7A">
        <w:rPr>
          <w:szCs w:val="28"/>
        </w:rPr>
        <w:t>p</w:t>
      </w:r>
      <w:r w:rsidRPr="00033986">
        <w:rPr>
          <w:szCs w:val="28"/>
        </w:rPr>
        <w:t>laintiff’s costs of this action, save that only the 1</w:t>
      </w:r>
      <w:r w:rsidRPr="00033986">
        <w:rPr>
          <w:szCs w:val="28"/>
          <w:vertAlign w:val="superscript"/>
        </w:rPr>
        <w:t>st</w:t>
      </w:r>
      <w:r w:rsidRPr="00033986">
        <w:rPr>
          <w:szCs w:val="28"/>
        </w:rPr>
        <w:t xml:space="preserve"> </w:t>
      </w:r>
      <w:r w:rsidR="00013D7A">
        <w:rPr>
          <w:szCs w:val="28"/>
        </w:rPr>
        <w:t>d</w:t>
      </w:r>
      <w:r w:rsidRPr="00033986">
        <w:rPr>
          <w:szCs w:val="28"/>
        </w:rPr>
        <w:t xml:space="preserve">efendant shall pay the </w:t>
      </w:r>
      <w:r w:rsidR="00013D7A">
        <w:rPr>
          <w:szCs w:val="28"/>
        </w:rPr>
        <w:t>p</w:t>
      </w:r>
      <w:r w:rsidRPr="00033986">
        <w:rPr>
          <w:szCs w:val="28"/>
        </w:rPr>
        <w:t xml:space="preserve">laintiff’s costs of the counterclaim, including all costs reserved if any, to be taxed if not agreed with certificate for counsel. </w:t>
      </w:r>
      <w:r w:rsidR="00013D7A">
        <w:rPr>
          <w:szCs w:val="28"/>
        </w:rPr>
        <w:t xml:space="preserve"> </w:t>
      </w:r>
      <w:r w:rsidRPr="00033986">
        <w:rPr>
          <w:szCs w:val="28"/>
        </w:rPr>
        <w:t xml:space="preserve">The </w:t>
      </w:r>
      <w:r w:rsidR="00013D7A">
        <w:rPr>
          <w:szCs w:val="28"/>
        </w:rPr>
        <w:t>p</w:t>
      </w:r>
      <w:r w:rsidRPr="00033986">
        <w:rPr>
          <w:szCs w:val="28"/>
        </w:rPr>
        <w:t>laintiff’s own costs be tax</w:t>
      </w:r>
      <w:r w:rsidR="0098030C">
        <w:rPr>
          <w:szCs w:val="28"/>
        </w:rPr>
        <w:t>ed</w:t>
      </w:r>
      <w:r w:rsidRPr="00033986">
        <w:rPr>
          <w:szCs w:val="28"/>
        </w:rPr>
        <w:t xml:space="preserve"> in accordance with </w:t>
      </w:r>
      <w:r w:rsidR="0098030C">
        <w:rPr>
          <w:szCs w:val="28"/>
        </w:rPr>
        <w:t xml:space="preserve">the </w:t>
      </w:r>
      <w:r w:rsidRPr="00033986">
        <w:rPr>
          <w:szCs w:val="28"/>
        </w:rPr>
        <w:t>Legal Aid regulation</w:t>
      </w:r>
      <w:r w:rsidR="0098030C">
        <w:rPr>
          <w:szCs w:val="28"/>
        </w:rPr>
        <w:t>s</w:t>
      </w:r>
      <w:r w:rsidRPr="00033986">
        <w:rPr>
          <w:szCs w:val="28"/>
        </w:rPr>
        <w:t xml:space="preserve">. </w:t>
      </w:r>
    </w:p>
    <w:p w14:paraId="611BEBFC" w14:textId="77777777" w:rsidR="00033986" w:rsidRPr="00033986" w:rsidRDefault="00033986" w:rsidP="00033986">
      <w:pPr>
        <w:tabs>
          <w:tab w:val="clear" w:pos="4320"/>
        </w:tabs>
        <w:spacing w:line="360" w:lineRule="auto"/>
        <w:jc w:val="both"/>
        <w:rPr>
          <w:bCs/>
          <w:szCs w:val="28"/>
          <w:u w:val="single"/>
        </w:rPr>
      </w:pPr>
    </w:p>
    <w:p w14:paraId="073907C7" w14:textId="4C2F427B" w:rsidR="00033986" w:rsidRPr="00033986"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t xml:space="preserve">The costs order </w:t>
      </w:r>
      <w:r w:rsidRPr="00033986">
        <w:rPr>
          <w:i/>
          <w:iCs/>
          <w:szCs w:val="28"/>
        </w:rPr>
        <w:t>nisi</w:t>
      </w:r>
      <w:r w:rsidRPr="00033986">
        <w:rPr>
          <w:szCs w:val="28"/>
        </w:rPr>
        <w:t xml:space="preserve"> shall become absolute in the absence of any application to vary the same within 14 days of </w:t>
      </w:r>
      <w:r w:rsidR="0098030C">
        <w:rPr>
          <w:szCs w:val="28"/>
        </w:rPr>
        <w:t>this Judgment</w:t>
      </w:r>
      <w:r w:rsidRPr="00033986">
        <w:rPr>
          <w:szCs w:val="28"/>
        </w:rPr>
        <w:t xml:space="preserve">. </w:t>
      </w:r>
    </w:p>
    <w:p w14:paraId="31EC1FFB" w14:textId="77777777" w:rsidR="00033986" w:rsidRPr="00033986" w:rsidRDefault="00033986" w:rsidP="00033986">
      <w:pPr>
        <w:tabs>
          <w:tab w:val="clear" w:pos="4320"/>
        </w:tabs>
        <w:spacing w:line="360" w:lineRule="auto"/>
        <w:jc w:val="both"/>
        <w:rPr>
          <w:szCs w:val="28"/>
        </w:rPr>
      </w:pPr>
    </w:p>
    <w:p w14:paraId="4A93ACFC" w14:textId="77777777" w:rsidR="00033986" w:rsidRPr="00013D7A" w:rsidRDefault="00033986" w:rsidP="006F407B">
      <w:pPr>
        <w:pStyle w:val="ListParagraph"/>
        <w:numPr>
          <w:ilvl w:val="0"/>
          <w:numId w:val="1"/>
        </w:numPr>
        <w:tabs>
          <w:tab w:val="clear" w:pos="4320"/>
        </w:tabs>
        <w:spacing w:line="360" w:lineRule="auto"/>
        <w:ind w:left="0" w:firstLine="0"/>
        <w:jc w:val="both"/>
        <w:rPr>
          <w:szCs w:val="28"/>
        </w:rPr>
      </w:pPr>
      <w:r w:rsidRPr="00033986">
        <w:rPr>
          <w:szCs w:val="28"/>
        </w:rPr>
        <w:lastRenderedPageBreak/>
        <w:t>It remains for me to thank counsel for their assistance.</w:t>
      </w:r>
    </w:p>
    <w:p w14:paraId="1E60205B" w14:textId="77777777" w:rsidR="00013D7A" w:rsidRDefault="00013D7A" w:rsidP="00013D7A">
      <w:pPr>
        <w:spacing w:line="276" w:lineRule="auto"/>
        <w:jc w:val="both"/>
        <w:rPr>
          <w:rFonts w:ascii="Times" w:hAnsi="Times"/>
          <w:szCs w:val="28"/>
        </w:rPr>
      </w:pPr>
    </w:p>
    <w:p w14:paraId="68C6109B" w14:textId="77777777" w:rsidR="00013D7A" w:rsidRDefault="00013D7A" w:rsidP="00013D7A">
      <w:pPr>
        <w:spacing w:line="276" w:lineRule="auto"/>
        <w:jc w:val="both"/>
        <w:rPr>
          <w:rFonts w:ascii="Times" w:hAnsi="Times"/>
          <w:szCs w:val="28"/>
        </w:rPr>
      </w:pPr>
    </w:p>
    <w:p w14:paraId="665DEF05" w14:textId="77777777" w:rsidR="00737F4F" w:rsidRDefault="00737F4F" w:rsidP="00013D7A">
      <w:pPr>
        <w:spacing w:line="276" w:lineRule="auto"/>
        <w:jc w:val="both"/>
        <w:rPr>
          <w:rFonts w:ascii="Times" w:hAnsi="Times"/>
          <w:szCs w:val="28"/>
        </w:rPr>
      </w:pPr>
    </w:p>
    <w:p w14:paraId="3CA76EE7" w14:textId="77777777" w:rsidR="00737F4F" w:rsidRDefault="00737F4F" w:rsidP="00013D7A">
      <w:pPr>
        <w:spacing w:line="276" w:lineRule="auto"/>
        <w:jc w:val="both"/>
        <w:rPr>
          <w:rFonts w:ascii="Times" w:hAnsi="Times"/>
          <w:szCs w:val="28"/>
        </w:rPr>
      </w:pPr>
    </w:p>
    <w:p w14:paraId="7E5676D2" w14:textId="77777777" w:rsidR="00737F4F" w:rsidRDefault="00737F4F" w:rsidP="00013D7A">
      <w:pPr>
        <w:spacing w:line="276" w:lineRule="auto"/>
        <w:jc w:val="both"/>
        <w:rPr>
          <w:rFonts w:ascii="Times" w:hAnsi="Times"/>
          <w:szCs w:val="28"/>
        </w:rPr>
      </w:pPr>
    </w:p>
    <w:p w14:paraId="56194D80" w14:textId="77777777" w:rsidR="00737F4F" w:rsidRDefault="00737F4F" w:rsidP="00013D7A">
      <w:pPr>
        <w:spacing w:line="276" w:lineRule="auto"/>
        <w:jc w:val="both"/>
        <w:rPr>
          <w:rFonts w:ascii="Times" w:hAnsi="Times"/>
          <w:szCs w:val="28"/>
        </w:rPr>
      </w:pPr>
    </w:p>
    <w:p w14:paraId="23BF010B" w14:textId="77777777" w:rsidR="00737F4F" w:rsidRPr="00737F4F" w:rsidRDefault="00737F4F" w:rsidP="00013D7A">
      <w:pPr>
        <w:spacing w:line="276" w:lineRule="auto"/>
        <w:jc w:val="both"/>
        <w:rPr>
          <w:rFonts w:ascii="Times" w:hAnsi="Times"/>
          <w:szCs w:val="28"/>
        </w:rPr>
      </w:pPr>
    </w:p>
    <w:p w14:paraId="11780A70" w14:textId="77777777" w:rsidR="00013D7A" w:rsidRPr="00013D7A" w:rsidRDefault="00013D7A" w:rsidP="00013D7A">
      <w:pPr>
        <w:spacing w:line="276" w:lineRule="auto"/>
        <w:jc w:val="both"/>
        <w:rPr>
          <w:rFonts w:ascii="Times" w:hAnsi="Times"/>
          <w:szCs w:val="28"/>
        </w:rPr>
      </w:pPr>
    </w:p>
    <w:p w14:paraId="45353564" w14:textId="77777777"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t xml:space="preserve">( </w:t>
      </w:r>
      <w:r w:rsidR="00033986">
        <w:rPr>
          <w:bCs/>
          <w:szCs w:val="28"/>
          <w:lang w:val="en-GB"/>
        </w:rPr>
        <w:t xml:space="preserve">Connie Lee </w:t>
      </w:r>
      <w:r w:rsidRPr="006E39C1">
        <w:rPr>
          <w:bCs/>
          <w:szCs w:val="28"/>
          <w:lang w:val="en-GB"/>
        </w:rPr>
        <w:t>)</w:t>
      </w:r>
    </w:p>
    <w:p w14:paraId="254E1AD7" w14:textId="77777777"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r w:rsidR="00664170">
        <w:rPr>
          <w:bCs/>
          <w:szCs w:val="28"/>
          <w:lang w:val="en-GB"/>
        </w:rPr>
        <w:t xml:space="preserve">Deputy </w:t>
      </w:r>
      <w:r w:rsidRPr="006E39C1">
        <w:rPr>
          <w:bCs/>
          <w:szCs w:val="28"/>
          <w:lang w:val="en-GB"/>
        </w:rPr>
        <w:t>District Judge</w:t>
      </w:r>
    </w:p>
    <w:p w14:paraId="406877F5" w14:textId="77777777" w:rsidR="006E39C1" w:rsidRDefault="006E39C1" w:rsidP="006E39C1">
      <w:pPr>
        <w:tabs>
          <w:tab w:val="clear" w:pos="4320"/>
          <w:tab w:val="clear" w:pos="9072"/>
          <w:tab w:val="center" w:pos="6480"/>
        </w:tabs>
        <w:snapToGrid/>
        <w:jc w:val="both"/>
        <w:rPr>
          <w:bCs/>
          <w:szCs w:val="28"/>
          <w:lang w:val="en-GB"/>
        </w:rPr>
      </w:pPr>
    </w:p>
    <w:p w14:paraId="02CEC148" w14:textId="77777777" w:rsidR="00033986" w:rsidRDefault="00033986" w:rsidP="00033986">
      <w:pPr>
        <w:pStyle w:val="ListParagraph"/>
        <w:spacing w:line="276" w:lineRule="auto"/>
        <w:ind w:left="567"/>
        <w:jc w:val="both"/>
        <w:rPr>
          <w:rFonts w:ascii="Times" w:hAnsi="Times"/>
          <w:szCs w:val="28"/>
        </w:rPr>
      </w:pPr>
    </w:p>
    <w:p w14:paraId="50D9A160" w14:textId="782133B6" w:rsidR="00033986" w:rsidRDefault="00033986" w:rsidP="00033986">
      <w:pPr>
        <w:pStyle w:val="ListParagraph"/>
        <w:spacing w:line="276" w:lineRule="auto"/>
        <w:ind w:left="0"/>
        <w:jc w:val="both"/>
        <w:rPr>
          <w:rFonts w:ascii="Times" w:hAnsi="Times"/>
          <w:szCs w:val="28"/>
        </w:rPr>
      </w:pPr>
      <w:r w:rsidRPr="00DB187E">
        <w:rPr>
          <w:rFonts w:ascii="Times" w:hAnsi="Times"/>
          <w:szCs w:val="28"/>
        </w:rPr>
        <w:t>Mr Norman W</w:t>
      </w:r>
      <w:r>
        <w:rPr>
          <w:rFonts w:ascii="Times" w:hAnsi="Times"/>
          <w:szCs w:val="28"/>
        </w:rPr>
        <w:t xml:space="preserve">ong, instructed by </w:t>
      </w:r>
      <w:r w:rsidRPr="00DB187E">
        <w:rPr>
          <w:rFonts w:ascii="Times" w:hAnsi="Times"/>
          <w:szCs w:val="28"/>
        </w:rPr>
        <w:t>Szwina Pang, Edward Li &amp; Co.</w:t>
      </w:r>
      <w:r>
        <w:rPr>
          <w:rFonts w:ascii="Times" w:hAnsi="Times"/>
          <w:szCs w:val="28"/>
        </w:rPr>
        <w:t xml:space="preserve"> </w:t>
      </w:r>
      <w:r w:rsidR="00273A1D">
        <w:rPr>
          <w:rFonts w:ascii="Times" w:hAnsi="Times"/>
          <w:szCs w:val="28"/>
        </w:rPr>
        <w:t xml:space="preserve">assigned by the Director of Legal Aid, </w:t>
      </w:r>
      <w:r>
        <w:rPr>
          <w:rFonts w:ascii="Times" w:hAnsi="Times"/>
          <w:szCs w:val="28"/>
        </w:rPr>
        <w:t>for the plaintiff</w:t>
      </w:r>
    </w:p>
    <w:p w14:paraId="4810BEE3" w14:textId="77777777" w:rsidR="00033986" w:rsidRDefault="00033986" w:rsidP="00033986">
      <w:pPr>
        <w:pStyle w:val="ListParagraph"/>
        <w:spacing w:line="276" w:lineRule="auto"/>
        <w:ind w:left="0"/>
        <w:jc w:val="both"/>
        <w:rPr>
          <w:rFonts w:ascii="Times" w:hAnsi="Times"/>
          <w:szCs w:val="28"/>
        </w:rPr>
      </w:pPr>
    </w:p>
    <w:p w14:paraId="4577E13B" w14:textId="77777777" w:rsidR="00033986" w:rsidRPr="0036448E" w:rsidRDefault="00033986" w:rsidP="00033986">
      <w:pPr>
        <w:pStyle w:val="ListParagraph"/>
        <w:spacing w:line="276" w:lineRule="auto"/>
        <w:ind w:left="0"/>
        <w:jc w:val="both"/>
        <w:rPr>
          <w:rFonts w:ascii="Times" w:hAnsi="Times"/>
          <w:szCs w:val="28"/>
        </w:rPr>
      </w:pPr>
      <w:r w:rsidRPr="00DB187E">
        <w:rPr>
          <w:rFonts w:ascii="Times" w:hAnsi="Times"/>
          <w:szCs w:val="28"/>
        </w:rPr>
        <w:t xml:space="preserve">Mr Simon </w:t>
      </w:r>
      <w:r>
        <w:rPr>
          <w:rFonts w:ascii="Times" w:hAnsi="Times"/>
          <w:szCs w:val="28"/>
        </w:rPr>
        <w:t xml:space="preserve">Wong, </w:t>
      </w:r>
      <w:r w:rsidRPr="00DB187E">
        <w:rPr>
          <w:rFonts w:ascii="Times" w:hAnsi="Times"/>
          <w:szCs w:val="28"/>
        </w:rPr>
        <w:t>instructed by Deacons</w:t>
      </w:r>
      <w:r>
        <w:rPr>
          <w:rFonts w:ascii="Times" w:hAnsi="Times"/>
          <w:szCs w:val="28"/>
        </w:rPr>
        <w:t xml:space="preserve">, for the defendants </w:t>
      </w:r>
    </w:p>
    <w:p w14:paraId="23087B50" w14:textId="77777777" w:rsidR="00053760" w:rsidRPr="00033986" w:rsidRDefault="00053760" w:rsidP="00033986">
      <w:pPr>
        <w:tabs>
          <w:tab w:val="clear" w:pos="4320"/>
          <w:tab w:val="clear" w:pos="9072"/>
          <w:tab w:val="center" w:pos="6480"/>
        </w:tabs>
        <w:snapToGrid/>
        <w:jc w:val="both"/>
        <w:rPr>
          <w:bCs/>
          <w:szCs w:val="28"/>
        </w:rPr>
      </w:pPr>
    </w:p>
    <w:p w14:paraId="176F6E9A" w14:textId="77777777" w:rsidR="00664170" w:rsidRDefault="00664170" w:rsidP="00664170">
      <w:pPr>
        <w:widowControl w:val="0"/>
        <w:tabs>
          <w:tab w:val="clear" w:pos="4320"/>
          <w:tab w:val="clear" w:pos="9072"/>
        </w:tabs>
        <w:spacing w:line="360" w:lineRule="auto"/>
        <w:jc w:val="both"/>
        <w:rPr>
          <w:szCs w:val="28"/>
        </w:rPr>
      </w:pPr>
    </w:p>
    <w:p w14:paraId="28F2C8D0" w14:textId="77777777" w:rsidR="006E39C1" w:rsidRPr="00664170" w:rsidRDefault="006E39C1" w:rsidP="006E39C1">
      <w:pPr>
        <w:tabs>
          <w:tab w:val="clear" w:pos="4320"/>
          <w:tab w:val="clear" w:pos="9072"/>
          <w:tab w:val="center" w:pos="6480"/>
        </w:tabs>
        <w:snapToGrid/>
        <w:jc w:val="both"/>
        <w:rPr>
          <w:bCs/>
          <w:szCs w:val="28"/>
        </w:rPr>
      </w:pPr>
    </w:p>
    <w:p w14:paraId="050E9641" w14:textId="77777777" w:rsidR="006E39C1" w:rsidRPr="006E39C1" w:rsidRDefault="006E39C1" w:rsidP="006E39C1">
      <w:pPr>
        <w:pBdr>
          <w:top w:val="nil"/>
          <w:left w:val="nil"/>
          <w:bottom w:val="nil"/>
          <w:right w:val="nil"/>
          <w:between w:val="nil"/>
          <w:bar w:val="nil"/>
        </w:pBdr>
        <w:tabs>
          <w:tab w:val="clear" w:pos="9072"/>
          <w:tab w:val="right" w:pos="8280"/>
        </w:tabs>
        <w:snapToGrid/>
        <w:jc w:val="both"/>
        <w:rPr>
          <w:rFonts w:eastAsia="PMingLiU" w:hAnsi="Arial Unicode MS" w:cs="Arial Unicode MS"/>
          <w:color w:val="000000"/>
          <w:szCs w:val="28"/>
          <w:u w:color="000000"/>
          <w:bdr w:val="nil"/>
          <w:lang w:eastAsia="en-US"/>
        </w:rPr>
      </w:pPr>
    </w:p>
    <w:sectPr w:rsidR="006E39C1" w:rsidRPr="006E39C1"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AFAA9" w14:textId="77777777" w:rsidR="00FB77BC" w:rsidRDefault="00FB77BC">
      <w:r>
        <w:separator/>
      </w:r>
    </w:p>
  </w:endnote>
  <w:endnote w:type="continuationSeparator" w:id="0">
    <w:p w14:paraId="3C17B195" w14:textId="77777777" w:rsidR="00FB77BC" w:rsidRDefault="00FB7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43" w:usb2="00000009" w:usb3="00000000" w:csb0="000001FF" w:csb1="00000000"/>
  </w:font>
  <w:font w:name="PMingLiU-ExtB">
    <w:altName w:val="新細明體-ExtB"/>
    <w:panose1 w:val="02020500000000000000"/>
    <w:charset w:val="88"/>
    <w:family w:val="roman"/>
    <w:pitch w:val="variable"/>
    <w:sig w:usb0="8000002F" w:usb1="0A080008" w:usb2="00000010" w:usb3="00000000" w:csb0="00100001" w:csb1="00000000"/>
  </w:font>
  <w:font w:name="黑体">
    <w:altName w:val="SimHei"/>
    <w:panose1 w:val="02010609060101010101"/>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0357E" w14:textId="77777777" w:rsidR="00404725" w:rsidRDefault="004047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910A2D" w14:textId="77777777" w:rsidR="00404725" w:rsidRDefault="004047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6AB5B" w14:textId="77777777" w:rsidR="00404725" w:rsidRDefault="00404725">
    <w:pPr>
      <w:pStyle w:val="Footer"/>
      <w:framePr w:wrap="around" w:vAnchor="text" w:hAnchor="margin" w:xAlign="right" w:y="1"/>
      <w:rPr>
        <w:rStyle w:val="PageNumber"/>
      </w:rPr>
    </w:pPr>
  </w:p>
  <w:p w14:paraId="15B8875F" w14:textId="77777777" w:rsidR="00404725" w:rsidRDefault="004047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74638" w14:textId="77777777" w:rsidR="00FB77BC" w:rsidRDefault="00FB77BC">
      <w:r>
        <w:separator/>
      </w:r>
    </w:p>
  </w:footnote>
  <w:footnote w:type="continuationSeparator" w:id="0">
    <w:p w14:paraId="65D31247" w14:textId="77777777" w:rsidR="00FB77BC" w:rsidRDefault="00FB77BC">
      <w:r>
        <w:continuationSeparator/>
      </w:r>
    </w:p>
  </w:footnote>
  <w:footnote w:id="1">
    <w:p w14:paraId="2E215759" w14:textId="77777777" w:rsidR="00404725" w:rsidRPr="00A82496" w:rsidRDefault="00404725" w:rsidP="007F1BDA">
      <w:pPr>
        <w:pStyle w:val="FootnoteText"/>
        <w:tabs>
          <w:tab w:val="left" w:pos="270"/>
        </w:tabs>
        <w:ind w:left="270" w:hanging="270"/>
        <w:jc w:val="both"/>
        <w:rPr>
          <w:rFonts w:ascii="Times" w:hAnsi="Times"/>
          <w:sz w:val="22"/>
          <w:szCs w:val="22"/>
        </w:rPr>
      </w:pPr>
      <w:r w:rsidRPr="00A82496">
        <w:rPr>
          <w:rStyle w:val="FootnoteReference"/>
          <w:rFonts w:ascii="Times" w:hAnsi="Times"/>
          <w:sz w:val="22"/>
          <w:szCs w:val="22"/>
        </w:rPr>
        <w:footnoteRef/>
      </w:r>
      <w:r>
        <w:rPr>
          <w:rFonts w:ascii="Times" w:hAnsi="Times"/>
          <w:sz w:val="22"/>
          <w:szCs w:val="22"/>
        </w:rPr>
        <w:tab/>
      </w:r>
      <w:r w:rsidRPr="00A82496">
        <w:rPr>
          <w:rFonts w:ascii="Times" w:hAnsi="Times"/>
          <w:sz w:val="22"/>
          <w:szCs w:val="22"/>
        </w:rPr>
        <w:t xml:space="preserve">The figure has been revised as per the </w:t>
      </w:r>
      <w:r>
        <w:rPr>
          <w:rFonts w:ascii="Times" w:hAnsi="Times"/>
          <w:sz w:val="22"/>
          <w:szCs w:val="22"/>
        </w:rPr>
        <w:t xml:space="preserve">updated calculation handed up by the plaintiff’s counsel on 24 March 2023.  </w:t>
      </w:r>
    </w:p>
  </w:footnote>
  <w:footnote w:id="2">
    <w:p w14:paraId="5020B391" w14:textId="77777777" w:rsidR="00404725" w:rsidRPr="007F1BDA" w:rsidRDefault="00404725" w:rsidP="007F1BDA">
      <w:pPr>
        <w:pStyle w:val="FootnoteText"/>
        <w:tabs>
          <w:tab w:val="left" w:pos="270"/>
        </w:tabs>
      </w:pPr>
      <w:r w:rsidRPr="007F1BDA">
        <w:rPr>
          <w:rStyle w:val="FootnoteReference"/>
        </w:rPr>
        <w:footnoteRef/>
      </w:r>
      <w:r>
        <w:tab/>
      </w:r>
      <w:r w:rsidRPr="007F1BDA">
        <w:t>[1/322-333]</w:t>
      </w:r>
    </w:p>
  </w:footnote>
  <w:footnote w:id="3">
    <w:p w14:paraId="1195B166" w14:textId="77777777" w:rsidR="00404725" w:rsidRPr="007F1BDA" w:rsidRDefault="00404725" w:rsidP="007F1BDA">
      <w:pPr>
        <w:pStyle w:val="FootnoteText"/>
        <w:tabs>
          <w:tab w:val="left" w:pos="270"/>
        </w:tabs>
      </w:pPr>
      <w:r w:rsidRPr="007F1BDA">
        <w:rPr>
          <w:rStyle w:val="FootnoteReference"/>
        </w:rPr>
        <w:footnoteRef/>
      </w:r>
      <w:r>
        <w:tab/>
      </w:r>
      <w:r w:rsidRPr="007F1BDA">
        <w:t>[1/334-336]</w:t>
      </w:r>
    </w:p>
  </w:footnote>
  <w:footnote w:id="4">
    <w:p w14:paraId="36C342DD" w14:textId="77777777" w:rsidR="00404725" w:rsidRPr="007F1BDA" w:rsidRDefault="00404725" w:rsidP="007F1BDA">
      <w:pPr>
        <w:pStyle w:val="FootnoteText"/>
        <w:tabs>
          <w:tab w:val="left" w:pos="270"/>
        </w:tabs>
      </w:pPr>
      <w:r w:rsidRPr="007F1BDA">
        <w:rPr>
          <w:rStyle w:val="FootnoteReference"/>
        </w:rPr>
        <w:footnoteRef/>
      </w:r>
      <w:r>
        <w:tab/>
      </w:r>
      <w:r w:rsidRPr="007F1BDA">
        <w:t>[1/340-341]</w:t>
      </w:r>
    </w:p>
  </w:footnote>
  <w:footnote w:id="5">
    <w:p w14:paraId="7BE8E396" w14:textId="77777777" w:rsidR="00404725" w:rsidRPr="007418CE" w:rsidRDefault="00404725" w:rsidP="007418CE">
      <w:pPr>
        <w:pStyle w:val="FootnoteText"/>
        <w:tabs>
          <w:tab w:val="left" w:pos="270"/>
        </w:tabs>
        <w:rPr>
          <w:rFonts w:ascii="Times" w:hAnsi="Times"/>
        </w:rPr>
      </w:pPr>
      <w:r w:rsidRPr="007418CE">
        <w:rPr>
          <w:rStyle w:val="FootnoteReference"/>
          <w:rFonts w:ascii="Times" w:hAnsi="Times"/>
        </w:rPr>
        <w:footnoteRef/>
      </w:r>
      <w:r w:rsidRPr="007418CE">
        <w:rPr>
          <w:rFonts w:ascii="Times" w:hAnsi="Times"/>
        </w:rPr>
        <w:tab/>
        <w:t>[1/266]</w:t>
      </w:r>
    </w:p>
  </w:footnote>
  <w:footnote w:id="6">
    <w:p w14:paraId="306FE063" w14:textId="77777777" w:rsidR="00404725" w:rsidRPr="007418CE" w:rsidRDefault="00404725" w:rsidP="007418CE">
      <w:pPr>
        <w:pStyle w:val="FootnoteText"/>
        <w:tabs>
          <w:tab w:val="left" w:pos="270"/>
        </w:tabs>
        <w:rPr>
          <w:rFonts w:ascii="Times" w:hAnsi="Times"/>
        </w:rPr>
      </w:pPr>
      <w:r w:rsidRPr="007418CE">
        <w:rPr>
          <w:rStyle w:val="FootnoteReference"/>
          <w:rFonts w:ascii="Times" w:hAnsi="Times"/>
        </w:rPr>
        <w:footnoteRef/>
      </w:r>
      <w:r w:rsidRPr="007418CE">
        <w:rPr>
          <w:rFonts w:ascii="Times" w:hAnsi="Times"/>
        </w:rPr>
        <w:tab/>
        <w:t>[1/267]</w:t>
      </w:r>
    </w:p>
  </w:footnote>
  <w:footnote w:id="7">
    <w:p w14:paraId="4F000936" w14:textId="77777777" w:rsidR="00404725" w:rsidRPr="00B0350B" w:rsidRDefault="00404725" w:rsidP="00EC7D02">
      <w:pPr>
        <w:pStyle w:val="FootnoteText"/>
        <w:tabs>
          <w:tab w:val="left" w:pos="270"/>
        </w:tabs>
        <w:rPr>
          <w:rFonts w:ascii="Times" w:hAnsi="Times"/>
          <w:sz w:val="22"/>
          <w:szCs w:val="22"/>
        </w:rPr>
      </w:pPr>
      <w:r w:rsidRPr="00B0350B">
        <w:rPr>
          <w:rStyle w:val="FootnoteReference"/>
          <w:rFonts w:ascii="Times" w:hAnsi="Times"/>
          <w:sz w:val="22"/>
          <w:szCs w:val="22"/>
        </w:rPr>
        <w:footnoteRef/>
      </w:r>
      <w:r>
        <w:rPr>
          <w:rFonts w:ascii="Times" w:hAnsi="Times"/>
          <w:sz w:val="22"/>
          <w:szCs w:val="22"/>
        </w:rPr>
        <w:tab/>
      </w:r>
      <w:r w:rsidRPr="00B0350B">
        <w:rPr>
          <w:rFonts w:ascii="Times" w:hAnsi="Times"/>
          <w:sz w:val="22"/>
          <w:szCs w:val="22"/>
        </w:rPr>
        <w:t>HCA 1734/2009 (</w:t>
      </w:r>
      <w:r>
        <w:rPr>
          <w:rFonts w:ascii="Times" w:hAnsi="Times"/>
          <w:sz w:val="22"/>
          <w:szCs w:val="22"/>
        </w:rPr>
        <w:t>u</w:t>
      </w:r>
      <w:r w:rsidRPr="00B0350B">
        <w:rPr>
          <w:rFonts w:ascii="Times" w:hAnsi="Times"/>
          <w:sz w:val="22"/>
          <w:szCs w:val="22"/>
        </w:rPr>
        <w:t xml:space="preserve">nrep) 8.4.2014 at </w:t>
      </w:r>
      <w:r w:rsidRPr="00B0350B">
        <w:rPr>
          <w:rFonts w:ascii="Times" w:eastAsia="Arial Unicode MS" w:hAnsi="Times"/>
          <w:sz w:val="22"/>
          <w:szCs w:val="22"/>
        </w:rPr>
        <w:t>§§77-79.</w:t>
      </w:r>
    </w:p>
  </w:footnote>
  <w:footnote w:id="8">
    <w:p w14:paraId="4F6E2EE3" w14:textId="77777777" w:rsidR="00404725" w:rsidRPr="00EC7D02" w:rsidRDefault="00404725" w:rsidP="00EC7D02">
      <w:pPr>
        <w:pStyle w:val="FootnoteText"/>
        <w:tabs>
          <w:tab w:val="left" w:pos="270"/>
        </w:tabs>
        <w:rPr>
          <w:rFonts w:ascii="Times" w:hAnsi="Times"/>
        </w:rPr>
      </w:pPr>
      <w:r w:rsidRPr="00EC7D02">
        <w:rPr>
          <w:rStyle w:val="FootnoteReference"/>
          <w:rFonts w:ascii="Times" w:hAnsi="Times"/>
        </w:rPr>
        <w:footnoteRef/>
      </w:r>
      <w:r>
        <w:rPr>
          <w:rFonts w:ascii="Times" w:hAnsi="Times"/>
        </w:rPr>
        <w:tab/>
      </w:r>
      <w:r w:rsidRPr="00EC7D02">
        <w:rPr>
          <w:rFonts w:ascii="Times" w:hAnsi="Times"/>
        </w:rPr>
        <w:t xml:space="preserve">[2019] EWHC 26 (CH) at </w:t>
      </w:r>
      <w:r w:rsidRPr="00EC7D02">
        <w:rPr>
          <w:rFonts w:ascii="Times" w:eastAsia="PMingLiU" w:hAnsi="Times"/>
          <w:lang w:eastAsia="zh-HK"/>
        </w:rPr>
        <w:t>§39.</w:t>
      </w:r>
    </w:p>
  </w:footnote>
  <w:footnote w:id="9">
    <w:p w14:paraId="5109A53D" w14:textId="77777777" w:rsidR="00404725" w:rsidRPr="00EC7D02" w:rsidRDefault="00404725" w:rsidP="00EC7D02">
      <w:pPr>
        <w:pStyle w:val="FootnoteText"/>
        <w:tabs>
          <w:tab w:val="left" w:pos="270"/>
        </w:tabs>
        <w:rPr>
          <w:rFonts w:ascii="Times" w:hAnsi="Times"/>
        </w:rPr>
      </w:pPr>
      <w:r w:rsidRPr="00EC7D02">
        <w:rPr>
          <w:rStyle w:val="FootnoteReference"/>
          <w:rFonts w:ascii="Times" w:hAnsi="Times"/>
        </w:rPr>
        <w:footnoteRef/>
      </w:r>
      <w:r>
        <w:rPr>
          <w:rFonts w:ascii="Times" w:hAnsi="Times"/>
        </w:rPr>
        <w:tab/>
      </w:r>
      <w:r w:rsidRPr="00EC7D02">
        <w:rPr>
          <w:rFonts w:ascii="Times" w:hAnsi="Times"/>
        </w:rPr>
        <w:t>HCA 992/2010 (</w:t>
      </w:r>
      <w:r>
        <w:rPr>
          <w:rFonts w:ascii="Times" w:hAnsi="Times"/>
        </w:rPr>
        <w:t>ui</w:t>
      </w:r>
      <w:r w:rsidRPr="00EC7D02">
        <w:rPr>
          <w:rFonts w:ascii="Times" w:hAnsi="Times"/>
        </w:rPr>
        <w:t>nre</w:t>
      </w:r>
      <w:r>
        <w:rPr>
          <w:rFonts w:ascii="Times" w:hAnsi="Times"/>
        </w:rPr>
        <w:t>p</w:t>
      </w:r>
      <w:r w:rsidRPr="00EC7D02">
        <w:rPr>
          <w:rFonts w:ascii="Times" w:hAnsi="Times"/>
        </w:rPr>
        <w:t xml:space="preserve"> 20.8.2014 at </w:t>
      </w:r>
      <w:r w:rsidRPr="00EC7D02">
        <w:rPr>
          <w:rFonts w:ascii="Times" w:eastAsia="PMingLiU" w:hAnsi="Times"/>
          <w:lang w:eastAsia="zh-HK"/>
        </w:rPr>
        <w:t>§52.</w:t>
      </w:r>
    </w:p>
  </w:footnote>
  <w:footnote w:id="10">
    <w:p w14:paraId="7A14E8C7" w14:textId="77777777" w:rsidR="00404725" w:rsidRPr="005D4F12" w:rsidRDefault="00404725" w:rsidP="00541031">
      <w:pPr>
        <w:pStyle w:val="FootnoteText"/>
        <w:tabs>
          <w:tab w:val="left" w:pos="270"/>
        </w:tabs>
        <w:ind w:left="270" w:hanging="270"/>
      </w:pPr>
      <w:r w:rsidRPr="005D4F12">
        <w:rPr>
          <w:rStyle w:val="FootnoteReference"/>
        </w:rPr>
        <w:footnoteRef/>
      </w:r>
      <w:r w:rsidRPr="005D4F12">
        <w:tab/>
        <w:t>[1/269-270]</w:t>
      </w:r>
    </w:p>
  </w:footnote>
  <w:footnote w:id="11">
    <w:p w14:paraId="0F330F69" w14:textId="77777777" w:rsidR="00404725" w:rsidRPr="005D4F12" w:rsidRDefault="00404725" w:rsidP="00541031">
      <w:pPr>
        <w:pStyle w:val="FootnoteText"/>
        <w:tabs>
          <w:tab w:val="left" w:pos="270"/>
        </w:tabs>
        <w:ind w:left="270" w:hanging="270"/>
      </w:pPr>
      <w:r w:rsidRPr="005D4F12">
        <w:rPr>
          <w:rStyle w:val="FootnoteReference"/>
        </w:rPr>
        <w:footnoteRef/>
      </w:r>
      <w:r w:rsidRPr="005D4F12">
        <w:tab/>
        <w:t>[1/122/</w:t>
      </w:r>
      <w:r w:rsidRPr="005D4F12">
        <w:rPr>
          <w:rFonts w:eastAsia="PMingLiU"/>
          <w:lang w:eastAsia="zh-HK"/>
        </w:rPr>
        <w:t>§7]</w:t>
      </w:r>
    </w:p>
  </w:footnote>
  <w:footnote w:id="12">
    <w:p w14:paraId="34E2DF06" w14:textId="77777777" w:rsidR="00404725" w:rsidRPr="005D4F12" w:rsidRDefault="00404725" w:rsidP="005D4F12">
      <w:pPr>
        <w:pStyle w:val="FootnoteText"/>
        <w:tabs>
          <w:tab w:val="left" w:pos="270"/>
        </w:tabs>
        <w:ind w:left="270" w:hanging="270"/>
      </w:pPr>
      <w:r w:rsidRPr="005D4F12">
        <w:rPr>
          <w:rStyle w:val="FootnoteReference"/>
        </w:rPr>
        <w:footnoteRef/>
      </w:r>
      <w:r w:rsidRPr="005D4F12">
        <w:tab/>
        <w:t>[1/267]</w:t>
      </w:r>
    </w:p>
  </w:footnote>
  <w:footnote w:id="13">
    <w:p w14:paraId="7E92C5A3" w14:textId="77777777" w:rsidR="00404725" w:rsidRPr="005D4F12" w:rsidRDefault="00404725" w:rsidP="005D4F12">
      <w:pPr>
        <w:pStyle w:val="FootnoteText"/>
        <w:tabs>
          <w:tab w:val="left" w:pos="270"/>
        </w:tabs>
        <w:ind w:left="270" w:hanging="270"/>
      </w:pPr>
      <w:r w:rsidRPr="005D4F12">
        <w:rPr>
          <w:rStyle w:val="FootnoteReference"/>
        </w:rPr>
        <w:footnoteRef/>
      </w:r>
      <w:r w:rsidRPr="005D4F12">
        <w:tab/>
      </w:r>
      <w:r w:rsidRPr="005D4F12">
        <w:rPr>
          <w:i/>
          <w:iCs/>
        </w:rPr>
        <w:t>Ditto.</w:t>
      </w:r>
      <w:r w:rsidRPr="005D4F12">
        <w:t xml:space="preserve"> </w:t>
      </w:r>
    </w:p>
  </w:footnote>
  <w:footnote w:id="14">
    <w:p w14:paraId="5FB503F6" w14:textId="77777777" w:rsidR="00404725" w:rsidRPr="005D4F12" w:rsidRDefault="00404725" w:rsidP="005D4F12">
      <w:pPr>
        <w:pStyle w:val="FootnoteText"/>
        <w:tabs>
          <w:tab w:val="left" w:pos="270"/>
        </w:tabs>
        <w:ind w:left="270" w:hanging="270"/>
      </w:pPr>
      <w:r w:rsidRPr="005D4F12">
        <w:rPr>
          <w:rStyle w:val="FootnoteReference"/>
        </w:rPr>
        <w:footnoteRef/>
      </w:r>
      <w:r w:rsidRPr="005D4F12">
        <w:tab/>
        <w:t>[1/266]</w:t>
      </w:r>
    </w:p>
  </w:footnote>
  <w:footnote w:id="15">
    <w:p w14:paraId="3E65D70C" w14:textId="77777777" w:rsidR="00404725" w:rsidRPr="005D4F12" w:rsidRDefault="00404725" w:rsidP="005D4F12">
      <w:pPr>
        <w:pStyle w:val="FootnoteText"/>
        <w:tabs>
          <w:tab w:val="left" w:pos="270"/>
        </w:tabs>
        <w:ind w:left="270" w:hanging="270"/>
      </w:pPr>
      <w:r w:rsidRPr="005D4F12">
        <w:rPr>
          <w:rStyle w:val="FootnoteReference"/>
        </w:rPr>
        <w:footnoteRef/>
      </w:r>
      <w:r w:rsidRPr="005D4F12">
        <w:tab/>
        <w:t>[1/267]</w:t>
      </w:r>
    </w:p>
  </w:footnote>
  <w:footnote w:id="16">
    <w:p w14:paraId="63F7C9AA" w14:textId="77777777" w:rsidR="00404725" w:rsidRPr="005D4F12" w:rsidRDefault="00404725" w:rsidP="005D4F12">
      <w:pPr>
        <w:pStyle w:val="FootnoteText"/>
        <w:tabs>
          <w:tab w:val="left" w:pos="270"/>
        </w:tabs>
        <w:ind w:left="270" w:hanging="270"/>
        <w:rPr>
          <w:i/>
          <w:iCs/>
        </w:rPr>
      </w:pPr>
      <w:r w:rsidRPr="005D4F12">
        <w:rPr>
          <w:rStyle w:val="FootnoteReference"/>
          <w:i/>
          <w:iCs/>
        </w:rPr>
        <w:footnoteRef/>
      </w:r>
      <w:r w:rsidRPr="005D4F12">
        <w:rPr>
          <w:i/>
          <w:iCs/>
        </w:rPr>
        <w:tab/>
        <w:t>Ditto.</w:t>
      </w:r>
    </w:p>
  </w:footnote>
  <w:footnote w:id="17">
    <w:p w14:paraId="34006496" w14:textId="77777777" w:rsidR="00404725" w:rsidRPr="005D4F12" w:rsidRDefault="00404725" w:rsidP="005D4F12">
      <w:pPr>
        <w:pStyle w:val="FootnoteText"/>
        <w:tabs>
          <w:tab w:val="left" w:pos="270"/>
        </w:tabs>
        <w:ind w:left="270" w:hanging="270"/>
      </w:pPr>
      <w:r w:rsidRPr="005D4F12">
        <w:rPr>
          <w:rStyle w:val="FootnoteReference"/>
        </w:rPr>
        <w:footnoteRef/>
      </w:r>
      <w:r w:rsidRPr="005D4F12">
        <w:tab/>
        <w:t>[1/177-209]</w:t>
      </w:r>
    </w:p>
  </w:footnote>
  <w:footnote w:id="18">
    <w:p w14:paraId="0E1FA291" w14:textId="77777777" w:rsidR="00404725" w:rsidRPr="005D4F12" w:rsidRDefault="00404725" w:rsidP="005D4F12">
      <w:pPr>
        <w:pStyle w:val="FootnoteText"/>
        <w:tabs>
          <w:tab w:val="left" w:pos="270"/>
        </w:tabs>
        <w:ind w:left="270" w:hanging="270"/>
      </w:pPr>
      <w:r w:rsidRPr="005D4F12">
        <w:rPr>
          <w:rStyle w:val="FootnoteReference"/>
        </w:rPr>
        <w:footnoteRef/>
      </w:r>
      <w:r>
        <w:tab/>
      </w:r>
      <w:r w:rsidRPr="005D4F12">
        <w:t>[1/210-215]</w:t>
      </w:r>
    </w:p>
  </w:footnote>
  <w:footnote w:id="19">
    <w:p w14:paraId="6EAC4082" w14:textId="77777777" w:rsidR="00404725" w:rsidRPr="005D4F12" w:rsidRDefault="00404725" w:rsidP="005D4F12">
      <w:pPr>
        <w:pStyle w:val="FootnoteText"/>
        <w:tabs>
          <w:tab w:val="left" w:pos="270"/>
        </w:tabs>
        <w:ind w:left="270" w:hanging="270"/>
      </w:pPr>
      <w:r w:rsidRPr="005D4F12">
        <w:rPr>
          <w:rStyle w:val="FootnoteReference"/>
        </w:rPr>
        <w:footnoteRef/>
      </w:r>
      <w:r>
        <w:tab/>
      </w:r>
      <w:r w:rsidRPr="005D4F12">
        <w:t>[1/216-261]</w:t>
      </w:r>
    </w:p>
  </w:footnote>
  <w:footnote w:id="20">
    <w:p w14:paraId="61339F08" w14:textId="77777777" w:rsidR="00404725" w:rsidRPr="005D4F12" w:rsidRDefault="00404725" w:rsidP="005D4F12">
      <w:pPr>
        <w:pStyle w:val="FootnoteText"/>
        <w:tabs>
          <w:tab w:val="left" w:pos="270"/>
        </w:tabs>
        <w:ind w:left="270" w:hanging="270"/>
      </w:pPr>
      <w:r w:rsidRPr="005D4F12">
        <w:rPr>
          <w:rStyle w:val="FootnoteReference"/>
        </w:rPr>
        <w:footnoteRef/>
      </w:r>
      <w:r>
        <w:tab/>
      </w:r>
      <w:r w:rsidRPr="005D4F12">
        <w:t>[1/84]</w:t>
      </w:r>
    </w:p>
  </w:footnote>
  <w:footnote w:id="21">
    <w:p w14:paraId="1468CDA6" w14:textId="77777777" w:rsidR="00404725" w:rsidRPr="00EB6D2C" w:rsidRDefault="00404725" w:rsidP="00EB6D2C">
      <w:pPr>
        <w:pStyle w:val="FootnoteText"/>
        <w:tabs>
          <w:tab w:val="left" w:pos="270"/>
        </w:tabs>
      </w:pPr>
      <w:r w:rsidRPr="00EB6D2C">
        <w:rPr>
          <w:rStyle w:val="FootnoteReference"/>
        </w:rPr>
        <w:footnoteRef/>
      </w:r>
      <w:r>
        <w:tab/>
      </w:r>
      <w:r w:rsidRPr="00EB6D2C">
        <w:t xml:space="preserve">DCPI 401/2006 (Unrep.) 6.2.2009 at </w:t>
      </w:r>
      <w:r w:rsidRPr="00EB6D2C">
        <w:rPr>
          <w:rFonts w:eastAsia="PMingLiU"/>
          <w:lang w:eastAsia="zh-HK"/>
        </w:rPr>
        <w:t>§§39-40.</w:t>
      </w:r>
    </w:p>
  </w:footnote>
  <w:footnote w:id="22">
    <w:p w14:paraId="13A627AF" w14:textId="77777777" w:rsidR="00404725" w:rsidRPr="00EB6D2C" w:rsidRDefault="00404725" w:rsidP="00EB6D2C">
      <w:pPr>
        <w:pStyle w:val="FootnoteText"/>
        <w:tabs>
          <w:tab w:val="left" w:pos="270"/>
        </w:tabs>
      </w:pPr>
      <w:r w:rsidRPr="00EB6D2C">
        <w:rPr>
          <w:rStyle w:val="FootnoteReference"/>
        </w:rPr>
        <w:footnoteRef/>
      </w:r>
      <w:r>
        <w:tab/>
      </w:r>
      <w:r w:rsidRPr="00EB6D2C">
        <w:t>[1/322]</w:t>
      </w:r>
    </w:p>
  </w:footnote>
  <w:footnote w:id="23">
    <w:p w14:paraId="684D17E6" w14:textId="77777777" w:rsidR="00404725" w:rsidRPr="00EB6D2C" w:rsidRDefault="00404725" w:rsidP="00EB6D2C">
      <w:pPr>
        <w:pStyle w:val="FootnoteText"/>
        <w:tabs>
          <w:tab w:val="left" w:pos="270"/>
        </w:tabs>
      </w:pPr>
      <w:r w:rsidRPr="00EB6D2C">
        <w:rPr>
          <w:rStyle w:val="FootnoteReference"/>
        </w:rPr>
        <w:footnoteRef/>
      </w:r>
      <w:r>
        <w:tab/>
      </w:r>
      <w:r w:rsidRPr="00EB6D2C">
        <w:t>[1/334-336]</w:t>
      </w:r>
    </w:p>
  </w:footnote>
  <w:footnote w:id="24">
    <w:p w14:paraId="709ABCA7" w14:textId="77777777" w:rsidR="00404725" w:rsidRPr="00EB6D2C" w:rsidRDefault="00404725" w:rsidP="00EB6D2C">
      <w:pPr>
        <w:pStyle w:val="FootnoteText"/>
        <w:tabs>
          <w:tab w:val="left" w:pos="270"/>
        </w:tabs>
      </w:pPr>
      <w:r w:rsidRPr="00EB6D2C">
        <w:rPr>
          <w:rStyle w:val="FootnoteReference"/>
        </w:rPr>
        <w:footnoteRef/>
      </w:r>
      <w:r>
        <w:tab/>
      </w:r>
      <w:r w:rsidRPr="00EB6D2C">
        <w:t>[1/340-341]</w:t>
      </w:r>
    </w:p>
  </w:footnote>
  <w:footnote w:id="25">
    <w:p w14:paraId="7B44344C" w14:textId="77777777" w:rsidR="00404725" w:rsidRPr="00EB6D2C" w:rsidRDefault="00404725" w:rsidP="00EB6D2C">
      <w:pPr>
        <w:pStyle w:val="FootnoteText"/>
        <w:tabs>
          <w:tab w:val="left" w:pos="270"/>
        </w:tabs>
        <w:rPr>
          <w:sz w:val="22"/>
          <w:szCs w:val="22"/>
        </w:rPr>
      </w:pPr>
      <w:r w:rsidRPr="00EB6D2C">
        <w:rPr>
          <w:rStyle w:val="FootnoteReference"/>
          <w:sz w:val="22"/>
          <w:szCs w:val="22"/>
        </w:rPr>
        <w:footnoteRef/>
      </w:r>
      <w:r>
        <w:rPr>
          <w:sz w:val="22"/>
          <w:szCs w:val="22"/>
        </w:rPr>
        <w:tab/>
      </w:r>
      <w:r w:rsidRPr="00EB6D2C">
        <w:rPr>
          <w:sz w:val="22"/>
          <w:szCs w:val="22"/>
        </w:rPr>
        <w:t xml:space="preserve">[2020] HKDC 356 at </w:t>
      </w:r>
      <w:r w:rsidRPr="00EB6D2C">
        <w:rPr>
          <w:rFonts w:eastAsia="PMingLiU"/>
          <w:sz w:val="22"/>
          <w:szCs w:val="22"/>
          <w:lang w:eastAsia="zh-HK"/>
        </w:rPr>
        <w:t>§§18-21.</w:t>
      </w:r>
    </w:p>
  </w:footnote>
  <w:footnote w:id="26">
    <w:p w14:paraId="02973B87" w14:textId="77777777" w:rsidR="00404725" w:rsidRPr="00EB6D2C" w:rsidRDefault="00404725" w:rsidP="00EB6D2C">
      <w:pPr>
        <w:pStyle w:val="FootnoteText"/>
        <w:tabs>
          <w:tab w:val="left" w:pos="270"/>
        </w:tabs>
        <w:rPr>
          <w:sz w:val="22"/>
          <w:szCs w:val="22"/>
        </w:rPr>
      </w:pPr>
      <w:r w:rsidRPr="00EB6D2C">
        <w:rPr>
          <w:rStyle w:val="FootnoteReference"/>
          <w:sz w:val="22"/>
          <w:szCs w:val="22"/>
        </w:rPr>
        <w:footnoteRef/>
      </w:r>
      <w:r>
        <w:rPr>
          <w:sz w:val="22"/>
          <w:szCs w:val="22"/>
        </w:rPr>
        <w:tab/>
      </w:r>
      <w:r w:rsidRPr="00EB6D2C">
        <w:rPr>
          <w:sz w:val="22"/>
          <w:szCs w:val="22"/>
        </w:rPr>
        <w:t>HCPI 943/2007 (</w:t>
      </w:r>
      <w:r>
        <w:rPr>
          <w:sz w:val="22"/>
          <w:szCs w:val="22"/>
        </w:rPr>
        <w:t>u</w:t>
      </w:r>
      <w:r w:rsidRPr="00EB6D2C">
        <w:rPr>
          <w:sz w:val="22"/>
          <w:szCs w:val="22"/>
        </w:rPr>
        <w:t xml:space="preserve">nrep) 21.4.2011 at </w:t>
      </w:r>
      <w:r w:rsidRPr="00EB6D2C">
        <w:rPr>
          <w:rFonts w:eastAsia="PMingLiU"/>
          <w:sz w:val="22"/>
          <w:szCs w:val="22"/>
          <w:lang w:eastAsia="zh-HK"/>
        </w:rPr>
        <w:t>§§7-9.</w:t>
      </w:r>
    </w:p>
  </w:footnote>
  <w:footnote w:id="27">
    <w:p w14:paraId="7ED35D84" w14:textId="77777777" w:rsidR="00404725" w:rsidRPr="00EB6D2C" w:rsidRDefault="00404725" w:rsidP="00EB6D2C">
      <w:pPr>
        <w:pStyle w:val="FootnoteText"/>
        <w:tabs>
          <w:tab w:val="left" w:pos="270"/>
        </w:tabs>
      </w:pPr>
      <w:r w:rsidRPr="00EB6D2C">
        <w:rPr>
          <w:rStyle w:val="FootnoteReference"/>
        </w:rPr>
        <w:footnoteRef/>
      </w:r>
      <w:r>
        <w:tab/>
      </w:r>
      <w:r w:rsidRPr="00EB6D2C">
        <w:t>[1/142]</w:t>
      </w:r>
    </w:p>
  </w:footnote>
  <w:footnote w:id="28">
    <w:p w14:paraId="0DB788FE" w14:textId="77777777" w:rsidR="00404725" w:rsidRPr="00EB6D2C" w:rsidRDefault="00404725" w:rsidP="00EB6D2C">
      <w:pPr>
        <w:pStyle w:val="FootnoteText"/>
        <w:tabs>
          <w:tab w:val="left" w:pos="270"/>
        </w:tabs>
      </w:pPr>
      <w:r w:rsidRPr="00EB6D2C">
        <w:rPr>
          <w:rStyle w:val="FootnoteReference"/>
        </w:rPr>
        <w:footnoteRef/>
      </w:r>
      <w:r>
        <w:tab/>
      </w:r>
      <w:r w:rsidRPr="00EB6D2C">
        <w:t>[1/143-176]</w:t>
      </w:r>
    </w:p>
  </w:footnote>
  <w:footnote w:id="29">
    <w:p w14:paraId="550F4260" w14:textId="77777777" w:rsidR="00404725" w:rsidRPr="00EB6D2C" w:rsidRDefault="00404725" w:rsidP="00EB6D2C">
      <w:pPr>
        <w:pStyle w:val="FootnoteText"/>
        <w:tabs>
          <w:tab w:val="left" w:pos="270"/>
        </w:tabs>
      </w:pPr>
      <w:r w:rsidRPr="00EB6D2C">
        <w:rPr>
          <w:rStyle w:val="FootnoteReference"/>
        </w:rPr>
        <w:footnoteRef/>
      </w:r>
      <w:r>
        <w:tab/>
      </w:r>
      <w:r w:rsidRPr="00EB6D2C">
        <w:t>[1/267]</w:t>
      </w:r>
    </w:p>
  </w:footnote>
  <w:footnote w:id="30">
    <w:p w14:paraId="45724F5E" w14:textId="77777777" w:rsidR="00404725" w:rsidRPr="00EB6D2C" w:rsidRDefault="00404725" w:rsidP="00EB6D2C">
      <w:pPr>
        <w:pStyle w:val="FootnoteText"/>
        <w:tabs>
          <w:tab w:val="left" w:pos="270"/>
        </w:tabs>
      </w:pPr>
      <w:r w:rsidRPr="00EB6D2C">
        <w:rPr>
          <w:rStyle w:val="FootnoteReference"/>
        </w:rPr>
        <w:footnoteRef/>
      </w:r>
      <w:r>
        <w:tab/>
      </w:r>
      <w:r w:rsidRPr="00EB6D2C">
        <w:t>[1/268]</w:t>
      </w:r>
    </w:p>
  </w:footnote>
  <w:footnote w:id="31">
    <w:p w14:paraId="4D5B919B" w14:textId="77777777" w:rsidR="00404725" w:rsidRPr="00EB6D2C" w:rsidRDefault="00404725" w:rsidP="00EB6D2C">
      <w:pPr>
        <w:pStyle w:val="FootnoteText"/>
        <w:tabs>
          <w:tab w:val="left" w:pos="270"/>
        </w:tabs>
      </w:pPr>
      <w:r w:rsidRPr="00EB6D2C">
        <w:rPr>
          <w:rStyle w:val="FootnoteReference"/>
        </w:rPr>
        <w:footnoteRef/>
      </w:r>
      <w:r>
        <w:tab/>
      </w:r>
      <w:r w:rsidRPr="00EB6D2C">
        <w:t>[1/269]</w:t>
      </w:r>
    </w:p>
  </w:footnote>
  <w:footnote w:id="32">
    <w:p w14:paraId="4CEDB396" w14:textId="77777777" w:rsidR="00404725" w:rsidRPr="00EB6D2C" w:rsidRDefault="00404725" w:rsidP="00EB6D2C">
      <w:pPr>
        <w:pStyle w:val="FootnoteText"/>
        <w:tabs>
          <w:tab w:val="left" w:pos="270"/>
        </w:tabs>
      </w:pPr>
      <w:r w:rsidRPr="00EB6D2C">
        <w:rPr>
          <w:rStyle w:val="FootnoteReference"/>
        </w:rPr>
        <w:footnoteRef/>
      </w:r>
      <w:r>
        <w:tab/>
      </w:r>
      <w:r w:rsidRPr="00EB6D2C">
        <w:rPr>
          <w:i/>
          <w:iCs/>
        </w:rPr>
        <w:t>Ditto.</w:t>
      </w:r>
    </w:p>
  </w:footnote>
  <w:footnote w:id="33">
    <w:p w14:paraId="560F57E2" w14:textId="77777777" w:rsidR="00404725" w:rsidRPr="00EB6D2C" w:rsidRDefault="00404725" w:rsidP="00EB6D2C">
      <w:pPr>
        <w:pStyle w:val="FootnoteText"/>
        <w:tabs>
          <w:tab w:val="left" w:pos="270"/>
        </w:tabs>
      </w:pPr>
      <w:r w:rsidRPr="00EB6D2C">
        <w:rPr>
          <w:rStyle w:val="FootnoteReference"/>
        </w:rPr>
        <w:footnoteRef/>
      </w:r>
      <w:r>
        <w:tab/>
      </w:r>
      <w:r w:rsidRPr="00EB6D2C">
        <w:t>[1/266]</w:t>
      </w:r>
    </w:p>
  </w:footnote>
  <w:footnote w:id="34">
    <w:p w14:paraId="25AB6380" w14:textId="77777777" w:rsidR="00404725" w:rsidRPr="007759AA" w:rsidRDefault="00404725" w:rsidP="00033986">
      <w:pPr>
        <w:pStyle w:val="FootnoteText"/>
        <w:rPr>
          <w:rFonts w:ascii="Times" w:hAnsi="Times"/>
          <w:sz w:val="22"/>
          <w:szCs w:val="22"/>
        </w:rPr>
      </w:pPr>
      <w:r w:rsidRPr="007759AA">
        <w:rPr>
          <w:rStyle w:val="FootnoteReference"/>
          <w:rFonts w:ascii="Times" w:hAnsi="Times"/>
          <w:sz w:val="22"/>
          <w:szCs w:val="22"/>
        </w:rPr>
        <w:footnoteRef/>
      </w:r>
      <w:r w:rsidRPr="007759AA">
        <w:rPr>
          <w:rFonts w:ascii="Times" w:hAnsi="Times"/>
          <w:sz w:val="22"/>
          <w:szCs w:val="22"/>
        </w:rPr>
        <w:t xml:space="preserve"> [1/266]</w:t>
      </w:r>
    </w:p>
  </w:footnote>
  <w:footnote w:id="35">
    <w:p w14:paraId="3B14FCA4" w14:textId="77777777" w:rsidR="00404725" w:rsidRPr="007759AA" w:rsidRDefault="00404725" w:rsidP="00033986">
      <w:pPr>
        <w:pStyle w:val="FootnoteText"/>
        <w:rPr>
          <w:rFonts w:ascii="Times" w:hAnsi="Times"/>
          <w:sz w:val="22"/>
          <w:szCs w:val="22"/>
        </w:rPr>
      </w:pPr>
      <w:r w:rsidRPr="007759AA">
        <w:rPr>
          <w:rStyle w:val="FootnoteReference"/>
          <w:rFonts w:ascii="Times" w:hAnsi="Times"/>
          <w:sz w:val="22"/>
          <w:szCs w:val="22"/>
        </w:rPr>
        <w:footnoteRef/>
      </w:r>
      <w:r w:rsidRPr="007759AA">
        <w:rPr>
          <w:rFonts w:ascii="Times" w:hAnsi="Times"/>
          <w:sz w:val="22"/>
          <w:szCs w:val="22"/>
        </w:rPr>
        <w:t xml:space="preserve">  [1/267]</w:t>
      </w:r>
    </w:p>
  </w:footnote>
  <w:footnote w:id="36">
    <w:p w14:paraId="2F2D02EF" w14:textId="77777777" w:rsidR="00404725" w:rsidRDefault="00404725" w:rsidP="00033986">
      <w:pPr>
        <w:pStyle w:val="FootnoteText"/>
      </w:pPr>
      <w:r w:rsidRPr="007759AA">
        <w:rPr>
          <w:rStyle w:val="FootnoteReference"/>
          <w:rFonts w:ascii="Times" w:hAnsi="Times"/>
          <w:sz w:val="22"/>
          <w:szCs w:val="22"/>
        </w:rPr>
        <w:footnoteRef/>
      </w:r>
      <w:r w:rsidRPr="007759AA">
        <w:rPr>
          <w:rFonts w:ascii="Times" w:hAnsi="Times"/>
          <w:sz w:val="22"/>
          <w:szCs w:val="22"/>
        </w:rPr>
        <w:t xml:space="preserve">  [1/268]</w:t>
      </w:r>
    </w:p>
  </w:footnote>
  <w:footnote w:id="37">
    <w:p w14:paraId="6CD65F1E" w14:textId="77777777" w:rsidR="00404725" w:rsidRPr="00B63237" w:rsidRDefault="00404725" w:rsidP="00033986">
      <w:pPr>
        <w:pStyle w:val="FootnoteText"/>
        <w:rPr>
          <w:rFonts w:ascii="Times" w:hAnsi="Times"/>
          <w:sz w:val="22"/>
          <w:szCs w:val="22"/>
        </w:rPr>
      </w:pPr>
      <w:r w:rsidRPr="00B63237">
        <w:rPr>
          <w:rStyle w:val="FootnoteReference"/>
          <w:rFonts w:ascii="Times" w:hAnsi="Times"/>
          <w:sz w:val="22"/>
          <w:szCs w:val="22"/>
        </w:rPr>
        <w:footnoteRef/>
      </w:r>
      <w:r w:rsidRPr="00B63237">
        <w:rPr>
          <w:rFonts w:ascii="Times" w:hAnsi="Times"/>
          <w:sz w:val="22"/>
          <w:szCs w:val="22"/>
        </w:rPr>
        <w:t xml:space="preserve"> [1/322]</w:t>
      </w:r>
    </w:p>
  </w:footnote>
  <w:footnote w:id="38">
    <w:p w14:paraId="770BE8FF" w14:textId="77777777" w:rsidR="00404725" w:rsidRPr="00404725" w:rsidRDefault="00404725" w:rsidP="00404725">
      <w:pPr>
        <w:pStyle w:val="FootnoteText"/>
        <w:tabs>
          <w:tab w:val="left" w:pos="270"/>
        </w:tabs>
        <w:ind w:left="270" w:hanging="270"/>
      </w:pPr>
      <w:r w:rsidRPr="00404725">
        <w:rPr>
          <w:rStyle w:val="FootnoteReference"/>
        </w:rPr>
        <w:footnoteRef/>
      </w:r>
      <w:r>
        <w:tab/>
      </w:r>
      <w:r w:rsidRPr="00404725">
        <w:t>[1/270]</w:t>
      </w:r>
    </w:p>
  </w:footnote>
  <w:footnote w:id="39">
    <w:p w14:paraId="1EF67C72" w14:textId="77777777" w:rsidR="00404725" w:rsidRPr="00404725" w:rsidRDefault="00404725" w:rsidP="00404725">
      <w:pPr>
        <w:pStyle w:val="FootnoteText"/>
        <w:tabs>
          <w:tab w:val="left" w:pos="270"/>
        </w:tabs>
        <w:ind w:left="270" w:hanging="270"/>
      </w:pPr>
      <w:r w:rsidRPr="00404725">
        <w:rPr>
          <w:rStyle w:val="FootnoteReference"/>
        </w:rPr>
        <w:footnoteRef/>
      </w:r>
      <w:r>
        <w:tab/>
      </w:r>
      <w:r w:rsidRPr="00404725">
        <w:t>[2/91]</w:t>
      </w:r>
    </w:p>
  </w:footnote>
  <w:footnote w:id="40">
    <w:p w14:paraId="7110D3FD" w14:textId="77777777" w:rsidR="00404725" w:rsidRPr="00A741EC" w:rsidRDefault="00404725" w:rsidP="00A741EC">
      <w:pPr>
        <w:pStyle w:val="FootnoteText"/>
        <w:tabs>
          <w:tab w:val="left" w:pos="270"/>
        </w:tabs>
      </w:pPr>
      <w:r w:rsidRPr="00A741EC">
        <w:rPr>
          <w:rStyle w:val="FootnoteReference"/>
        </w:rPr>
        <w:footnoteRef/>
      </w:r>
      <w:r w:rsidR="00A741EC">
        <w:tab/>
      </w:r>
      <w:r w:rsidRPr="00A741EC">
        <w:t>[1/142]</w:t>
      </w:r>
    </w:p>
  </w:footnote>
  <w:footnote w:id="41">
    <w:p w14:paraId="2DA1820E" w14:textId="77777777" w:rsidR="00404725" w:rsidRPr="00A741EC" w:rsidRDefault="00404725" w:rsidP="00A741EC">
      <w:pPr>
        <w:pStyle w:val="FootnoteText"/>
        <w:tabs>
          <w:tab w:val="left" w:pos="270"/>
        </w:tabs>
      </w:pPr>
      <w:r w:rsidRPr="00A741EC">
        <w:rPr>
          <w:rStyle w:val="FootnoteReference"/>
        </w:rPr>
        <w:footnoteRef/>
      </w:r>
      <w:r w:rsidR="00A741EC">
        <w:tab/>
      </w:r>
      <w:r w:rsidRPr="00A741EC">
        <w:t>[1/140]</w:t>
      </w:r>
    </w:p>
  </w:footnote>
  <w:footnote w:id="42">
    <w:p w14:paraId="2807115A" w14:textId="77777777" w:rsidR="00404725" w:rsidRPr="00A741EC" w:rsidRDefault="00404725" w:rsidP="00A741EC">
      <w:pPr>
        <w:pStyle w:val="FootnoteText"/>
        <w:tabs>
          <w:tab w:val="left" w:pos="270"/>
        </w:tabs>
      </w:pPr>
      <w:r w:rsidRPr="00A741EC">
        <w:rPr>
          <w:rStyle w:val="FootnoteReference"/>
        </w:rPr>
        <w:footnoteRef/>
      </w:r>
      <w:r w:rsidR="00A741EC">
        <w:tab/>
      </w:r>
      <w:r w:rsidRPr="00A741EC">
        <w:t>[1/322]</w:t>
      </w:r>
    </w:p>
  </w:footnote>
  <w:footnote w:id="43">
    <w:p w14:paraId="3231815D" w14:textId="77777777" w:rsidR="00404725" w:rsidRPr="00A741EC" w:rsidRDefault="00404725" w:rsidP="00A741EC">
      <w:pPr>
        <w:pStyle w:val="FootnoteText"/>
        <w:tabs>
          <w:tab w:val="left" w:pos="270"/>
        </w:tabs>
      </w:pPr>
      <w:r w:rsidRPr="00A741EC">
        <w:rPr>
          <w:rStyle w:val="FootnoteReference"/>
        </w:rPr>
        <w:footnoteRef/>
      </w:r>
      <w:r w:rsidR="00A741EC">
        <w:tab/>
      </w:r>
      <w:r w:rsidRPr="00A741EC">
        <w:t>[1/88/</w:t>
      </w:r>
      <w:r w:rsidRPr="00A741EC">
        <w:rPr>
          <w:rFonts w:eastAsia="PMingLiU"/>
          <w:lang w:eastAsia="zh-HK"/>
        </w:rPr>
        <w:t>§5]</w:t>
      </w:r>
    </w:p>
  </w:footnote>
  <w:footnote w:id="44">
    <w:p w14:paraId="303C9431" w14:textId="77777777" w:rsidR="00404725" w:rsidRPr="00A741EC" w:rsidRDefault="00404725" w:rsidP="00A741EC">
      <w:pPr>
        <w:pStyle w:val="FootnoteText"/>
        <w:tabs>
          <w:tab w:val="left" w:pos="270"/>
        </w:tabs>
      </w:pPr>
      <w:r w:rsidRPr="00A741EC">
        <w:rPr>
          <w:rStyle w:val="FootnoteReference"/>
        </w:rPr>
        <w:footnoteRef/>
      </w:r>
      <w:r w:rsidR="00A741EC">
        <w:tab/>
      </w:r>
      <w:r w:rsidRPr="00A741EC">
        <w:t>[1/89/</w:t>
      </w:r>
      <w:r w:rsidRPr="00A741EC">
        <w:rPr>
          <w:rFonts w:eastAsia="PMingLiU"/>
          <w:lang w:eastAsia="zh-HK"/>
        </w:rPr>
        <w:t>§6]</w:t>
      </w:r>
    </w:p>
  </w:footnote>
  <w:footnote w:id="45">
    <w:p w14:paraId="1F0DF99D" w14:textId="77777777" w:rsidR="00404725" w:rsidRPr="00A741EC" w:rsidRDefault="00404725" w:rsidP="00A741EC">
      <w:pPr>
        <w:pStyle w:val="FootnoteText"/>
        <w:tabs>
          <w:tab w:val="left" w:pos="270"/>
        </w:tabs>
      </w:pPr>
      <w:r w:rsidRPr="00A741EC">
        <w:rPr>
          <w:rStyle w:val="FootnoteReference"/>
        </w:rPr>
        <w:footnoteRef/>
      </w:r>
      <w:r w:rsidR="00A741EC">
        <w:tab/>
      </w:r>
      <w:r w:rsidRPr="00A741EC">
        <w:t>[1/99-101]</w:t>
      </w:r>
    </w:p>
  </w:footnote>
  <w:footnote w:id="46">
    <w:p w14:paraId="762DBF65" w14:textId="77777777" w:rsidR="00404725" w:rsidRPr="0063043A" w:rsidRDefault="00404725" w:rsidP="0063043A">
      <w:pPr>
        <w:pStyle w:val="FootnoteText"/>
        <w:tabs>
          <w:tab w:val="left" w:pos="270"/>
        </w:tabs>
      </w:pPr>
      <w:r w:rsidRPr="0063043A">
        <w:rPr>
          <w:rStyle w:val="FootnoteReference"/>
        </w:rPr>
        <w:footnoteRef/>
      </w:r>
      <w:r w:rsidR="0063043A">
        <w:tab/>
      </w:r>
      <w:r w:rsidRPr="0063043A">
        <w:t>[1/322]</w:t>
      </w:r>
    </w:p>
  </w:footnote>
  <w:footnote w:id="47">
    <w:p w14:paraId="54146AD8" w14:textId="77777777" w:rsidR="00404725" w:rsidRPr="0063043A" w:rsidRDefault="00404725" w:rsidP="0063043A">
      <w:pPr>
        <w:pStyle w:val="FootnoteText"/>
        <w:tabs>
          <w:tab w:val="left" w:pos="270"/>
        </w:tabs>
      </w:pPr>
      <w:r w:rsidRPr="0063043A">
        <w:rPr>
          <w:rStyle w:val="FootnoteReference"/>
        </w:rPr>
        <w:footnoteRef/>
      </w:r>
      <w:r w:rsidR="0063043A">
        <w:tab/>
      </w:r>
      <w:r w:rsidRPr="0063043A">
        <w:t>[1/10/</w:t>
      </w:r>
      <w:r w:rsidRPr="0063043A">
        <w:rPr>
          <w:rFonts w:eastAsia="PMingLiU"/>
          <w:lang w:eastAsia="zh-HK"/>
        </w:rPr>
        <w:t>§3a]</w:t>
      </w:r>
    </w:p>
  </w:footnote>
  <w:footnote w:id="48">
    <w:p w14:paraId="2E53C2B3" w14:textId="77777777" w:rsidR="00404725" w:rsidRPr="0063043A" w:rsidRDefault="00404725" w:rsidP="0063043A">
      <w:pPr>
        <w:tabs>
          <w:tab w:val="left" w:pos="270"/>
        </w:tabs>
        <w:spacing w:line="276" w:lineRule="auto"/>
        <w:jc w:val="both"/>
        <w:rPr>
          <w:sz w:val="20"/>
        </w:rPr>
      </w:pPr>
      <w:r w:rsidRPr="0063043A">
        <w:rPr>
          <w:rStyle w:val="FootnoteReference"/>
          <w:sz w:val="20"/>
        </w:rPr>
        <w:footnoteRef/>
      </w:r>
      <w:r w:rsidR="0063043A">
        <w:rPr>
          <w:sz w:val="20"/>
        </w:rPr>
        <w:tab/>
      </w:r>
      <w:r w:rsidRPr="0063043A">
        <w:rPr>
          <w:sz w:val="20"/>
        </w:rPr>
        <w:t>[1976] 11 WLR 810 at 815H-816D</w:t>
      </w:r>
    </w:p>
    <w:p w14:paraId="5E612BE3" w14:textId="77777777" w:rsidR="00404725" w:rsidRPr="0068062A" w:rsidRDefault="00404725" w:rsidP="00033986">
      <w:pPr>
        <w:pStyle w:val="FootnoteText"/>
      </w:pPr>
    </w:p>
  </w:footnote>
  <w:footnote w:id="49">
    <w:p w14:paraId="50DD7BA8" w14:textId="77777777" w:rsidR="00404725" w:rsidRPr="0063043A" w:rsidRDefault="00404725" w:rsidP="0063043A">
      <w:pPr>
        <w:pStyle w:val="FootnoteText"/>
        <w:tabs>
          <w:tab w:val="left" w:pos="270"/>
        </w:tabs>
        <w:ind w:left="270" w:hanging="270"/>
      </w:pPr>
      <w:r w:rsidRPr="0063043A">
        <w:rPr>
          <w:rStyle w:val="FootnoteReference"/>
        </w:rPr>
        <w:footnoteRef/>
      </w:r>
      <w:r w:rsidR="0063043A">
        <w:tab/>
      </w:r>
      <w:r w:rsidRPr="0063043A">
        <w:t xml:space="preserve">[1/100]. </w:t>
      </w:r>
      <w:r w:rsidR="0063043A">
        <w:t xml:space="preserve"> </w:t>
      </w:r>
      <w:r w:rsidRPr="0063043A">
        <w:t xml:space="preserve">The </w:t>
      </w:r>
      <w:r w:rsidR="0063043A">
        <w:t>d</w:t>
      </w:r>
      <w:r w:rsidRPr="0063043A">
        <w:t>efendants’ counsel did not seriously dispute this photo was taken at the Carpark.</w:t>
      </w:r>
    </w:p>
  </w:footnote>
  <w:footnote w:id="50">
    <w:p w14:paraId="5BDDADDA" w14:textId="77777777" w:rsidR="00404725" w:rsidRPr="0063043A" w:rsidRDefault="00404725" w:rsidP="0063043A">
      <w:pPr>
        <w:pStyle w:val="FootnoteText"/>
        <w:tabs>
          <w:tab w:val="left" w:pos="270"/>
        </w:tabs>
        <w:ind w:left="270" w:hanging="270"/>
      </w:pPr>
      <w:r w:rsidRPr="0063043A">
        <w:rPr>
          <w:rStyle w:val="FootnoteReference"/>
        </w:rPr>
        <w:footnoteRef/>
      </w:r>
      <w:r w:rsidR="0063043A">
        <w:tab/>
      </w:r>
      <w:r w:rsidRPr="0063043A">
        <w:t>CACV 38/2000 (</w:t>
      </w:r>
      <w:r w:rsidR="0063043A">
        <w:t>u</w:t>
      </w:r>
      <w:r w:rsidRPr="0063043A">
        <w:t xml:space="preserve">nrep) at </w:t>
      </w:r>
      <w:r w:rsidRPr="0063043A">
        <w:rPr>
          <w:rFonts w:eastAsia="PMingLiU"/>
          <w:lang w:eastAsia="zh-HK"/>
        </w:rPr>
        <w:t>§48.</w:t>
      </w:r>
    </w:p>
  </w:footnote>
  <w:footnote w:id="51">
    <w:p w14:paraId="62636B85" w14:textId="77777777" w:rsidR="00404725" w:rsidRPr="0063043A" w:rsidRDefault="00404725" w:rsidP="0063043A">
      <w:pPr>
        <w:pStyle w:val="FootnoteText"/>
        <w:tabs>
          <w:tab w:val="left" w:pos="270"/>
        </w:tabs>
        <w:ind w:left="270" w:hanging="270"/>
      </w:pPr>
      <w:r w:rsidRPr="0063043A">
        <w:rPr>
          <w:rStyle w:val="FootnoteReference"/>
        </w:rPr>
        <w:footnoteRef/>
      </w:r>
      <w:r w:rsidR="0063043A">
        <w:tab/>
      </w:r>
      <w:r w:rsidRPr="0063043A">
        <w:t>[1/128-2]</w:t>
      </w:r>
    </w:p>
  </w:footnote>
  <w:footnote w:id="52">
    <w:p w14:paraId="1B20B9AA" w14:textId="77777777" w:rsidR="00404725" w:rsidRPr="00C07891" w:rsidRDefault="00404725" w:rsidP="00C07891">
      <w:pPr>
        <w:pStyle w:val="FootnoteText"/>
        <w:tabs>
          <w:tab w:val="left" w:pos="270"/>
        </w:tabs>
        <w:rPr>
          <w:rFonts w:ascii="Times" w:hAnsi="Times"/>
        </w:rPr>
      </w:pPr>
      <w:r w:rsidRPr="00C07891">
        <w:rPr>
          <w:rStyle w:val="FootnoteReference"/>
          <w:rFonts w:ascii="Times" w:hAnsi="Times"/>
        </w:rPr>
        <w:footnoteRef/>
      </w:r>
      <w:r w:rsidR="00C07891">
        <w:rPr>
          <w:rFonts w:ascii="Times" w:hAnsi="Times"/>
        </w:rPr>
        <w:tab/>
      </w:r>
      <w:r w:rsidRPr="00C07891">
        <w:rPr>
          <w:rFonts w:ascii="Times" w:hAnsi="Times"/>
        </w:rPr>
        <w:t xml:space="preserve">[2019] HKCFI 2268 at </w:t>
      </w:r>
      <w:r w:rsidRPr="00C07891">
        <w:rPr>
          <w:rFonts w:ascii="Times" w:eastAsia="PMingLiU" w:hAnsi="Times"/>
          <w:lang w:eastAsia="zh-HK"/>
        </w:rPr>
        <w:t>§43.</w:t>
      </w:r>
    </w:p>
  </w:footnote>
  <w:footnote w:id="53">
    <w:p w14:paraId="517F7B42" w14:textId="77777777" w:rsidR="00404725" w:rsidRPr="00727EC2" w:rsidRDefault="00404725" w:rsidP="00033986">
      <w:pPr>
        <w:pStyle w:val="FootnoteText"/>
        <w:rPr>
          <w:rFonts w:ascii="Times" w:hAnsi="Times"/>
          <w:sz w:val="22"/>
          <w:szCs w:val="22"/>
        </w:rPr>
      </w:pPr>
      <w:r w:rsidRPr="00727EC2">
        <w:rPr>
          <w:rStyle w:val="FootnoteReference"/>
          <w:rFonts w:ascii="Times" w:hAnsi="Times"/>
          <w:sz w:val="22"/>
          <w:szCs w:val="22"/>
        </w:rPr>
        <w:footnoteRef/>
      </w:r>
      <w:r w:rsidRPr="00727EC2">
        <w:rPr>
          <w:rFonts w:ascii="Times" w:hAnsi="Times"/>
          <w:sz w:val="22"/>
          <w:szCs w:val="22"/>
        </w:rPr>
        <w:t xml:space="preserve"> [1/88/</w:t>
      </w:r>
      <w:r w:rsidRPr="00727EC2">
        <w:rPr>
          <w:rFonts w:ascii="Times" w:eastAsia="PMingLiU" w:hAnsi="Times"/>
          <w:sz w:val="22"/>
          <w:szCs w:val="22"/>
          <w:lang w:eastAsia="zh-HK"/>
        </w:rPr>
        <w:t>§4]</w:t>
      </w:r>
    </w:p>
  </w:footnote>
  <w:footnote w:id="54">
    <w:p w14:paraId="22A87E47" w14:textId="77777777" w:rsidR="00404725" w:rsidRPr="0068792A" w:rsidRDefault="00404725" w:rsidP="00033986">
      <w:pPr>
        <w:pStyle w:val="FootnoteText"/>
      </w:pPr>
      <w:r>
        <w:rPr>
          <w:rStyle w:val="FootnoteReference"/>
        </w:rPr>
        <w:footnoteRef/>
      </w:r>
      <w:r>
        <w:t xml:space="preserve"> </w:t>
      </w:r>
      <w:r w:rsidRPr="00A510C7">
        <w:rPr>
          <w:rFonts w:ascii="Times" w:hAnsi="Times"/>
          <w:sz w:val="22"/>
          <w:szCs w:val="22"/>
        </w:rPr>
        <w:t>[1/89/</w:t>
      </w:r>
      <w:r w:rsidRPr="00A510C7">
        <w:rPr>
          <w:rFonts w:ascii="Times" w:eastAsia="PMingLiU" w:hAnsi="Times"/>
          <w:sz w:val="22"/>
          <w:szCs w:val="22"/>
          <w:lang w:eastAsia="zh-HK"/>
        </w:rPr>
        <w:t>§6]</w:t>
      </w:r>
    </w:p>
  </w:footnote>
  <w:footnote w:id="55">
    <w:p w14:paraId="35012177" w14:textId="77777777" w:rsidR="00404725" w:rsidRPr="0036448E" w:rsidRDefault="00404725" w:rsidP="00033986">
      <w:pPr>
        <w:pStyle w:val="FootnoteText"/>
        <w:rPr>
          <w:rFonts w:ascii="Times" w:hAnsi="Times"/>
          <w:sz w:val="22"/>
          <w:szCs w:val="22"/>
        </w:rPr>
      </w:pPr>
      <w:r w:rsidRPr="0036448E">
        <w:rPr>
          <w:rStyle w:val="FootnoteReference"/>
          <w:rFonts w:ascii="Times" w:hAnsi="Times"/>
          <w:sz w:val="22"/>
          <w:szCs w:val="22"/>
        </w:rPr>
        <w:footnoteRef/>
      </w:r>
      <w:r w:rsidRPr="0036448E">
        <w:rPr>
          <w:rFonts w:ascii="Times" w:hAnsi="Times"/>
          <w:sz w:val="22"/>
          <w:szCs w:val="22"/>
        </w:rPr>
        <w:t xml:space="preserve"> Plaintiff’s Opening Submissions at </w:t>
      </w:r>
      <w:r w:rsidRPr="0036448E">
        <w:rPr>
          <w:rFonts w:ascii="Times" w:eastAsia="PMingLiU" w:hAnsi="Times"/>
          <w:sz w:val="22"/>
          <w:szCs w:val="22"/>
          <w:lang w:eastAsia="zh-HK"/>
        </w:rPr>
        <w:t>§35</w:t>
      </w:r>
    </w:p>
  </w:footnote>
  <w:footnote w:id="56">
    <w:p w14:paraId="076DAA80"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HCPI 1102/2015 (</w:t>
      </w:r>
      <w:r w:rsidR="00012869">
        <w:t>u</w:t>
      </w:r>
      <w:r w:rsidRPr="00012869">
        <w:t xml:space="preserve">nrep) 13.10.2017 at </w:t>
      </w:r>
      <w:r w:rsidRPr="00012869">
        <w:rPr>
          <w:rFonts w:eastAsia="PMingLiU"/>
          <w:lang w:eastAsia="zh-HK"/>
        </w:rPr>
        <w:t>§§30-38.</w:t>
      </w:r>
    </w:p>
  </w:footnote>
  <w:footnote w:id="57">
    <w:p w14:paraId="1532A2EE" w14:textId="77777777" w:rsidR="00404725" w:rsidRPr="00012869" w:rsidRDefault="00404725" w:rsidP="00012869">
      <w:pPr>
        <w:pStyle w:val="FootnoteText"/>
        <w:tabs>
          <w:tab w:val="left" w:pos="270"/>
        </w:tabs>
        <w:ind w:left="270" w:hanging="270"/>
      </w:pPr>
      <w:r w:rsidRPr="00012869">
        <w:rPr>
          <w:rStyle w:val="FootnoteReference"/>
        </w:rPr>
        <w:footnoteRef/>
      </w:r>
      <w:r w:rsidR="00012869" w:rsidRPr="00012869">
        <w:tab/>
      </w:r>
      <w:r w:rsidRPr="00012869">
        <w:t>[1/195]</w:t>
      </w:r>
    </w:p>
  </w:footnote>
  <w:footnote w:id="58">
    <w:p w14:paraId="52A1414D"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[1/196]</w:t>
      </w:r>
    </w:p>
  </w:footnote>
  <w:footnote w:id="59">
    <w:p w14:paraId="0F5313B2"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[1/205]</w:t>
      </w:r>
    </w:p>
  </w:footnote>
  <w:footnote w:id="60">
    <w:p w14:paraId="01275CA6"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[1/195]</w:t>
      </w:r>
    </w:p>
  </w:footnote>
  <w:footnote w:id="61">
    <w:p w14:paraId="5E19FCA2"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rPr>
          <w:i/>
          <w:iCs/>
        </w:rPr>
        <w:t>Ditto</w:t>
      </w:r>
    </w:p>
  </w:footnote>
  <w:footnote w:id="62">
    <w:p w14:paraId="25FDB2C3"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[1/213]</w:t>
      </w:r>
    </w:p>
  </w:footnote>
  <w:footnote w:id="63">
    <w:p w14:paraId="10BFB4F7"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[1/195]</w:t>
      </w:r>
    </w:p>
  </w:footnote>
  <w:footnote w:id="64">
    <w:p w14:paraId="258E1E35"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rPr>
          <w:i/>
          <w:iCs/>
        </w:rPr>
        <w:t>Ditto</w:t>
      </w:r>
    </w:p>
  </w:footnote>
  <w:footnote w:id="65">
    <w:p w14:paraId="58298CC0"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[1/202]</w:t>
      </w:r>
    </w:p>
  </w:footnote>
  <w:footnote w:id="66">
    <w:p w14:paraId="4D09961D"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[1/204-205]</w:t>
      </w:r>
    </w:p>
  </w:footnote>
  <w:footnote w:id="67">
    <w:p w14:paraId="03D0B3C0"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 xml:space="preserve"> [1/142]</w:t>
      </w:r>
    </w:p>
  </w:footnote>
  <w:footnote w:id="68">
    <w:p w14:paraId="788C7EB9"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[2/3][1/196]</w:t>
      </w:r>
    </w:p>
  </w:footnote>
  <w:footnote w:id="69">
    <w:p w14:paraId="40E68554"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[1/186]</w:t>
      </w:r>
    </w:p>
  </w:footnote>
  <w:footnote w:id="70">
    <w:p w14:paraId="6695C6BF"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[1/205]</w:t>
      </w:r>
    </w:p>
  </w:footnote>
  <w:footnote w:id="71">
    <w:p w14:paraId="1AF6886C" w14:textId="77777777" w:rsidR="00404725" w:rsidRPr="00012869" w:rsidRDefault="00404725" w:rsidP="00012869">
      <w:pPr>
        <w:pStyle w:val="FootnoteText"/>
        <w:ind w:left="270" w:hanging="270"/>
      </w:pPr>
      <w:r w:rsidRPr="00012869">
        <w:rPr>
          <w:rStyle w:val="FootnoteReference"/>
        </w:rPr>
        <w:footnoteRef/>
      </w:r>
      <w:r w:rsidR="00012869">
        <w:tab/>
      </w:r>
      <w:r w:rsidRPr="00012869">
        <w:t>[1/200]</w:t>
      </w:r>
    </w:p>
  </w:footnote>
  <w:footnote w:id="72">
    <w:p w14:paraId="7EDC5473"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[1/213-214]</w:t>
      </w:r>
    </w:p>
  </w:footnote>
  <w:footnote w:id="73">
    <w:p w14:paraId="65A0A8FA"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[2/129]. See also: [2/131][2/135][2/137][2/160-162][2/160-162][2/182][2/184-185][2/190][2/298]</w:t>
      </w:r>
    </w:p>
  </w:footnote>
  <w:footnote w:id="74">
    <w:p w14:paraId="5F7F598F"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[1/230-233]</w:t>
      </w:r>
    </w:p>
  </w:footnote>
  <w:footnote w:id="75">
    <w:p w14:paraId="339B9B84"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[1/236]</w:t>
      </w:r>
    </w:p>
  </w:footnote>
  <w:footnote w:id="76">
    <w:p w14:paraId="73A9E540"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[1/153]</w:t>
      </w:r>
    </w:p>
  </w:footnote>
  <w:footnote w:id="77">
    <w:p w14:paraId="57CCC155" w14:textId="77777777" w:rsidR="00404725" w:rsidRPr="00012869" w:rsidRDefault="00404725" w:rsidP="00012869">
      <w:pPr>
        <w:pStyle w:val="FootnoteText"/>
        <w:tabs>
          <w:tab w:val="left" w:pos="270"/>
        </w:tabs>
        <w:ind w:left="270" w:hanging="270"/>
      </w:pPr>
      <w:r w:rsidRPr="00012869">
        <w:rPr>
          <w:rStyle w:val="FootnoteReference"/>
        </w:rPr>
        <w:footnoteRef/>
      </w:r>
      <w:r w:rsidR="00012869">
        <w:tab/>
      </w:r>
      <w:r w:rsidRPr="00012869">
        <w:t>[1/244]</w:t>
      </w:r>
    </w:p>
  </w:footnote>
  <w:footnote w:id="78">
    <w:p w14:paraId="6521C819" w14:textId="77777777" w:rsidR="00404725" w:rsidRPr="007B10DA" w:rsidRDefault="00404725" w:rsidP="007B10DA">
      <w:pPr>
        <w:pStyle w:val="FootnoteText"/>
        <w:tabs>
          <w:tab w:val="left" w:pos="270"/>
        </w:tabs>
      </w:pPr>
      <w:r w:rsidRPr="007B10DA">
        <w:rPr>
          <w:rStyle w:val="FootnoteReference"/>
        </w:rPr>
        <w:footnoteRef/>
      </w:r>
      <w:r w:rsidR="007B10DA">
        <w:tab/>
      </w:r>
      <w:r w:rsidRPr="007B10DA">
        <w:t>[1/239]</w:t>
      </w:r>
    </w:p>
  </w:footnote>
  <w:footnote w:id="79">
    <w:p w14:paraId="5C064856" w14:textId="77777777" w:rsidR="00404725" w:rsidRPr="007B10DA" w:rsidRDefault="00404725" w:rsidP="007B10DA">
      <w:pPr>
        <w:pStyle w:val="FootnoteText"/>
        <w:tabs>
          <w:tab w:val="left" w:pos="270"/>
        </w:tabs>
      </w:pPr>
      <w:r w:rsidRPr="007B10DA">
        <w:rPr>
          <w:rStyle w:val="FootnoteReference"/>
        </w:rPr>
        <w:footnoteRef/>
      </w:r>
      <w:r w:rsidR="007B10DA">
        <w:tab/>
      </w:r>
      <w:r w:rsidRPr="007B10DA">
        <w:t>HCPI 195/2000 (</w:t>
      </w:r>
      <w:r w:rsidR="007B10DA">
        <w:t>u</w:t>
      </w:r>
      <w:r w:rsidRPr="007B10DA">
        <w:t xml:space="preserve">nrep) 14.2.2001 at </w:t>
      </w:r>
      <w:r w:rsidRPr="007B10DA">
        <w:rPr>
          <w:rFonts w:eastAsia="PMingLiU"/>
          <w:lang w:eastAsia="zh-HK"/>
        </w:rPr>
        <w:t>§15.</w:t>
      </w:r>
    </w:p>
  </w:footnote>
  <w:footnote w:id="80">
    <w:p w14:paraId="7812029A" w14:textId="77777777" w:rsidR="00404725" w:rsidRPr="007B10DA" w:rsidRDefault="00404725" w:rsidP="007B10DA">
      <w:pPr>
        <w:pStyle w:val="FootnoteText"/>
        <w:tabs>
          <w:tab w:val="left" w:pos="270"/>
        </w:tabs>
      </w:pPr>
      <w:r w:rsidRPr="007B10DA">
        <w:rPr>
          <w:rStyle w:val="FootnoteReference"/>
        </w:rPr>
        <w:footnoteRef/>
      </w:r>
      <w:r w:rsidR="007B10DA">
        <w:tab/>
      </w:r>
      <w:r w:rsidRPr="007B10DA">
        <w:t>HCPI 295/2014 (</w:t>
      </w:r>
      <w:r w:rsidR="007B10DA">
        <w:t>u</w:t>
      </w:r>
      <w:r w:rsidRPr="007B10DA">
        <w:t xml:space="preserve">nrep) 21.5.2015 at </w:t>
      </w:r>
      <w:r w:rsidRPr="007B10DA">
        <w:rPr>
          <w:rFonts w:eastAsia="PMingLiU"/>
          <w:lang w:eastAsia="zh-HK"/>
        </w:rPr>
        <w:t>§§41-42.</w:t>
      </w:r>
    </w:p>
  </w:footnote>
  <w:footnote w:id="81">
    <w:p w14:paraId="65FAB558" w14:textId="77777777" w:rsidR="00404725" w:rsidRPr="007B10DA" w:rsidRDefault="00404725" w:rsidP="007B10DA">
      <w:pPr>
        <w:pStyle w:val="FootnoteText"/>
        <w:tabs>
          <w:tab w:val="left" w:pos="270"/>
        </w:tabs>
      </w:pPr>
      <w:r w:rsidRPr="007B10DA">
        <w:rPr>
          <w:rStyle w:val="FootnoteReference"/>
        </w:rPr>
        <w:footnoteRef/>
      </w:r>
      <w:r w:rsidR="007B10DA">
        <w:tab/>
      </w:r>
      <w:r w:rsidRPr="007B10DA">
        <w:t>[1/239]</w:t>
      </w:r>
    </w:p>
  </w:footnote>
  <w:footnote w:id="82">
    <w:p w14:paraId="5E0BE448" w14:textId="77777777" w:rsidR="00404725" w:rsidRPr="007B10DA" w:rsidRDefault="00404725" w:rsidP="007B10DA">
      <w:pPr>
        <w:pStyle w:val="FootnoteText"/>
        <w:tabs>
          <w:tab w:val="left" w:pos="270"/>
        </w:tabs>
        <w:ind w:left="270" w:hanging="270"/>
        <w:jc w:val="both"/>
      </w:pPr>
      <w:r w:rsidRPr="007B10DA">
        <w:rPr>
          <w:rStyle w:val="FootnoteReference"/>
        </w:rPr>
        <w:footnoteRef/>
      </w:r>
      <w:r w:rsidR="007B10DA">
        <w:tab/>
      </w:r>
      <w:r w:rsidRPr="007B10DA">
        <w:rPr>
          <w:rFonts w:eastAsia="PMingLiU"/>
          <w:i/>
          <w:iCs/>
          <w:lang w:eastAsia="zh-HK"/>
        </w:rPr>
        <w:t xml:space="preserve">Lee Yau Wai </w:t>
      </w:r>
      <w:r w:rsidR="007B10DA">
        <w:rPr>
          <w:rFonts w:eastAsia="PMingLiU"/>
          <w:i/>
          <w:iCs/>
          <w:lang w:eastAsia="zh-HK"/>
        </w:rPr>
        <w:t>v</w:t>
      </w:r>
      <w:r w:rsidRPr="007B10DA">
        <w:rPr>
          <w:rFonts w:eastAsia="PMingLiU"/>
          <w:i/>
          <w:iCs/>
          <w:lang w:eastAsia="zh-HK"/>
        </w:rPr>
        <w:t xml:space="preserve"> Yeung Kam Wing</w:t>
      </w:r>
      <w:r w:rsidRPr="007B10DA">
        <w:rPr>
          <w:rFonts w:eastAsia="PMingLiU"/>
          <w:lang w:eastAsia="zh-HK"/>
        </w:rPr>
        <w:t xml:space="preserve"> HCPI 281/2009 (</w:t>
      </w:r>
      <w:r w:rsidR="007B10DA">
        <w:rPr>
          <w:rFonts w:eastAsia="PMingLiU"/>
          <w:lang w:eastAsia="zh-HK"/>
        </w:rPr>
        <w:t>u</w:t>
      </w:r>
      <w:r w:rsidRPr="007B10DA">
        <w:rPr>
          <w:rFonts w:eastAsia="PMingLiU"/>
          <w:lang w:eastAsia="zh-HK"/>
        </w:rPr>
        <w:t>nrep) 29.3.2011 at §§70-73.</w:t>
      </w:r>
    </w:p>
  </w:footnote>
  <w:footnote w:id="83">
    <w:p w14:paraId="09418CE7" w14:textId="77777777" w:rsidR="00404725" w:rsidRPr="007B10DA" w:rsidRDefault="00404725" w:rsidP="007B10DA">
      <w:pPr>
        <w:pStyle w:val="FootnoteText"/>
        <w:tabs>
          <w:tab w:val="left" w:pos="270"/>
        </w:tabs>
        <w:ind w:left="270" w:hanging="270"/>
        <w:jc w:val="both"/>
      </w:pPr>
      <w:r w:rsidRPr="007B10DA">
        <w:rPr>
          <w:rStyle w:val="FootnoteReference"/>
        </w:rPr>
        <w:footnoteRef/>
      </w:r>
      <w:r w:rsidR="007B10DA">
        <w:tab/>
      </w:r>
      <w:r w:rsidRPr="007B10DA">
        <w:t xml:space="preserve">See example: </w:t>
      </w:r>
      <w:r w:rsidRPr="007B10DA">
        <w:rPr>
          <w:i/>
          <w:iCs/>
        </w:rPr>
        <w:t>Cheng Yuk Chun v Winson Cleaning Service Company Limited</w:t>
      </w:r>
      <w:r w:rsidRPr="007B10DA">
        <w:t xml:space="preserve"> DCPI 629/2006 (</w:t>
      </w:r>
      <w:r w:rsidR="007B10DA">
        <w:t>u</w:t>
      </w:r>
      <w:r w:rsidRPr="007B10DA">
        <w:t xml:space="preserve">nrep) 6.7.2007 at </w:t>
      </w:r>
      <w:r w:rsidRPr="007B10DA">
        <w:rPr>
          <w:rFonts w:eastAsia="PMingLiU"/>
          <w:lang w:eastAsia="zh-HK"/>
        </w:rPr>
        <w:t xml:space="preserve">§§61-67. </w:t>
      </w:r>
      <w:r w:rsidRPr="007B10DA">
        <w:rPr>
          <w:rFonts w:eastAsia="PMingLiU"/>
          <w:i/>
          <w:iCs/>
          <w:lang w:eastAsia="zh-HK"/>
        </w:rPr>
        <w:t>Lee Yau Wai v Yeung Kam Wing</w:t>
      </w:r>
      <w:r w:rsidRPr="007B10DA">
        <w:rPr>
          <w:rFonts w:eastAsia="PMingLiU"/>
          <w:lang w:eastAsia="zh-HK"/>
        </w:rPr>
        <w:t xml:space="preserve"> HCPI 281/2009 (</w:t>
      </w:r>
      <w:r w:rsidR="007B10DA">
        <w:rPr>
          <w:rFonts w:eastAsia="PMingLiU"/>
          <w:lang w:eastAsia="zh-HK"/>
        </w:rPr>
        <w:t>u</w:t>
      </w:r>
      <w:r w:rsidRPr="007B10DA">
        <w:rPr>
          <w:rFonts w:eastAsia="PMingLiU"/>
          <w:lang w:eastAsia="zh-HK"/>
        </w:rPr>
        <w:t xml:space="preserve">nrep) 29.3.2011 at §§70-73; </w:t>
      </w:r>
      <w:r w:rsidRPr="007B10DA">
        <w:rPr>
          <w:rFonts w:eastAsia="PMingLiU"/>
          <w:i/>
          <w:iCs/>
          <w:lang w:eastAsia="zh-HK"/>
        </w:rPr>
        <w:t>Rukhsar Begum v Native English Centre Ltd</w:t>
      </w:r>
      <w:r w:rsidRPr="007B10DA">
        <w:rPr>
          <w:rFonts w:eastAsia="PMingLiU"/>
          <w:lang w:eastAsia="zh-HK"/>
        </w:rPr>
        <w:t xml:space="preserve"> DCPI 2243/2015 (</w:t>
      </w:r>
      <w:r w:rsidR="007B10DA">
        <w:rPr>
          <w:rFonts w:eastAsia="PMingLiU"/>
          <w:lang w:eastAsia="zh-HK"/>
        </w:rPr>
        <w:t>u</w:t>
      </w:r>
      <w:r w:rsidRPr="007B10DA">
        <w:rPr>
          <w:rFonts w:eastAsia="PMingLiU"/>
          <w:lang w:eastAsia="zh-HK"/>
        </w:rPr>
        <w:t>nrep) 3.4.2017 at §76.</w:t>
      </w:r>
    </w:p>
  </w:footnote>
  <w:footnote w:id="84">
    <w:p w14:paraId="32C73F3A" w14:textId="77777777" w:rsidR="00404725" w:rsidRPr="007B10DA" w:rsidRDefault="00404725" w:rsidP="007B10DA">
      <w:pPr>
        <w:pStyle w:val="FootnoteText"/>
        <w:tabs>
          <w:tab w:val="left" w:pos="270"/>
        </w:tabs>
        <w:ind w:left="270" w:hanging="270"/>
        <w:jc w:val="both"/>
      </w:pPr>
      <w:r w:rsidRPr="007B10DA">
        <w:rPr>
          <w:rStyle w:val="FootnoteReference"/>
        </w:rPr>
        <w:footnoteRef/>
      </w:r>
      <w:r w:rsidR="007B10DA">
        <w:tab/>
      </w:r>
      <w:r w:rsidRPr="007B10DA">
        <w:t>[1/306][1/302][1/303]</w:t>
      </w:r>
    </w:p>
  </w:footnote>
  <w:footnote w:id="85">
    <w:p w14:paraId="20D16E96" w14:textId="77777777" w:rsidR="00404725" w:rsidRPr="007B10DA" w:rsidRDefault="00404725" w:rsidP="007B10DA">
      <w:pPr>
        <w:pStyle w:val="FootnoteText"/>
        <w:tabs>
          <w:tab w:val="left" w:pos="270"/>
        </w:tabs>
        <w:ind w:left="270" w:hanging="270"/>
      </w:pPr>
      <w:r w:rsidRPr="007B10DA">
        <w:rPr>
          <w:rStyle w:val="FootnoteReference"/>
        </w:rPr>
        <w:footnoteRef/>
      </w:r>
      <w:r w:rsidR="007B10DA">
        <w:tab/>
      </w:r>
      <w:r w:rsidRPr="007B10DA">
        <w:t xml:space="preserve">Revised Statement of Damages at </w:t>
      </w:r>
      <w:r w:rsidRPr="007B10DA">
        <w:rPr>
          <w:rFonts w:eastAsia="PMingLiU"/>
          <w:lang w:eastAsia="zh-HK"/>
        </w:rPr>
        <w:t>§7.</w:t>
      </w:r>
    </w:p>
  </w:footnote>
  <w:footnote w:id="86">
    <w:p w14:paraId="1D8C3428" w14:textId="77777777" w:rsidR="00404725" w:rsidRPr="007B10DA" w:rsidRDefault="00404725" w:rsidP="007B10DA">
      <w:pPr>
        <w:pStyle w:val="FootnoteText"/>
        <w:tabs>
          <w:tab w:val="left" w:pos="270"/>
        </w:tabs>
        <w:ind w:left="270" w:hanging="270"/>
      </w:pPr>
      <w:r w:rsidRPr="007B10DA">
        <w:rPr>
          <w:rStyle w:val="FootnoteReference"/>
        </w:rPr>
        <w:footnoteRef/>
      </w:r>
      <w:r w:rsidR="007B10DA">
        <w:tab/>
      </w:r>
      <w:r w:rsidRPr="007B10DA">
        <w:t xml:space="preserve">[2008] 5 HKLRD 210 at </w:t>
      </w:r>
      <w:r w:rsidRPr="007B10DA">
        <w:rPr>
          <w:rFonts w:eastAsia="PMingLiU"/>
          <w:lang w:eastAsia="zh-HK"/>
        </w:rPr>
        <w:t>§18.</w:t>
      </w:r>
    </w:p>
  </w:footnote>
  <w:footnote w:id="87">
    <w:p w14:paraId="26B996D5" w14:textId="77777777" w:rsidR="00404725" w:rsidRPr="007B10DA" w:rsidRDefault="00404725" w:rsidP="007B10DA">
      <w:pPr>
        <w:pStyle w:val="FootnoteText"/>
        <w:tabs>
          <w:tab w:val="left" w:pos="270"/>
        </w:tabs>
        <w:ind w:left="270" w:hanging="270"/>
      </w:pPr>
      <w:r w:rsidRPr="007B10DA">
        <w:rPr>
          <w:rStyle w:val="FootnoteReference"/>
        </w:rPr>
        <w:footnoteRef/>
      </w:r>
      <w:r w:rsidR="007B10DA">
        <w:tab/>
      </w:r>
      <w:r w:rsidRPr="007B10DA">
        <w:t>See for example, [1/145] [2/234-242]</w:t>
      </w:r>
    </w:p>
  </w:footnote>
  <w:footnote w:id="88">
    <w:p w14:paraId="38DC3AFA" w14:textId="77777777" w:rsidR="00404725" w:rsidRPr="00CD225A" w:rsidRDefault="00404725" w:rsidP="00CD225A">
      <w:pPr>
        <w:pStyle w:val="FootnoteText"/>
        <w:tabs>
          <w:tab w:val="left" w:pos="270"/>
        </w:tabs>
        <w:ind w:left="270" w:hanging="270"/>
      </w:pPr>
      <w:r w:rsidRPr="00CD225A">
        <w:rPr>
          <w:rStyle w:val="FootnoteReference"/>
        </w:rPr>
        <w:footnoteRef/>
      </w:r>
      <w:r w:rsidR="00CD225A">
        <w:tab/>
      </w:r>
      <w:r w:rsidRPr="00CD225A">
        <w:t>[2/263]</w:t>
      </w:r>
    </w:p>
  </w:footnote>
  <w:footnote w:id="89">
    <w:p w14:paraId="73CF5B3D" w14:textId="77777777" w:rsidR="00404725" w:rsidRPr="00CD225A" w:rsidRDefault="00404725" w:rsidP="00CD225A">
      <w:pPr>
        <w:pStyle w:val="FootnoteText"/>
        <w:tabs>
          <w:tab w:val="left" w:pos="270"/>
        </w:tabs>
        <w:ind w:left="270" w:hanging="270"/>
      </w:pPr>
      <w:r w:rsidRPr="00CD225A">
        <w:rPr>
          <w:rStyle w:val="FootnoteReference"/>
        </w:rPr>
        <w:footnoteRef/>
      </w:r>
      <w:r w:rsidR="00CD225A">
        <w:tab/>
      </w:r>
      <w:r w:rsidRPr="00CD225A">
        <w:t>[2/262]</w:t>
      </w:r>
    </w:p>
  </w:footnote>
  <w:footnote w:id="90">
    <w:p w14:paraId="74EC2BDE" w14:textId="77777777" w:rsidR="00404725" w:rsidRPr="00CD225A" w:rsidRDefault="00404725" w:rsidP="00CD225A">
      <w:pPr>
        <w:pStyle w:val="FootnoteText"/>
        <w:tabs>
          <w:tab w:val="left" w:pos="270"/>
        </w:tabs>
        <w:ind w:left="270" w:hanging="270"/>
      </w:pPr>
      <w:r w:rsidRPr="00CD225A">
        <w:rPr>
          <w:rStyle w:val="FootnoteReference"/>
        </w:rPr>
        <w:footnoteRef/>
      </w:r>
      <w:r w:rsidR="00CD225A">
        <w:tab/>
      </w:r>
      <w:r w:rsidRPr="00CD225A">
        <w:t>[2/54]</w:t>
      </w:r>
    </w:p>
  </w:footnote>
  <w:footnote w:id="91">
    <w:p w14:paraId="235BD577" w14:textId="77777777" w:rsidR="00404725" w:rsidRPr="00CD225A" w:rsidRDefault="00404725" w:rsidP="00CD225A">
      <w:pPr>
        <w:pStyle w:val="FootnoteText"/>
        <w:tabs>
          <w:tab w:val="left" w:pos="270"/>
        </w:tabs>
        <w:ind w:left="270" w:hanging="270"/>
      </w:pPr>
      <w:r w:rsidRPr="00CD225A">
        <w:rPr>
          <w:rStyle w:val="FootnoteReference"/>
        </w:rPr>
        <w:footnoteRef/>
      </w:r>
      <w:r w:rsidR="00CD225A">
        <w:tab/>
      </w:r>
      <w:r w:rsidRPr="00CD225A">
        <w:t>[1/203]</w:t>
      </w:r>
    </w:p>
  </w:footnote>
  <w:footnote w:id="92">
    <w:p w14:paraId="15190CC7" w14:textId="77777777" w:rsidR="00404725" w:rsidRPr="00CD225A" w:rsidRDefault="00404725" w:rsidP="00CD225A">
      <w:pPr>
        <w:pStyle w:val="FootnoteText"/>
        <w:tabs>
          <w:tab w:val="left" w:pos="270"/>
        </w:tabs>
        <w:ind w:left="270" w:hanging="270"/>
      </w:pPr>
      <w:r w:rsidRPr="00CD225A">
        <w:rPr>
          <w:rStyle w:val="FootnoteReference"/>
        </w:rPr>
        <w:footnoteRef/>
      </w:r>
      <w:r w:rsidR="00CD225A">
        <w:tab/>
      </w:r>
      <w:r w:rsidRPr="00CD225A">
        <w:t>HCPI 574/2014 (</w:t>
      </w:r>
      <w:r w:rsidR="00CD225A">
        <w:t>u</w:t>
      </w:r>
      <w:r w:rsidRPr="00CD225A">
        <w:t xml:space="preserve">nrep) 15.5.2017 at </w:t>
      </w:r>
      <w:r w:rsidRPr="00CD225A">
        <w:rPr>
          <w:rFonts w:eastAsia="PMingLiU"/>
          <w:lang w:eastAsia="zh-HK"/>
        </w:rPr>
        <w:t>§77.</w:t>
      </w:r>
    </w:p>
  </w:footnote>
  <w:footnote w:id="93">
    <w:p w14:paraId="7D0BD9E6" w14:textId="77777777" w:rsidR="00404725" w:rsidRPr="00CD225A" w:rsidRDefault="00404725" w:rsidP="00CD225A">
      <w:pPr>
        <w:pStyle w:val="FootnoteText"/>
        <w:tabs>
          <w:tab w:val="left" w:pos="270"/>
        </w:tabs>
        <w:ind w:left="270" w:hanging="270"/>
      </w:pPr>
      <w:r w:rsidRPr="00CD225A">
        <w:rPr>
          <w:rStyle w:val="FootnoteReference"/>
        </w:rPr>
        <w:footnoteRef/>
      </w:r>
      <w:r w:rsidR="00CD225A">
        <w:tab/>
      </w:r>
      <w:r w:rsidRPr="00CD225A">
        <w:t>[1977] 1 WLR 132 at 141B-D</w:t>
      </w:r>
    </w:p>
  </w:footnote>
  <w:footnote w:id="94">
    <w:p w14:paraId="4AB341D1" w14:textId="77777777" w:rsidR="00404725" w:rsidRPr="00CD225A" w:rsidRDefault="00404725" w:rsidP="00CD225A">
      <w:pPr>
        <w:pStyle w:val="FootnoteText"/>
        <w:tabs>
          <w:tab w:val="left" w:pos="270"/>
        </w:tabs>
        <w:ind w:left="270" w:hanging="270"/>
      </w:pPr>
      <w:r w:rsidRPr="00CD225A">
        <w:rPr>
          <w:rStyle w:val="FootnoteReference"/>
        </w:rPr>
        <w:footnoteRef/>
      </w:r>
      <w:r w:rsidR="00CD225A">
        <w:tab/>
      </w:r>
      <w:r w:rsidRPr="00CD225A">
        <w:t xml:space="preserve">[2022] HKDC 1184 at </w:t>
      </w:r>
      <w:r w:rsidRPr="00CD225A">
        <w:rPr>
          <w:rFonts w:eastAsia="PMingLiU"/>
          <w:lang w:eastAsia="zh-HK"/>
        </w:rPr>
        <w:t>§§26-37</w:t>
      </w:r>
    </w:p>
  </w:footnote>
  <w:footnote w:id="95">
    <w:p w14:paraId="59F0D31B" w14:textId="77777777" w:rsidR="00404725" w:rsidRPr="00CD225A" w:rsidRDefault="00404725" w:rsidP="00CD225A">
      <w:pPr>
        <w:pStyle w:val="FootnoteText"/>
        <w:tabs>
          <w:tab w:val="left" w:pos="270"/>
        </w:tabs>
        <w:ind w:left="270" w:hanging="270"/>
      </w:pPr>
      <w:r w:rsidRPr="00CD225A">
        <w:rPr>
          <w:rStyle w:val="FootnoteReference"/>
        </w:rPr>
        <w:footnoteRef/>
      </w:r>
      <w:r w:rsidR="00CD225A">
        <w:tab/>
      </w:r>
      <w:r w:rsidRPr="00CD225A">
        <w:t>[1/248-249]</w:t>
      </w:r>
    </w:p>
  </w:footnote>
  <w:footnote w:id="96">
    <w:p w14:paraId="06DF8708" w14:textId="77777777" w:rsidR="00404725" w:rsidRPr="00CD225A" w:rsidRDefault="00404725" w:rsidP="00CD225A">
      <w:pPr>
        <w:pStyle w:val="FootnoteText"/>
        <w:tabs>
          <w:tab w:val="left" w:pos="270"/>
        </w:tabs>
        <w:ind w:left="270" w:hanging="270"/>
      </w:pPr>
      <w:r w:rsidRPr="00CD225A">
        <w:rPr>
          <w:rStyle w:val="FootnoteReference"/>
        </w:rPr>
        <w:footnoteRef/>
      </w:r>
      <w:r w:rsidR="00CD225A">
        <w:tab/>
      </w:r>
      <w:r w:rsidRPr="00CD225A">
        <w:t>[1/203-204]</w:t>
      </w:r>
    </w:p>
  </w:footnote>
  <w:footnote w:id="97">
    <w:p w14:paraId="484BF7AD" w14:textId="77777777" w:rsidR="00404725" w:rsidRPr="00CD225A" w:rsidRDefault="00404725" w:rsidP="00CD225A">
      <w:pPr>
        <w:pStyle w:val="FootnoteText"/>
        <w:tabs>
          <w:tab w:val="left" w:pos="270"/>
        </w:tabs>
        <w:ind w:left="270" w:hanging="270"/>
        <w:rPr>
          <w:rFonts w:eastAsia="PMingLiU"/>
        </w:rPr>
      </w:pPr>
      <w:r w:rsidRPr="00CD225A">
        <w:rPr>
          <w:rStyle w:val="FootnoteReference"/>
          <w:rFonts w:eastAsia="PMingLiU"/>
        </w:rPr>
        <w:footnoteRef/>
      </w:r>
      <w:r w:rsidR="00CD225A">
        <w:rPr>
          <w:rFonts w:eastAsia="PMingLiU"/>
        </w:rPr>
        <w:tab/>
      </w:r>
      <w:r w:rsidRPr="00CD225A">
        <w:rPr>
          <w:rFonts w:eastAsia="PMingLiU"/>
        </w:rPr>
        <w:t>[1/203]</w:t>
      </w:r>
    </w:p>
  </w:footnote>
  <w:footnote w:id="98">
    <w:p w14:paraId="25698369" w14:textId="77777777" w:rsidR="00404725" w:rsidRPr="00CD225A" w:rsidRDefault="00404725" w:rsidP="00CD225A">
      <w:pPr>
        <w:pStyle w:val="FootnoteText"/>
        <w:tabs>
          <w:tab w:val="left" w:pos="270"/>
        </w:tabs>
        <w:ind w:left="270" w:hanging="270"/>
        <w:rPr>
          <w:rFonts w:eastAsia="PMingLiU"/>
        </w:rPr>
      </w:pPr>
      <w:r w:rsidRPr="00CD225A">
        <w:rPr>
          <w:rStyle w:val="FootnoteReference"/>
          <w:rFonts w:eastAsia="PMingLiU"/>
        </w:rPr>
        <w:footnoteRef/>
      </w:r>
      <w:r w:rsidR="00CD225A">
        <w:rPr>
          <w:rFonts w:eastAsia="PMingLiU"/>
        </w:rPr>
        <w:tab/>
      </w:r>
      <w:r w:rsidRPr="00CD225A">
        <w:rPr>
          <w:rFonts w:eastAsia="PMingLiU"/>
        </w:rPr>
        <w:t>[1/321-1]</w:t>
      </w:r>
    </w:p>
  </w:footnote>
  <w:footnote w:id="99">
    <w:p w14:paraId="5BE32BA2" w14:textId="77777777" w:rsidR="00404725" w:rsidRPr="00CD225A" w:rsidRDefault="00404725" w:rsidP="00CD225A">
      <w:pPr>
        <w:pStyle w:val="FootnoteText"/>
        <w:tabs>
          <w:tab w:val="left" w:pos="270"/>
        </w:tabs>
        <w:ind w:left="270" w:hanging="270"/>
        <w:rPr>
          <w:rFonts w:eastAsia="PMingLiU"/>
        </w:rPr>
      </w:pPr>
      <w:r w:rsidRPr="00CD225A">
        <w:rPr>
          <w:rStyle w:val="FootnoteReference"/>
          <w:rFonts w:eastAsia="PMingLiU"/>
        </w:rPr>
        <w:footnoteRef/>
      </w:r>
      <w:r w:rsidR="00CD225A">
        <w:rPr>
          <w:rFonts w:eastAsia="PMingLiU"/>
        </w:rPr>
        <w:tab/>
      </w:r>
      <w:r w:rsidRPr="00CD225A">
        <w:rPr>
          <w:rFonts w:eastAsia="PMingLiU"/>
        </w:rPr>
        <w:t>[1/244-245]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A05DD" w14:textId="77777777" w:rsidR="00404725" w:rsidRDefault="00404725">
    <w:pPr>
      <w:pStyle w:val="Header"/>
    </w:pPr>
    <w:r>
      <w:rPr>
        <w:noProof/>
        <w:sz w:val="20"/>
      </w:rPr>
      <mc:AlternateContent>
        <mc:Choice Requires="wps">
          <w:drawing>
            <wp:anchor distT="0" distB="0" distL="114300" distR="114300" simplePos="0" relativeHeight="251656192" behindDoc="0" locked="0" layoutInCell="0" allowOverlap="1" wp14:anchorId="305A4B2B" wp14:editId="13027CC0">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7978B3" w14:textId="77777777" w:rsidR="00404725" w:rsidRDefault="00404725">
                          <w:pPr>
                            <w:rPr>
                              <w:b/>
                              <w:sz w:val="20"/>
                            </w:rPr>
                          </w:pPr>
                          <w:r>
                            <w:rPr>
                              <w:rFonts w:hint="eastAsia"/>
                              <w:b/>
                              <w:sz w:val="20"/>
                            </w:rPr>
                            <w:t>A</w:t>
                          </w:r>
                        </w:p>
                        <w:p w14:paraId="451858DF" w14:textId="77777777" w:rsidR="00404725" w:rsidRDefault="00404725">
                          <w:pPr>
                            <w:rPr>
                              <w:b/>
                              <w:sz w:val="10"/>
                            </w:rPr>
                          </w:pPr>
                        </w:p>
                        <w:p w14:paraId="521647F0" w14:textId="77777777" w:rsidR="00404725" w:rsidRDefault="00404725">
                          <w:pPr>
                            <w:rPr>
                              <w:b/>
                              <w:sz w:val="16"/>
                            </w:rPr>
                          </w:pPr>
                        </w:p>
                        <w:p w14:paraId="3BD2B5BA" w14:textId="77777777" w:rsidR="00404725" w:rsidRDefault="00404725">
                          <w:pPr>
                            <w:rPr>
                              <w:b/>
                              <w:sz w:val="16"/>
                            </w:rPr>
                          </w:pPr>
                        </w:p>
                        <w:p w14:paraId="1D927DDC" w14:textId="77777777" w:rsidR="00404725" w:rsidRDefault="00404725">
                          <w:pPr>
                            <w:rPr>
                              <w:b/>
                              <w:sz w:val="20"/>
                            </w:rPr>
                          </w:pPr>
                          <w:r>
                            <w:rPr>
                              <w:rFonts w:hint="eastAsia"/>
                              <w:b/>
                              <w:sz w:val="20"/>
                            </w:rPr>
                            <w:t>B</w:t>
                          </w:r>
                        </w:p>
                        <w:p w14:paraId="17F319DF" w14:textId="77777777" w:rsidR="00404725" w:rsidRDefault="00404725">
                          <w:pPr>
                            <w:rPr>
                              <w:b/>
                              <w:sz w:val="10"/>
                            </w:rPr>
                          </w:pPr>
                        </w:p>
                        <w:p w14:paraId="64343549" w14:textId="77777777" w:rsidR="00404725" w:rsidRDefault="00404725">
                          <w:pPr>
                            <w:rPr>
                              <w:b/>
                              <w:sz w:val="16"/>
                            </w:rPr>
                          </w:pPr>
                        </w:p>
                        <w:p w14:paraId="41ED10FA" w14:textId="77777777" w:rsidR="00404725" w:rsidRDefault="00404725">
                          <w:pPr>
                            <w:rPr>
                              <w:b/>
                              <w:sz w:val="16"/>
                            </w:rPr>
                          </w:pPr>
                        </w:p>
                        <w:p w14:paraId="3EB13065" w14:textId="77777777" w:rsidR="00404725" w:rsidRDefault="00404725">
                          <w:pPr>
                            <w:rPr>
                              <w:b/>
                              <w:sz w:val="16"/>
                            </w:rPr>
                          </w:pPr>
                          <w:r>
                            <w:rPr>
                              <w:rFonts w:hint="eastAsia"/>
                              <w:b/>
                              <w:sz w:val="20"/>
                            </w:rPr>
                            <w:t>C</w:t>
                          </w:r>
                        </w:p>
                        <w:p w14:paraId="2E9A69E9" w14:textId="77777777" w:rsidR="00404725" w:rsidRDefault="00404725">
                          <w:pPr>
                            <w:rPr>
                              <w:b/>
                              <w:sz w:val="10"/>
                            </w:rPr>
                          </w:pPr>
                        </w:p>
                        <w:p w14:paraId="74DDD39A" w14:textId="77777777" w:rsidR="00404725" w:rsidRDefault="00404725">
                          <w:pPr>
                            <w:rPr>
                              <w:b/>
                              <w:sz w:val="16"/>
                            </w:rPr>
                          </w:pPr>
                        </w:p>
                        <w:p w14:paraId="7D0BB17A" w14:textId="77777777" w:rsidR="00404725" w:rsidRDefault="00404725">
                          <w:pPr>
                            <w:rPr>
                              <w:b/>
                              <w:sz w:val="16"/>
                            </w:rPr>
                          </w:pPr>
                        </w:p>
                        <w:p w14:paraId="44A4A34F" w14:textId="77777777" w:rsidR="00404725" w:rsidRDefault="00404725">
                          <w:pPr>
                            <w:pStyle w:val="Heading2"/>
                            <w:rPr>
                              <w:sz w:val="16"/>
                            </w:rPr>
                          </w:pPr>
                          <w:r>
                            <w:rPr>
                              <w:rFonts w:hint="eastAsia"/>
                            </w:rPr>
                            <w:t>D</w:t>
                          </w:r>
                        </w:p>
                        <w:p w14:paraId="7B19EFA1" w14:textId="77777777" w:rsidR="00404725" w:rsidRDefault="00404725">
                          <w:pPr>
                            <w:rPr>
                              <w:b/>
                              <w:sz w:val="10"/>
                            </w:rPr>
                          </w:pPr>
                        </w:p>
                        <w:p w14:paraId="2D0ADCD7" w14:textId="77777777" w:rsidR="00404725" w:rsidRDefault="00404725">
                          <w:pPr>
                            <w:rPr>
                              <w:b/>
                              <w:sz w:val="16"/>
                            </w:rPr>
                          </w:pPr>
                        </w:p>
                        <w:p w14:paraId="14C6E692" w14:textId="77777777" w:rsidR="00404725" w:rsidRDefault="00404725">
                          <w:pPr>
                            <w:rPr>
                              <w:b/>
                              <w:sz w:val="16"/>
                            </w:rPr>
                          </w:pPr>
                        </w:p>
                        <w:p w14:paraId="2D8826F0" w14:textId="77777777" w:rsidR="00404725" w:rsidRDefault="00404725">
                          <w:pPr>
                            <w:rPr>
                              <w:b/>
                              <w:sz w:val="16"/>
                            </w:rPr>
                          </w:pPr>
                          <w:r>
                            <w:rPr>
                              <w:rFonts w:hint="eastAsia"/>
                              <w:b/>
                              <w:sz w:val="20"/>
                            </w:rPr>
                            <w:t>E</w:t>
                          </w:r>
                        </w:p>
                        <w:p w14:paraId="5B4A8BFE" w14:textId="77777777" w:rsidR="00404725" w:rsidRDefault="00404725">
                          <w:pPr>
                            <w:rPr>
                              <w:b/>
                              <w:sz w:val="10"/>
                            </w:rPr>
                          </w:pPr>
                        </w:p>
                        <w:p w14:paraId="55E98210" w14:textId="77777777" w:rsidR="00404725" w:rsidRDefault="00404725">
                          <w:pPr>
                            <w:rPr>
                              <w:b/>
                              <w:sz w:val="16"/>
                            </w:rPr>
                          </w:pPr>
                        </w:p>
                        <w:p w14:paraId="7A2F8423" w14:textId="77777777" w:rsidR="00404725" w:rsidRDefault="00404725">
                          <w:pPr>
                            <w:rPr>
                              <w:b/>
                              <w:sz w:val="16"/>
                            </w:rPr>
                          </w:pPr>
                        </w:p>
                        <w:p w14:paraId="0BED3B3D" w14:textId="77777777" w:rsidR="00404725" w:rsidRDefault="00404725">
                          <w:pPr>
                            <w:rPr>
                              <w:b/>
                              <w:sz w:val="20"/>
                            </w:rPr>
                          </w:pPr>
                          <w:r>
                            <w:rPr>
                              <w:rFonts w:hint="eastAsia"/>
                              <w:b/>
                              <w:sz w:val="20"/>
                            </w:rPr>
                            <w:t>F</w:t>
                          </w:r>
                        </w:p>
                        <w:p w14:paraId="270644D7" w14:textId="77777777" w:rsidR="00404725" w:rsidRDefault="00404725">
                          <w:pPr>
                            <w:rPr>
                              <w:b/>
                              <w:sz w:val="10"/>
                            </w:rPr>
                          </w:pPr>
                        </w:p>
                        <w:p w14:paraId="368BAFFE" w14:textId="77777777" w:rsidR="00404725" w:rsidRDefault="00404725">
                          <w:pPr>
                            <w:rPr>
                              <w:b/>
                              <w:sz w:val="16"/>
                            </w:rPr>
                          </w:pPr>
                        </w:p>
                        <w:p w14:paraId="27EB6C7B" w14:textId="77777777" w:rsidR="00404725" w:rsidRDefault="00404725">
                          <w:pPr>
                            <w:rPr>
                              <w:b/>
                              <w:sz w:val="16"/>
                            </w:rPr>
                          </w:pPr>
                        </w:p>
                        <w:p w14:paraId="0DAD6FEC" w14:textId="77777777" w:rsidR="00404725" w:rsidRDefault="00404725">
                          <w:pPr>
                            <w:rPr>
                              <w:b/>
                              <w:sz w:val="16"/>
                            </w:rPr>
                          </w:pPr>
                          <w:r>
                            <w:rPr>
                              <w:rFonts w:hint="eastAsia"/>
                              <w:b/>
                              <w:sz w:val="20"/>
                            </w:rPr>
                            <w:t>G</w:t>
                          </w:r>
                        </w:p>
                        <w:p w14:paraId="51AB5DEA" w14:textId="77777777" w:rsidR="00404725" w:rsidRDefault="00404725">
                          <w:pPr>
                            <w:rPr>
                              <w:b/>
                              <w:sz w:val="10"/>
                            </w:rPr>
                          </w:pPr>
                        </w:p>
                        <w:p w14:paraId="363EC827" w14:textId="77777777" w:rsidR="00404725" w:rsidRDefault="00404725">
                          <w:pPr>
                            <w:rPr>
                              <w:b/>
                              <w:sz w:val="16"/>
                            </w:rPr>
                          </w:pPr>
                        </w:p>
                        <w:p w14:paraId="21915A75" w14:textId="77777777" w:rsidR="00404725" w:rsidRDefault="00404725">
                          <w:pPr>
                            <w:rPr>
                              <w:b/>
                              <w:sz w:val="16"/>
                            </w:rPr>
                          </w:pPr>
                        </w:p>
                        <w:p w14:paraId="60480F9F" w14:textId="77777777" w:rsidR="00404725" w:rsidRDefault="00404725">
                          <w:pPr>
                            <w:rPr>
                              <w:b/>
                              <w:sz w:val="16"/>
                            </w:rPr>
                          </w:pPr>
                          <w:r>
                            <w:rPr>
                              <w:rFonts w:hint="eastAsia"/>
                              <w:b/>
                              <w:sz w:val="20"/>
                            </w:rPr>
                            <w:t>H</w:t>
                          </w:r>
                        </w:p>
                        <w:p w14:paraId="478C2DCA" w14:textId="77777777" w:rsidR="00404725" w:rsidRDefault="00404725">
                          <w:pPr>
                            <w:rPr>
                              <w:b/>
                              <w:sz w:val="10"/>
                            </w:rPr>
                          </w:pPr>
                        </w:p>
                        <w:p w14:paraId="67C56EDB" w14:textId="77777777" w:rsidR="00404725" w:rsidRDefault="00404725">
                          <w:pPr>
                            <w:rPr>
                              <w:b/>
                              <w:sz w:val="16"/>
                            </w:rPr>
                          </w:pPr>
                        </w:p>
                        <w:p w14:paraId="1C3AA48C" w14:textId="77777777" w:rsidR="00404725" w:rsidRDefault="00404725">
                          <w:pPr>
                            <w:rPr>
                              <w:b/>
                              <w:sz w:val="16"/>
                            </w:rPr>
                          </w:pPr>
                        </w:p>
                        <w:p w14:paraId="10C7524C" w14:textId="77777777" w:rsidR="00404725" w:rsidRDefault="00404725">
                          <w:pPr>
                            <w:rPr>
                              <w:b/>
                              <w:sz w:val="16"/>
                            </w:rPr>
                          </w:pPr>
                          <w:r>
                            <w:rPr>
                              <w:rFonts w:hint="eastAsia"/>
                              <w:b/>
                              <w:sz w:val="20"/>
                            </w:rPr>
                            <w:t>I</w:t>
                          </w:r>
                        </w:p>
                        <w:p w14:paraId="49ACF35E" w14:textId="77777777" w:rsidR="00404725" w:rsidRDefault="00404725">
                          <w:pPr>
                            <w:rPr>
                              <w:b/>
                              <w:sz w:val="10"/>
                            </w:rPr>
                          </w:pPr>
                        </w:p>
                        <w:p w14:paraId="0B013B1D" w14:textId="77777777" w:rsidR="00404725" w:rsidRDefault="00404725">
                          <w:pPr>
                            <w:rPr>
                              <w:b/>
                              <w:sz w:val="16"/>
                            </w:rPr>
                          </w:pPr>
                        </w:p>
                        <w:p w14:paraId="49457278" w14:textId="77777777" w:rsidR="00404725" w:rsidRDefault="00404725">
                          <w:pPr>
                            <w:rPr>
                              <w:b/>
                              <w:sz w:val="16"/>
                            </w:rPr>
                          </w:pPr>
                        </w:p>
                        <w:p w14:paraId="08454282" w14:textId="77777777" w:rsidR="00404725" w:rsidRDefault="00404725">
                          <w:pPr>
                            <w:rPr>
                              <w:b/>
                              <w:sz w:val="16"/>
                            </w:rPr>
                          </w:pPr>
                          <w:r>
                            <w:rPr>
                              <w:rFonts w:hint="eastAsia"/>
                              <w:b/>
                              <w:sz w:val="20"/>
                            </w:rPr>
                            <w:t>J</w:t>
                          </w:r>
                        </w:p>
                        <w:p w14:paraId="641531B1" w14:textId="77777777" w:rsidR="00404725" w:rsidRDefault="00404725">
                          <w:pPr>
                            <w:rPr>
                              <w:b/>
                              <w:sz w:val="10"/>
                            </w:rPr>
                          </w:pPr>
                        </w:p>
                        <w:p w14:paraId="1C20438C" w14:textId="77777777" w:rsidR="00404725" w:rsidRDefault="00404725">
                          <w:pPr>
                            <w:rPr>
                              <w:b/>
                              <w:sz w:val="16"/>
                            </w:rPr>
                          </w:pPr>
                        </w:p>
                        <w:p w14:paraId="1CCC0916" w14:textId="77777777" w:rsidR="00404725" w:rsidRDefault="00404725">
                          <w:pPr>
                            <w:rPr>
                              <w:b/>
                              <w:sz w:val="16"/>
                            </w:rPr>
                          </w:pPr>
                        </w:p>
                        <w:p w14:paraId="5A853F72" w14:textId="77777777" w:rsidR="00404725" w:rsidRDefault="00404725">
                          <w:pPr>
                            <w:rPr>
                              <w:b/>
                              <w:sz w:val="16"/>
                            </w:rPr>
                          </w:pPr>
                          <w:r>
                            <w:rPr>
                              <w:rFonts w:hint="eastAsia"/>
                              <w:b/>
                              <w:sz w:val="20"/>
                            </w:rPr>
                            <w:t>K</w:t>
                          </w:r>
                        </w:p>
                        <w:p w14:paraId="44DFE9EE" w14:textId="77777777" w:rsidR="00404725" w:rsidRDefault="00404725">
                          <w:pPr>
                            <w:rPr>
                              <w:b/>
                              <w:sz w:val="10"/>
                            </w:rPr>
                          </w:pPr>
                        </w:p>
                        <w:p w14:paraId="5D1E306B" w14:textId="77777777" w:rsidR="00404725" w:rsidRDefault="00404725">
                          <w:pPr>
                            <w:rPr>
                              <w:b/>
                              <w:sz w:val="16"/>
                            </w:rPr>
                          </w:pPr>
                        </w:p>
                        <w:p w14:paraId="6A34545B" w14:textId="77777777" w:rsidR="00404725" w:rsidRDefault="00404725">
                          <w:pPr>
                            <w:rPr>
                              <w:b/>
                              <w:sz w:val="16"/>
                            </w:rPr>
                          </w:pPr>
                        </w:p>
                        <w:p w14:paraId="74951EF1" w14:textId="77777777" w:rsidR="00404725" w:rsidRDefault="00404725">
                          <w:pPr>
                            <w:rPr>
                              <w:b/>
                              <w:sz w:val="16"/>
                            </w:rPr>
                          </w:pPr>
                          <w:r>
                            <w:rPr>
                              <w:rFonts w:hint="eastAsia"/>
                              <w:b/>
                              <w:sz w:val="20"/>
                            </w:rPr>
                            <w:t>L</w:t>
                          </w:r>
                        </w:p>
                        <w:p w14:paraId="17D0F55F" w14:textId="77777777" w:rsidR="00404725" w:rsidRDefault="00404725">
                          <w:pPr>
                            <w:rPr>
                              <w:b/>
                              <w:sz w:val="10"/>
                            </w:rPr>
                          </w:pPr>
                        </w:p>
                        <w:p w14:paraId="4661EDB1" w14:textId="77777777" w:rsidR="00404725" w:rsidRDefault="00404725">
                          <w:pPr>
                            <w:rPr>
                              <w:b/>
                              <w:sz w:val="16"/>
                            </w:rPr>
                          </w:pPr>
                        </w:p>
                        <w:p w14:paraId="35E87146" w14:textId="77777777" w:rsidR="00404725" w:rsidRDefault="00404725">
                          <w:pPr>
                            <w:rPr>
                              <w:b/>
                              <w:sz w:val="16"/>
                            </w:rPr>
                          </w:pPr>
                        </w:p>
                        <w:p w14:paraId="314E5955" w14:textId="77777777" w:rsidR="00404725" w:rsidRDefault="00404725">
                          <w:pPr>
                            <w:rPr>
                              <w:b/>
                              <w:sz w:val="16"/>
                            </w:rPr>
                          </w:pPr>
                          <w:r>
                            <w:rPr>
                              <w:rFonts w:hint="eastAsia"/>
                              <w:b/>
                              <w:sz w:val="20"/>
                            </w:rPr>
                            <w:t>M</w:t>
                          </w:r>
                        </w:p>
                        <w:p w14:paraId="25C5CF9F" w14:textId="77777777" w:rsidR="00404725" w:rsidRDefault="00404725">
                          <w:pPr>
                            <w:rPr>
                              <w:b/>
                              <w:sz w:val="10"/>
                            </w:rPr>
                          </w:pPr>
                        </w:p>
                        <w:p w14:paraId="30BAD404" w14:textId="77777777" w:rsidR="00404725" w:rsidRDefault="00404725">
                          <w:pPr>
                            <w:rPr>
                              <w:b/>
                              <w:sz w:val="16"/>
                            </w:rPr>
                          </w:pPr>
                        </w:p>
                        <w:p w14:paraId="0A645B59" w14:textId="77777777" w:rsidR="00404725" w:rsidRDefault="00404725">
                          <w:pPr>
                            <w:rPr>
                              <w:b/>
                              <w:sz w:val="16"/>
                            </w:rPr>
                          </w:pPr>
                        </w:p>
                        <w:p w14:paraId="47111A28" w14:textId="77777777" w:rsidR="00404725" w:rsidRDefault="00404725">
                          <w:pPr>
                            <w:rPr>
                              <w:b/>
                              <w:sz w:val="16"/>
                            </w:rPr>
                          </w:pPr>
                          <w:r>
                            <w:rPr>
                              <w:rFonts w:hint="eastAsia"/>
                              <w:b/>
                              <w:sz w:val="20"/>
                            </w:rPr>
                            <w:t>N</w:t>
                          </w:r>
                        </w:p>
                        <w:p w14:paraId="76254C8A" w14:textId="77777777" w:rsidR="00404725" w:rsidRDefault="00404725">
                          <w:pPr>
                            <w:rPr>
                              <w:b/>
                              <w:sz w:val="10"/>
                            </w:rPr>
                          </w:pPr>
                        </w:p>
                        <w:p w14:paraId="0FF64C70" w14:textId="77777777" w:rsidR="00404725" w:rsidRDefault="00404725">
                          <w:pPr>
                            <w:rPr>
                              <w:b/>
                              <w:sz w:val="16"/>
                            </w:rPr>
                          </w:pPr>
                        </w:p>
                        <w:p w14:paraId="76DF135D" w14:textId="77777777" w:rsidR="00404725" w:rsidRDefault="00404725">
                          <w:pPr>
                            <w:rPr>
                              <w:b/>
                              <w:sz w:val="16"/>
                            </w:rPr>
                          </w:pPr>
                        </w:p>
                        <w:p w14:paraId="66F6DD34" w14:textId="77777777" w:rsidR="00404725" w:rsidRDefault="00404725">
                          <w:pPr>
                            <w:rPr>
                              <w:b/>
                              <w:sz w:val="16"/>
                            </w:rPr>
                          </w:pPr>
                          <w:r>
                            <w:rPr>
                              <w:rFonts w:hint="eastAsia"/>
                              <w:b/>
                              <w:sz w:val="20"/>
                            </w:rPr>
                            <w:t>O</w:t>
                          </w:r>
                        </w:p>
                        <w:p w14:paraId="27910F00" w14:textId="77777777" w:rsidR="00404725" w:rsidRDefault="00404725">
                          <w:pPr>
                            <w:rPr>
                              <w:b/>
                              <w:sz w:val="10"/>
                            </w:rPr>
                          </w:pPr>
                        </w:p>
                        <w:p w14:paraId="02F93730" w14:textId="77777777" w:rsidR="00404725" w:rsidRDefault="00404725">
                          <w:pPr>
                            <w:rPr>
                              <w:b/>
                              <w:sz w:val="16"/>
                            </w:rPr>
                          </w:pPr>
                        </w:p>
                        <w:p w14:paraId="2DC6EB27" w14:textId="77777777" w:rsidR="00404725" w:rsidRDefault="00404725">
                          <w:pPr>
                            <w:rPr>
                              <w:b/>
                              <w:sz w:val="16"/>
                            </w:rPr>
                          </w:pPr>
                        </w:p>
                        <w:p w14:paraId="43381249" w14:textId="77777777" w:rsidR="00404725" w:rsidRDefault="00404725">
                          <w:pPr>
                            <w:rPr>
                              <w:b/>
                              <w:sz w:val="16"/>
                            </w:rPr>
                          </w:pPr>
                          <w:r>
                            <w:rPr>
                              <w:rFonts w:hint="eastAsia"/>
                              <w:b/>
                              <w:sz w:val="20"/>
                            </w:rPr>
                            <w:t>P</w:t>
                          </w:r>
                        </w:p>
                        <w:p w14:paraId="59224034" w14:textId="77777777" w:rsidR="00404725" w:rsidRDefault="00404725">
                          <w:pPr>
                            <w:rPr>
                              <w:b/>
                              <w:sz w:val="10"/>
                            </w:rPr>
                          </w:pPr>
                        </w:p>
                        <w:p w14:paraId="1205E1E3" w14:textId="77777777" w:rsidR="00404725" w:rsidRDefault="00404725">
                          <w:pPr>
                            <w:rPr>
                              <w:b/>
                              <w:sz w:val="16"/>
                            </w:rPr>
                          </w:pPr>
                        </w:p>
                        <w:p w14:paraId="06B77086" w14:textId="77777777" w:rsidR="00404725" w:rsidRDefault="00404725">
                          <w:pPr>
                            <w:rPr>
                              <w:b/>
                              <w:sz w:val="16"/>
                            </w:rPr>
                          </w:pPr>
                        </w:p>
                        <w:p w14:paraId="46647ADA" w14:textId="77777777" w:rsidR="00404725" w:rsidRDefault="00404725">
                          <w:pPr>
                            <w:rPr>
                              <w:b/>
                              <w:sz w:val="16"/>
                            </w:rPr>
                          </w:pPr>
                          <w:r>
                            <w:rPr>
                              <w:rFonts w:hint="eastAsia"/>
                              <w:b/>
                              <w:sz w:val="20"/>
                            </w:rPr>
                            <w:t>Q</w:t>
                          </w:r>
                        </w:p>
                        <w:p w14:paraId="17C9E38D" w14:textId="77777777" w:rsidR="00404725" w:rsidRDefault="00404725">
                          <w:pPr>
                            <w:rPr>
                              <w:b/>
                              <w:sz w:val="10"/>
                            </w:rPr>
                          </w:pPr>
                        </w:p>
                        <w:p w14:paraId="372B5058" w14:textId="77777777" w:rsidR="00404725" w:rsidRDefault="00404725">
                          <w:pPr>
                            <w:rPr>
                              <w:b/>
                              <w:sz w:val="16"/>
                            </w:rPr>
                          </w:pPr>
                        </w:p>
                        <w:p w14:paraId="13B61BAF" w14:textId="77777777" w:rsidR="00404725" w:rsidRDefault="00404725">
                          <w:pPr>
                            <w:rPr>
                              <w:b/>
                              <w:sz w:val="16"/>
                            </w:rPr>
                          </w:pPr>
                        </w:p>
                        <w:p w14:paraId="4C50C8A3" w14:textId="77777777" w:rsidR="00404725" w:rsidRDefault="00404725">
                          <w:pPr>
                            <w:rPr>
                              <w:b/>
                              <w:sz w:val="16"/>
                            </w:rPr>
                          </w:pPr>
                          <w:r>
                            <w:rPr>
                              <w:rFonts w:hint="eastAsia"/>
                              <w:b/>
                              <w:sz w:val="20"/>
                            </w:rPr>
                            <w:t>R</w:t>
                          </w:r>
                        </w:p>
                        <w:p w14:paraId="522DFAAB" w14:textId="77777777" w:rsidR="00404725" w:rsidRDefault="00404725">
                          <w:pPr>
                            <w:rPr>
                              <w:b/>
                              <w:sz w:val="10"/>
                            </w:rPr>
                          </w:pPr>
                        </w:p>
                        <w:p w14:paraId="48F649B6" w14:textId="77777777" w:rsidR="00404725" w:rsidRDefault="00404725">
                          <w:pPr>
                            <w:rPr>
                              <w:b/>
                              <w:sz w:val="16"/>
                            </w:rPr>
                          </w:pPr>
                        </w:p>
                        <w:p w14:paraId="2B76B1EC" w14:textId="77777777" w:rsidR="00404725" w:rsidRDefault="00404725">
                          <w:pPr>
                            <w:rPr>
                              <w:b/>
                              <w:sz w:val="16"/>
                            </w:rPr>
                          </w:pPr>
                        </w:p>
                        <w:p w14:paraId="0394664E" w14:textId="77777777" w:rsidR="00404725" w:rsidRDefault="00404725">
                          <w:pPr>
                            <w:rPr>
                              <w:b/>
                              <w:sz w:val="16"/>
                            </w:rPr>
                          </w:pPr>
                          <w:r>
                            <w:rPr>
                              <w:rFonts w:hint="eastAsia"/>
                              <w:b/>
                              <w:sz w:val="20"/>
                            </w:rPr>
                            <w:t>S</w:t>
                          </w:r>
                        </w:p>
                        <w:p w14:paraId="6F258152" w14:textId="77777777" w:rsidR="00404725" w:rsidRDefault="00404725">
                          <w:pPr>
                            <w:rPr>
                              <w:b/>
                              <w:sz w:val="10"/>
                            </w:rPr>
                          </w:pPr>
                        </w:p>
                        <w:p w14:paraId="0CDF0F78" w14:textId="77777777" w:rsidR="00404725" w:rsidRDefault="00404725">
                          <w:pPr>
                            <w:rPr>
                              <w:b/>
                              <w:sz w:val="16"/>
                            </w:rPr>
                          </w:pPr>
                        </w:p>
                        <w:p w14:paraId="646118A0" w14:textId="77777777" w:rsidR="00404725" w:rsidRDefault="00404725">
                          <w:pPr>
                            <w:rPr>
                              <w:b/>
                              <w:sz w:val="16"/>
                            </w:rPr>
                          </w:pPr>
                        </w:p>
                        <w:p w14:paraId="7BFAAE81" w14:textId="77777777" w:rsidR="00404725" w:rsidRDefault="00404725">
                          <w:pPr>
                            <w:rPr>
                              <w:b/>
                              <w:sz w:val="16"/>
                            </w:rPr>
                          </w:pPr>
                          <w:r>
                            <w:rPr>
                              <w:rFonts w:hint="eastAsia"/>
                              <w:b/>
                              <w:sz w:val="20"/>
                            </w:rPr>
                            <w:t>T</w:t>
                          </w:r>
                        </w:p>
                        <w:p w14:paraId="5B0578C8" w14:textId="77777777" w:rsidR="00404725" w:rsidRDefault="00404725">
                          <w:pPr>
                            <w:rPr>
                              <w:b/>
                              <w:sz w:val="10"/>
                            </w:rPr>
                          </w:pPr>
                        </w:p>
                        <w:p w14:paraId="7BF77C7A" w14:textId="77777777" w:rsidR="00404725" w:rsidRDefault="00404725">
                          <w:pPr>
                            <w:rPr>
                              <w:b/>
                              <w:sz w:val="16"/>
                            </w:rPr>
                          </w:pPr>
                        </w:p>
                        <w:p w14:paraId="606F3CC5" w14:textId="77777777" w:rsidR="00404725" w:rsidRDefault="00404725">
                          <w:pPr>
                            <w:rPr>
                              <w:b/>
                              <w:sz w:val="16"/>
                            </w:rPr>
                          </w:pPr>
                        </w:p>
                        <w:p w14:paraId="267B3380" w14:textId="77777777" w:rsidR="00404725" w:rsidRDefault="00404725">
                          <w:pPr>
                            <w:rPr>
                              <w:b/>
                              <w:sz w:val="16"/>
                            </w:rPr>
                          </w:pPr>
                          <w:r>
                            <w:rPr>
                              <w:rFonts w:hint="eastAsia"/>
                              <w:b/>
                              <w:sz w:val="20"/>
                            </w:rPr>
                            <w:t>U</w:t>
                          </w:r>
                        </w:p>
                        <w:p w14:paraId="5F73787C" w14:textId="77777777" w:rsidR="00404725" w:rsidRDefault="00404725">
                          <w:pPr>
                            <w:rPr>
                              <w:b/>
                              <w:sz w:val="10"/>
                            </w:rPr>
                          </w:pPr>
                        </w:p>
                        <w:p w14:paraId="6BE215B8" w14:textId="77777777" w:rsidR="00404725" w:rsidRDefault="00404725">
                          <w:pPr>
                            <w:rPr>
                              <w:b/>
                              <w:sz w:val="16"/>
                            </w:rPr>
                          </w:pPr>
                        </w:p>
                        <w:p w14:paraId="5B682A87" w14:textId="77777777" w:rsidR="00404725" w:rsidRDefault="00404725">
                          <w:pPr>
                            <w:rPr>
                              <w:b/>
                              <w:sz w:val="16"/>
                            </w:rPr>
                          </w:pPr>
                        </w:p>
                        <w:p w14:paraId="46347275" w14:textId="77777777" w:rsidR="00404725" w:rsidRDefault="00404725">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404725" w:rsidRDefault="00404725">
                    <w:pPr>
                      <w:rPr>
                        <w:b/>
                        <w:sz w:val="20"/>
                      </w:rPr>
                    </w:pPr>
                    <w:r>
                      <w:rPr>
                        <w:rFonts w:hint="eastAsia"/>
                        <w:b/>
                        <w:sz w:val="20"/>
                      </w:rPr>
                      <w:t>A</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20"/>
                      </w:rPr>
                    </w:pPr>
                    <w:r>
                      <w:rPr>
                        <w:rFonts w:hint="eastAsia"/>
                        <w:b/>
                        <w:sz w:val="20"/>
                      </w:rPr>
                      <w:t>B</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C</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pStyle w:val="Heading2"/>
                      <w:rPr>
                        <w:sz w:val="16"/>
                      </w:rPr>
                    </w:pPr>
                    <w:r>
                      <w:rPr>
                        <w:rFonts w:hint="eastAsia"/>
                      </w:rPr>
                      <w:t>D</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E</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20"/>
                      </w:rPr>
                    </w:pPr>
                    <w:r>
                      <w:rPr>
                        <w:rFonts w:hint="eastAsia"/>
                        <w:b/>
                        <w:sz w:val="20"/>
                      </w:rPr>
                      <w:t>F</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G</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H</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I</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J</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K</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L</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M</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N</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O</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P</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Q</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R</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S</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T</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U</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61789A34" wp14:editId="6AC0AF87">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E7D615" w14:textId="77777777" w:rsidR="00404725" w:rsidRDefault="00404725">
                          <w:pPr>
                            <w:rPr>
                              <w:b/>
                              <w:sz w:val="20"/>
                            </w:rPr>
                          </w:pPr>
                          <w:r>
                            <w:rPr>
                              <w:rFonts w:hint="eastAsia"/>
                              <w:b/>
                              <w:sz w:val="20"/>
                            </w:rPr>
                            <w:t>A</w:t>
                          </w:r>
                        </w:p>
                        <w:p w14:paraId="0B0CC8A3" w14:textId="77777777" w:rsidR="00404725" w:rsidRDefault="00404725">
                          <w:pPr>
                            <w:rPr>
                              <w:b/>
                              <w:sz w:val="10"/>
                            </w:rPr>
                          </w:pPr>
                        </w:p>
                        <w:p w14:paraId="0479C300" w14:textId="77777777" w:rsidR="00404725" w:rsidRDefault="00404725">
                          <w:pPr>
                            <w:rPr>
                              <w:b/>
                              <w:sz w:val="16"/>
                            </w:rPr>
                          </w:pPr>
                        </w:p>
                        <w:p w14:paraId="4E3A89CD" w14:textId="77777777" w:rsidR="00404725" w:rsidRDefault="00404725">
                          <w:pPr>
                            <w:rPr>
                              <w:b/>
                              <w:sz w:val="16"/>
                            </w:rPr>
                          </w:pPr>
                        </w:p>
                        <w:p w14:paraId="36C55D28" w14:textId="77777777" w:rsidR="00404725" w:rsidRDefault="00404725">
                          <w:pPr>
                            <w:rPr>
                              <w:b/>
                              <w:sz w:val="20"/>
                            </w:rPr>
                          </w:pPr>
                          <w:r>
                            <w:rPr>
                              <w:rFonts w:hint="eastAsia"/>
                              <w:b/>
                              <w:sz w:val="20"/>
                            </w:rPr>
                            <w:t>B</w:t>
                          </w:r>
                        </w:p>
                        <w:p w14:paraId="4C939FA5" w14:textId="77777777" w:rsidR="00404725" w:rsidRDefault="00404725">
                          <w:pPr>
                            <w:rPr>
                              <w:b/>
                              <w:sz w:val="10"/>
                            </w:rPr>
                          </w:pPr>
                        </w:p>
                        <w:p w14:paraId="56606E28" w14:textId="77777777" w:rsidR="00404725" w:rsidRDefault="00404725">
                          <w:pPr>
                            <w:rPr>
                              <w:b/>
                              <w:sz w:val="16"/>
                            </w:rPr>
                          </w:pPr>
                        </w:p>
                        <w:p w14:paraId="4C6EDFFA" w14:textId="77777777" w:rsidR="00404725" w:rsidRDefault="00404725">
                          <w:pPr>
                            <w:rPr>
                              <w:b/>
                              <w:sz w:val="16"/>
                            </w:rPr>
                          </w:pPr>
                        </w:p>
                        <w:p w14:paraId="549365CB" w14:textId="77777777" w:rsidR="00404725" w:rsidRDefault="00404725">
                          <w:pPr>
                            <w:rPr>
                              <w:b/>
                              <w:sz w:val="16"/>
                            </w:rPr>
                          </w:pPr>
                          <w:r>
                            <w:rPr>
                              <w:rFonts w:hint="eastAsia"/>
                              <w:b/>
                              <w:sz w:val="20"/>
                            </w:rPr>
                            <w:t>C</w:t>
                          </w:r>
                        </w:p>
                        <w:p w14:paraId="35B4ECC5" w14:textId="77777777" w:rsidR="00404725" w:rsidRDefault="00404725">
                          <w:pPr>
                            <w:rPr>
                              <w:b/>
                              <w:sz w:val="10"/>
                            </w:rPr>
                          </w:pPr>
                        </w:p>
                        <w:p w14:paraId="78EC1B1A" w14:textId="77777777" w:rsidR="00404725" w:rsidRDefault="00404725">
                          <w:pPr>
                            <w:rPr>
                              <w:b/>
                              <w:sz w:val="16"/>
                            </w:rPr>
                          </w:pPr>
                        </w:p>
                        <w:p w14:paraId="14D8B6F9" w14:textId="77777777" w:rsidR="00404725" w:rsidRDefault="00404725">
                          <w:pPr>
                            <w:rPr>
                              <w:b/>
                              <w:sz w:val="16"/>
                            </w:rPr>
                          </w:pPr>
                        </w:p>
                        <w:p w14:paraId="58F0321E" w14:textId="77777777" w:rsidR="00404725" w:rsidRDefault="00404725">
                          <w:pPr>
                            <w:pStyle w:val="Heading2"/>
                            <w:rPr>
                              <w:sz w:val="16"/>
                            </w:rPr>
                          </w:pPr>
                          <w:r>
                            <w:rPr>
                              <w:rFonts w:hint="eastAsia"/>
                            </w:rPr>
                            <w:t>D</w:t>
                          </w:r>
                        </w:p>
                        <w:p w14:paraId="11BF8391" w14:textId="77777777" w:rsidR="00404725" w:rsidRDefault="00404725">
                          <w:pPr>
                            <w:rPr>
                              <w:b/>
                              <w:sz w:val="10"/>
                            </w:rPr>
                          </w:pPr>
                        </w:p>
                        <w:p w14:paraId="7B26FCE8" w14:textId="77777777" w:rsidR="00404725" w:rsidRDefault="00404725">
                          <w:pPr>
                            <w:rPr>
                              <w:b/>
                              <w:sz w:val="16"/>
                            </w:rPr>
                          </w:pPr>
                        </w:p>
                        <w:p w14:paraId="21C14911" w14:textId="77777777" w:rsidR="00404725" w:rsidRDefault="00404725">
                          <w:pPr>
                            <w:rPr>
                              <w:b/>
                              <w:sz w:val="16"/>
                            </w:rPr>
                          </w:pPr>
                        </w:p>
                        <w:p w14:paraId="0F1CE386" w14:textId="77777777" w:rsidR="00404725" w:rsidRDefault="00404725">
                          <w:pPr>
                            <w:rPr>
                              <w:b/>
                              <w:sz w:val="16"/>
                            </w:rPr>
                          </w:pPr>
                          <w:r>
                            <w:rPr>
                              <w:rFonts w:hint="eastAsia"/>
                              <w:b/>
                              <w:sz w:val="20"/>
                            </w:rPr>
                            <w:t>E</w:t>
                          </w:r>
                        </w:p>
                        <w:p w14:paraId="6251570E" w14:textId="77777777" w:rsidR="00404725" w:rsidRDefault="00404725">
                          <w:pPr>
                            <w:rPr>
                              <w:b/>
                              <w:sz w:val="10"/>
                            </w:rPr>
                          </w:pPr>
                        </w:p>
                        <w:p w14:paraId="6585A9F2" w14:textId="77777777" w:rsidR="00404725" w:rsidRDefault="00404725">
                          <w:pPr>
                            <w:rPr>
                              <w:b/>
                              <w:sz w:val="16"/>
                            </w:rPr>
                          </w:pPr>
                        </w:p>
                        <w:p w14:paraId="53D59E67" w14:textId="77777777" w:rsidR="00404725" w:rsidRDefault="00404725">
                          <w:pPr>
                            <w:rPr>
                              <w:b/>
                              <w:sz w:val="16"/>
                            </w:rPr>
                          </w:pPr>
                        </w:p>
                        <w:p w14:paraId="452AA810" w14:textId="77777777" w:rsidR="00404725" w:rsidRDefault="00404725">
                          <w:pPr>
                            <w:rPr>
                              <w:b/>
                              <w:sz w:val="20"/>
                            </w:rPr>
                          </w:pPr>
                          <w:r>
                            <w:rPr>
                              <w:rFonts w:hint="eastAsia"/>
                              <w:b/>
                              <w:sz w:val="20"/>
                            </w:rPr>
                            <w:t>F</w:t>
                          </w:r>
                        </w:p>
                        <w:p w14:paraId="107E5511" w14:textId="77777777" w:rsidR="00404725" w:rsidRDefault="00404725">
                          <w:pPr>
                            <w:rPr>
                              <w:b/>
                              <w:sz w:val="10"/>
                            </w:rPr>
                          </w:pPr>
                        </w:p>
                        <w:p w14:paraId="59922C30" w14:textId="77777777" w:rsidR="00404725" w:rsidRDefault="00404725">
                          <w:pPr>
                            <w:rPr>
                              <w:b/>
                              <w:sz w:val="16"/>
                            </w:rPr>
                          </w:pPr>
                        </w:p>
                        <w:p w14:paraId="57B6246C" w14:textId="77777777" w:rsidR="00404725" w:rsidRDefault="00404725">
                          <w:pPr>
                            <w:rPr>
                              <w:b/>
                              <w:sz w:val="16"/>
                            </w:rPr>
                          </w:pPr>
                        </w:p>
                        <w:p w14:paraId="01A02E29" w14:textId="77777777" w:rsidR="00404725" w:rsidRDefault="00404725">
                          <w:pPr>
                            <w:rPr>
                              <w:b/>
                              <w:sz w:val="16"/>
                            </w:rPr>
                          </w:pPr>
                          <w:r>
                            <w:rPr>
                              <w:rFonts w:hint="eastAsia"/>
                              <w:b/>
                              <w:sz w:val="20"/>
                            </w:rPr>
                            <w:t>G</w:t>
                          </w:r>
                        </w:p>
                        <w:p w14:paraId="79179616" w14:textId="77777777" w:rsidR="00404725" w:rsidRDefault="00404725">
                          <w:pPr>
                            <w:rPr>
                              <w:b/>
                              <w:sz w:val="10"/>
                            </w:rPr>
                          </w:pPr>
                        </w:p>
                        <w:p w14:paraId="18E5B6DE" w14:textId="77777777" w:rsidR="00404725" w:rsidRDefault="00404725">
                          <w:pPr>
                            <w:rPr>
                              <w:b/>
                              <w:sz w:val="16"/>
                            </w:rPr>
                          </w:pPr>
                        </w:p>
                        <w:p w14:paraId="3FA51ED1" w14:textId="77777777" w:rsidR="00404725" w:rsidRDefault="00404725">
                          <w:pPr>
                            <w:rPr>
                              <w:b/>
                              <w:sz w:val="16"/>
                            </w:rPr>
                          </w:pPr>
                        </w:p>
                        <w:p w14:paraId="3C9C0C4C" w14:textId="77777777" w:rsidR="00404725" w:rsidRDefault="00404725">
                          <w:pPr>
                            <w:rPr>
                              <w:b/>
                              <w:sz w:val="16"/>
                            </w:rPr>
                          </w:pPr>
                          <w:r>
                            <w:rPr>
                              <w:rFonts w:hint="eastAsia"/>
                              <w:b/>
                              <w:sz w:val="20"/>
                            </w:rPr>
                            <w:t>H</w:t>
                          </w:r>
                        </w:p>
                        <w:p w14:paraId="49908751" w14:textId="77777777" w:rsidR="00404725" w:rsidRDefault="00404725">
                          <w:pPr>
                            <w:rPr>
                              <w:b/>
                              <w:sz w:val="10"/>
                            </w:rPr>
                          </w:pPr>
                        </w:p>
                        <w:p w14:paraId="48A401BF" w14:textId="77777777" w:rsidR="00404725" w:rsidRDefault="00404725">
                          <w:pPr>
                            <w:rPr>
                              <w:b/>
                              <w:sz w:val="16"/>
                            </w:rPr>
                          </w:pPr>
                        </w:p>
                        <w:p w14:paraId="56E3D5A0" w14:textId="77777777" w:rsidR="00404725" w:rsidRDefault="00404725">
                          <w:pPr>
                            <w:rPr>
                              <w:b/>
                              <w:sz w:val="16"/>
                            </w:rPr>
                          </w:pPr>
                        </w:p>
                        <w:p w14:paraId="7D8741C6" w14:textId="77777777" w:rsidR="00404725" w:rsidRDefault="00404725">
                          <w:pPr>
                            <w:rPr>
                              <w:b/>
                              <w:sz w:val="16"/>
                            </w:rPr>
                          </w:pPr>
                          <w:r>
                            <w:rPr>
                              <w:rFonts w:hint="eastAsia"/>
                              <w:b/>
                              <w:sz w:val="20"/>
                            </w:rPr>
                            <w:t>I</w:t>
                          </w:r>
                        </w:p>
                        <w:p w14:paraId="48F3434A" w14:textId="77777777" w:rsidR="00404725" w:rsidRDefault="00404725">
                          <w:pPr>
                            <w:rPr>
                              <w:b/>
                              <w:sz w:val="10"/>
                            </w:rPr>
                          </w:pPr>
                        </w:p>
                        <w:p w14:paraId="37693930" w14:textId="77777777" w:rsidR="00404725" w:rsidRDefault="00404725">
                          <w:pPr>
                            <w:rPr>
                              <w:b/>
                              <w:sz w:val="16"/>
                            </w:rPr>
                          </w:pPr>
                        </w:p>
                        <w:p w14:paraId="5AC3AEF7" w14:textId="77777777" w:rsidR="00404725" w:rsidRDefault="00404725">
                          <w:pPr>
                            <w:rPr>
                              <w:b/>
                              <w:sz w:val="16"/>
                            </w:rPr>
                          </w:pPr>
                        </w:p>
                        <w:p w14:paraId="201C3357" w14:textId="77777777" w:rsidR="00404725" w:rsidRDefault="00404725">
                          <w:pPr>
                            <w:rPr>
                              <w:b/>
                              <w:sz w:val="16"/>
                            </w:rPr>
                          </w:pPr>
                          <w:r>
                            <w:rPr>
                              <w:rFonts w:hint="eastAsia"/>
                              <w:b/>
                              <w:sz w:val="20"/>
                            </w:rPr>
                            <w:t>J</w:t>
                          </w:r>
                        </w:p>
                        <w:p w14:paraId="74EA62E0" w14:textId="77777777" w:rsidR="00404725" w:rsidRDefault="00404725">
                          <w:pPr>
                            <w:rPr>
                              <w:b/>
                              <w:sz w:val="10"/>
                            </w:rPr>
                          </w:pPr>
                        </w:p>
                        <w:p w14:paraId="5EE01625" w14:textId="77777777" w:rsidR="00404725" w:rsidRDefault="00404725">
                          <w:pPr>
                            <w:rPr>
                              <w:b/>
                              <w:sz w:val="16"/>
                            </w:rPr>
                          </w:pPr>
                        </w:p>
                        <w:p w14:paraId="55BE8380" w14:textId="77777777" w:rsidR="00404725" w:rsidRDefault="00404725">
                          <w:pPr>
                            <w:rPr>
                              <w:b/>
                              <w:sz w:val="16"/>
                            </w:rPr>
                          </w:pPr>
                        </w:p>
                        <w:p w14:paraId="08C79B39" w14:textId="77777777" w:rsidR="00404725" w:rsidRDefault="00404725">
                          <w:pPr>
                            <w:rPr>
                              <w:b/>
                              <w:sz w:val="16"/>
                            </w:rPr>
                          </w:pPr>
                          <w:r>
                            <w:rPr>
                              <w:rFonts w:hint="eastAsia"/>
                              <w:b/>
                              <w:sz w:val="20"/>
                            </w:rPr>
                            <w:t>K</w:t>
                          </w:r>
                        </w:p>
                        <w:p w14:paraId="6C9A8563" w14:textId="77777777" w:rsidR="00404725" w:rsidRDefault="00404725">
                          <w:pPr>
                            <w:rPr>
                              <w:b/>
                              <w:sz w:val="10"/>
                            </w:rPr>
                          </w:pPr>
                        </w:p>
                        <w:p w14:paraId="7EFC2331" w14:textId="77777777" w:rsidR="00404725" w:rsidRDefault="00404725">
                          <w:pPr>
                            <w:rPr>
                              <w:b/>
                              <w:sz w:val="16"/>
                            </w:rPr>
                          </w:pPr>
                        </w:p>
                        <w:p w14:paraId="29DF154C" w14:textId="77777777" w:rsidR="00404725" w:rsidRDefault="00404725">
                          <w:pPr>
                            <w:rPr>
                              <w:b/>
                              <w:sz w:val="16"/>
                            </w:rPr>
                          </w:pPr>
                        </w:p>
                        <w:p w14:paraId="6E40E03F" w14:textId="77777777" w:rsidR="00404725" w:rsidRDefault="00404725">
                          <w:pPr>
                            <w:rPr>
                              <w:b/>
                              <w:sz w:val="16"/>
                            </w:rPr>
                          </w:pPr>
                          <w:r>
                            <w:rPr>
                              <w:rFonts w:hint="eastAsia"/>
                              <w:b/>
                              <w:sz w:val="20"/>
                            </w:rPr>
                            <w:t>L</w:t>
                          </w:r>
                        </w:p>
                        <w:p w14:paraId="49E7B058" w14:textId="77777777" w:rsidR="00404725" w:rsidRDefault="00404725">
                          <w:pPr>
                            <w:rPr>
                              <w:b/>
                              <w:sz w:val="10"/>
                            </w:rPr>
                          </w:pPr>
                        </w:p>
                        <w:p w14:paraId="586509B1" w14:textId="77777777" w:rsidR="00404725" w:rsidRDefault="00404725">
                          <w:pPr>
                            <w:rPr>
                              <w:b/>
                              <w:sz w:val="16"/>
                            </w:rPr>
                          </w:pPr>
                        </w:p>
                        <w:p w14:paraId="3731B074" w14:textId="77777777" w:rsidR="00404725" w:rsidRDefault="00404725">
                          <w:pPr>
                            <w:rPr>
                              <w:b/>
                              <w:sz w:val="16"/>
                            </w:rPr>
                          </w:pPr>
                        </w:p>
                        <w:p w14:paraId="084B343A" w14:textId="77777777" w:rsidR="00404725" w:rsidRDefault="00404725">
                          <w:pPr>
                            <w:rPr>
                              <w:b/>
                              <w:sz w:val="16"/>
                            </w:rPr>
                          </w:pPr>
                          <w:r>
                            <w:rPr>
                              <w:rFonts w:hint="eastAsia"/>
                              <w:b/>
                              <w:sz w:val="20"/>
                            </w:rPr>
                            <w:t>M</w:t>
                          </w:r>
                        </w:p>
                        <w:p w14:paraId="481F3FA1" w14:textId="77777777" w:rsidR="00404725" w:rsidRDefault="00404725">
                          <w:pPr>
                            <w:rPr>
                              <w:b/>
                              <w:sz w:val="10"/>
                            </w:rPr>
                          </w:pPr>
                        </w:p>
                        <w:p w14:paraId="71D8E3EB" w14:textId="77777777" w:rsidR="00404725" w:rsidRDefault="00404725">
                          <w:pPr>
                            <w:rPr>
                              <w:b/>
                              <w:sz w:val="16"/>
                            </w:rPr>
                          </w:pPr>
                        </w:p>
                        <w:p w14:paraId="28ACA5CF" w14:textId="77777777" w:rsidR="00404725" w:rsidRDefault="00404725">
                          <w:pPr>
                            <w:rPr>
                              <w:b/>
                              <w:sz w:val="16"/>
                            </w:rPr>
                          </w:pPr>
                        </w:p>
                        <w:p w14:paraId="0261BE5C" w14:textId="77777777" w:rsidR="00404725" w:rsidRDefault="00404725">
                          <w:pPr>
                            <w:rPr>
                              <w:b/>
                              <w:sz w:val="16"/>
                            </w:rPr>
                          </w:pPr>
                          <w:r>
                            <w:rPr>
                              <w:rFonts w:hint="eastAsia"/>
                              <w:b/>
                              <w:sz w:val="20"/>
                            </w:rPr>
                            <w:t>N</w:t>
                          </w:r>
                        </w:p>
                        <w:p w14:paraId="7AD07FD3" w14:textId="77777777" w:rsidR="00404725" w:rsidRDefault="00404725">
                          <w:pPr>
                            <w:rPr>
                              <w:b/>
                              <w:sz w:val="10"/>
                            </w:rPr>
                          </w:pPr>
                        </w:p>
                        <w:p w14:paraId="2BC4A888" w14:textId="77777777" w:rsidR="00404725" w:rsidRDefault="00404725">
                          <w:pPr>
                            <w:rPr>
                              <w:b/>
                              <w:sz w:val="16"/>
                            </w:rPr>
                          </w:pPr>
                        </w:p>
                        <w:p w14:paraId="328242F2" w14:textId="77777777" w:rsidR="00404725" w:rsidRDefault="00404725">
                          <w:pPr>
                            <w:rPr>
                              <w:b/>
                              <w:sz w:val="16"/>
                            </w:rPr>
                          </w:pPr>
                        </w:p>
                        <w:p w14:paraId="4A4F1A13" w14:textId="77777777" w:rsidR="00404725" w:rsidRDefault="00404725">
                          <w:pPr>
                            <w:rPr>
                              <w:b/>
                              <w:sz w:val="16"/>
                            </w:rPr>
                          </w:pPr>
                          <w:r>
                            <w:rPr>
                              <w:rFonts w:hint="eastAsia"/>
                              <w:b/>
                              <w:sz w:val="20"/>
                            </w:rPr>
                            <w:t>O</w:t>
                          </w:r>
                        </w:p>
                        <w:p w14:paraId="57A834C6" w14:textId="77777777" w:rsidR="00404725" w:rsidRDefault="00404725">
                          <w:pPr>
                            <w:rPr>
                              <w:b/>
                              <w:sz w:val="10"/>
                            </w:rPr>
                          </w:pPr>
                        </w:p>
                        <w:p w14:paraId="6AFD8304" w14:textId="77777777" w:rsidR="00404725" w:rsidRDefault="00404725">
                          <w:pPr>
                            <w:rPr>
                              <w:b/>
                              <w:sz w:val="16"/>
                            </w:rPr>
                          </w:pPr>
                        </w:p>
                        <w:p w14:paraId="1A9830A8" w14:textId="77777777" w:rsidR="00404725" w:rsidRDefault="00404725">
                          <w:pPr>
                            <w:rPr>
                              <w:b/>
                              <w:sz w:val="16"/>
                            </w:rPr>
                          </w:pPr>
                        </w:p>
                        <w:p w14:paraId="5B8F6EC7" w14:textId="77777777" w:rsidR="00404725" w:rsidRDefault="00404725">
                          <w:pPr>
                            <w:rPr>
                              <w:b/>
                              <w:sz w:val="16"/>
                            </w:rPr>
                          </w:pPr>
                          <w:r>
                            <w:rPr>
                              <w:rFonts w:hint="eastAsia"/>
                              <w:b/>
                              <w:sz w:val="20"/>
                            </w:rPr>
                            <w:t>P</w:t>
                          </w:r>
                        </w:p>
                        <w:p w14:paraId="2899A8A7" w14:textId="77777777" w:rsidR="00404725" w:rsidRDefault="00404725">
                          <w:pPr>
                            <w:rPr>
                              <w:b/>
                              <w:sz w:val="10"/>
                            </w:rPr>
                          </w:pPr>
                        </w:p>
                        <w:p w14:paraId="29E7D8C6" w14:textId="77777777" w:rsidR="00404725" w:rsidRDefault="00404725">
                          <w:pPr>
                            <w:rPr>
                              <w:b/>
                              <w:sz w:val="16"/>
                            </w:rPr>
                          </w:pPr>
                        </w:p>
                        <w:p w14:paraId="3E73F00F" w14:textId="77777777" w:rsidR="00404725" w:rsidRDefault="00404725">
                          <w:pPr>
                            <w:rPr>
                              <w:b/>
                              <w:sz w:val="16"/>
                            </w:rPr>
                          </w:pPr>
                        </w:p>
                        <w:p w14:paraId="00CD37E9" w14:textId="77777777" w:rsidR="00404725" w:rsidRDefault="00404725">
                          <w:pPr>
                            <w:rPr>
                              <w:b/>
                              <w:sz w:val="16"/>
                            </w:rPr>
                          </w:pPr>
                          <w:r>
                            <w:rPr>
                              <w:rFonts w:hint="eastAsia"/>
                              <w:b/>
                              <w:sz w:val="20"/>
                            </w:rPr>
                            <w:t>Q</w:t>
                          </w:r>
                        </w:p>
                        <w:p w14:paraId="5BE68B8F" w14:textId="77777777" w:rsidR="00404725" w:rsidRDefault="00404725">
                          <w:pPr>
                            <w:rPr>
                              <w:b/>
                              <w:sz w:val="10"/>
                            </w:rPr>
                          </w:pPr>
                        </w:p>
                        <w:p w14:paraId="3684C358" w14:textId="77777777" w:rsidR="00404725" w:rsidRDefault="00404725">
                          <w:pPr>
                            <w:rPr>
                              <w:b/>
                              <w:sz w:val="16"/>
                            </w:rPr>
                          </w:pPr>
                        </w:p>
                        <w:p w14:paraId="1E46D678" w14:textId="77777777" w:rsidR="00404725" w:rsidRDefault="00404725">
                          <w:pPr>
                            <w:rPr>
                              <w:b/>
                              <w:sz w:val="16"/>
                            </w:rPr>
                          </w:pPr>
                        </w:p>
                        <w:p w14:paraId="1E9E88B8" w14:textId="77777777" w:rsidR="00404725" w:rsidRDefault="00404725">
                          <w:pPr>
                            <w:rPr>
                              <w:b/>
                              <w:sz w:val="16"/>
                            </w:rPr>
                          </w:pPr>
                          <w:r>
                            <w:rPr>
                              <w:rFonts w:hint="eastAsia"/>
                              <w:b/>
                              <w:sz w:val="20"/>
                            </w:rPr>
                            <w:t>R</w:t>
                          </w:r>
                        </w:p>
                        <w:p w14:paraId="42EFCD7D" w14:textId="77777777" w:rsidR="00404725" w:rsidRDefault="00404725">
                          <w:pPr>
                            <w:rPr>
                              <w:b/>
                              <w:sz w:val="10"/>
                            </w:rPr>
                          </w:pPr>
                        </w:p>
                        <w:p w14:paraId="04AB1BAA" w14:textId="77777777" w:rsidR="00404725" w:rsidRDefault="00404725">
                          <w:pPr>
                            <w:rPr>
                              <w:b/>
                              <w:sz w:val="16"/>
                            </w:rPr>
                          </w:pPr>
                        </w:p>
                        <w:p w14:paraId="335107C6" w14:textId="77777777" w:rsidR="00404725" w:rsidRDefault="00404725">
                          <w:pPr>
                            <w:rPr>
                              <w:b/>
                              <w:sz w:val="16"/>
                            </w:rPr>
                          </w:pPr>
                        </w:p>
                        <w:p w14:paraId="46A4078D" w14:textId="77777777" w:rsidR="00404725" w:rsidRDefault="00404725">
                          <w:pPr>
                            <w:rPr>
                              <w:b/>
                              <w:sz w:val="16"/>
                            </w:rPr>
                          </w:pPr>
                          <w:r>
                            <w:rPr>
                              <w:rFonts w:hint="eastAsia"/>
                              <w:b/>
                              <w:sz w:val="20"/>
                            </w:rPr>
                            <w:t>S</w:t>
                          </w:r>
                        </w:p>
                        <w:p w14:paraId="1DC29726" w14:textId="77777777" w:rsidR="00404725" w:rsidRDefault="00404725">
                          <w:pPr>
                            <w:rPr>
                              <w:b/>
                              <w:sz w:val="10"/>
                            </w:rPr>
                          </w:pPr>
                        </w:p>
                        <w:p w14:paraId="4D2D47FF" w14:textId="77777777" w:rsidR="00404725" w:rsidRDefault="00404725">
                          <w:pPr>
                            <w:rPr>
                              <w:b/>
                              <w:sz w:val="16"/>
                            </w:rPr>
                          </w:pPr>
                        </w:p>
                        <w:p w14:paraId="5D2FEE82" w14:textId="77777777" w:rsidR="00404725" w:rsidRDefault="00404725">
                          <w:pPr>
                            <w:rPr>
                              <w:b/>
                              <w:sz w:val="16"/>
                            </w:rPr>
                          </w:pPr>
                        </w:p>
                        <w:p w14:paraId="12DDC825" w14:textId="77777777" w:rsidR="00404725" w:rsidRDefault="00404725">
                          <w:pPr>
                            <w:rPr>
                              <w:b/>
                              <w:sz w:val="16"/>
                            </w:rPr>
                          </w:pPr>
                          <w:r>
                            <w:rPr>
                              <w:rFonts w:hint="eastAsia"/>
                              <w:b/>
                              <w:sz w:val="20"/>
                            </w:rPr>
                            <w:t>T</w:t>
                          </w:r>
                        </w:p>
                        <w:p w14:paraId="615401E4" w14:textId="77777777" w:rsidR="00404725" w:rsidRDefault="00404725">
                          <w:pPr>
                            <w:rPr>
                              <w:b/>
                              <w:sz w:val="10"/>
                            </w:rPr>
                          </w:pPr>
                        </w:p>
                        <w:p w14:paraId="6ED9687C" w14:textId="77777777" w:rsidR="00404725" w:rsidRDefault="00404725">
                          <w:pPr>
                            <w:rPr>
                              <w:b/>
                              <w:sz w:val="16"/>
                            </w:rPr>
                          </w:pPr>
                        </w:p>
                        <w:p w14:paraId="258A4307" w14:textId="77777777" w:rsidR="00404725" w:rsidRDefault="00404725">
                          <w:pPr>
                            <w:rPr>
                              <w:b/>
                              <w:sz w:val="16"/>
                            </w:rPr>
                          </w:pPr>
                        </w:p>
                        <w:p w14:paraId="443A1F43" w14:textId="77777777" w:rsidR="00404725" w:rsidRDefault="00404725">
                          <w:pPr>
                            <w:rPr>
                              <w:b/>
                              <w:sz w:val="16"/>
                            </w:rPr>
                          </w:pPr>
                          <w:r>
                            <w:rPr>
                              <w:rFonts w:hint="eastAsia"/>
                              <w:b/>
                              <w:sz w:val="20"/>
                            </w:rPr>
                            <w:t>U</w:t>
                          </w:r>
                        </w:p>
                        <w:p w14:paraId="04CE1E44" w14:textId="77777777" w:rsidR="00404725" w:rsidRDefault="00404725">
                          <w:pPr>
                            <w:rPr>
                              <w:b/>
                              <w:sz w:val="10"/>
                            </w:rPr>
                          </w:pPr>
                        </w:p>
                        <w:p w14:paraId="726BD0C5" w14:textId="77777777" w:rsidR="00404725" w:rsidRDefault="00404725">
                          <w:pPr>
                            <w:rPr>
                              <w:b/>
                              <w:sz w:val="16"/>
                            </w:rPr>
                          </w:pPr>
                        </w:p>
                        <w:p w14:paraId="2D350D01" w14:textId="77777777" w:rsidR="00404725" w:rsidRDefault="00404725">
                          <w:pPr>
                            <w:rPr>
                              <w:b/>
                              <w:sz w:val="16"/>
                            </w:rPr>
                          </w:pPr>
                        </w:p>
                        <w:p w14:paraId="6740A784" w14:textId="77777777" w:rsidR="00404725" w:rsidRDefault="00404725">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404725" w:rsidRDefault="00404725">
                    <w:pPr>
                      <w:rPr>
                        <w:b/>
                        <w:sz w:val="20"/>
                      </w:rPr>
                    </w:pPr>
                    <w:r>
                      <w:rPr>
                        <w:rFonts w:hint="eastAsia"/>
                        <w:b/>
                        <w:sz w:val="20"/>
                      </w:rPr>
                      <w:t>A</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20"/>
                      </w:rPr>
                    </w:pPr>
                    <w:r>
                      <w:rPr>
                        <w:rFonts w:hint="eastAsia"/>
                        <w:b/>
                        <w:sz w:val="20"/>
                      </w:rPr>
                      <w:t>B</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C</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pStyle w:val="Heading2"/>
                      <w:rPr>
                        <w:sz w:val="16"/>
                      </w:rPr>
                    </w:pPr>
                    <w:r>
                      <w:rPr>
                        <w:rFonts w:hint="eastAsia"/>
                      </w:rPr>
                      <w:t>D</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E</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20"/>
                      </w:rPr>
                    </w:pPr>
                    <w:r>
                      <w:rPr>
                        <w:rFonts w:hint="eastAsia"/>
                        <w:b/>
                        <w:sz w:val="20"/>
                      </w:rPr>
                      <w:t>F</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G</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H</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I</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J</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K</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L</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M</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N</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O</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P</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Q</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R</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S</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T</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U</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7D1ACACC" wp14:editId="07E2DE83">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43BC82" w14:textId="77777777" w:rsidR="00404725" w:rsidRPr="00782869" w:rsidRDefault="00404725"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404725" w:rsidRPr="00782869" w:rsidRDefault="00404725"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C6C6A" w14:textId="72545D52" w:rsidR="00404725" w:rsidRDefault="00404725">
    <w:pPr>
      <w:pStyle w:val="Header"/>
      <w:rPr>
        <w:sz w:val="28"/>
      </w:rPr>
    </w:pPr>
    <w:r>
      <w:rPr>
        <w:noProof/>
        <w:sz w:val="28"/>
      </w:rPr>
      <mc:AlternateContent>
        <mc:Choice Requires="wps">
          <w:drawing>
            <wp:anchor distT="0" distB="0" distL="114300" distR="114300" simplePos="0" relativeHeight="251659264" behindDoc="0" locked="0" layoutInCell="0" allowOverlap="1" wp14:anchorId="257EF85F" wp14:editId="130B1182">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E8E311" w14:textId="77777777" w:rsidR="00404725" w:rsidRDefault="00404725">
                          <w:pPr>
                            <w:rPr>
                              <w:b/>
                              <w:sz w:val="20"/>
                            </w:rPr>
                          </w:pPr>
                          <w:r>
                            <w:rPr>
                              <w:rFonts w:hint="eastAsia"/>
                              <w:b/>
                              <w:sz w:val="20"/>
                            </w:rPr>
                            <w:t>A</w:t>
                          </w:r>
                        </w:p>
                        <w:p w14:paraId="535BEC4D" w14:textId="77777777" w:rsidR="00404725" w:rsidRDefault="00404725">
                          <w:pPr>
                            <w:rPr>
                              <w:b/>
                              <w:sz w:val="10"/>
                            </w:rPr>
                          </w:pPr>
                        </w:p>
                        <w:p w14:paraId="088519D2" w14:textId="77777777" w:rsidR="00404725" w:rsidRDefault="00404725">
                          <w:pPr>
                            <w:rPr>
                              <w:b/>
                              <w:sz w:val="16"/>
                            </w:rPr>
                          </w:pPr>
                        </w:p>
                        <w:p w14:paraId="753C4A94" w14:textId="77777777" w:rsidR="00404725" w:rsidRDefault="00404725">
                          <w:pPr>
                            <w:rPr>
                              <w:b/>
                              <w:sz w:val="16"/>
                            </w:rPr>
                          </w:pPr>
                        </w:p>
                        <w:p w14:paraId="2505FFEF" w14:textId="77777777" w:rsidR="00404725" w:rsidRDefault="00404725">
                          <w:pPr>
                            <w:rPr>
                              <w:b/>
                              <w:sz w:val="20"/>
                            </w:rPr>
                          </w:pPr>
                          <w:r>
                            <w:rPr>
                              <w:rFonts w:hint="eastAsia"/>
                              <w:b/>
                              <w:sz w:val="20"/>
                            </w:rPr>
                            <w:t>B</w:t>
                          </w:r>
                        </w:p>
                        <w:p w14:paraId="72384A83" w14:textId="77777777" w:rsidR="00404725" w:rsidRDefault="00404725">
                          <w:pPr>
                            <w:rPr>
                              <w:b/>
                              <w:sz w:val="10"/>
                            </w:rPr>
                          </w:pPr>
                        </w:p>
                        <w:p w14:paraId="748F89DC" w14:textId="77777777" w:rsidR="00404725" w:rsidRDefault="00404725">
                          <w:pPr>
                            <w:rPr>
                              <w:b/>
                              <w:sz w:val="16"/>
                            </w:rPr>
                          </w:pPr>
                        </w:p>
                        <w:p w14:paraId="41A8A9F1" w14:textId="77777777" w:rsidR="00404725" w:rsidRDefault="00404725">
                          <w:pPr>
                            <w:rPr>
                              <w:b/>
                              <w:sz w:val="16"/>
                            </w:rPr>
                          </w:pPr>
                        </w:p>
                        <w:p w14:paraId="7E8C677A" w14:textId="77777777" w:rsidR="00404725" w:rsidRDefault="00404725">
                          <w:pPr>
                            <w:rPr>
                              <w:b/>
                              <w:sz w:val="16"/>
                            </w:rPr>
                          </w:pPr>
                          <w:r>
                            <w:rPr>
                              <w:rFonts w:hint="eastAsia"/>
                              <w:b/>
                              <w:sz w:val="20"/>
                            </w:rPr>
                            <w:t>C</w:t>
                          </w:r>
                        </w:p>
                        <w:p w14:paraId="6B6AA6DC" w14:textId="77777777" w:rsidR="00404725" w:rsidRDefault="00404725">
                          <w:pPr>
                            <w:rPr>
                              <w:b/>
                              <w:sz w:val="10"/>
                            </w:rPr>
                          </w:pPr>
                        </w:p>
                        <w:p w14:paraId="7590235B" w14:textId="77777777" w:rsidR="00404725" w:rsidRDefault="00404725">
                          <w:pPr>
                            <w:rPr>
                              <w:b/>
                              <w:sz w:val="16"/>
                            </w:rPr>
                          </w:pPr>
                        </w:p>
                        <w:p w14:paraId="35A94761" w14:textId="77777777" w:rsidR="00404725" w:rsidRDefault="00404725">
                          <w:pPr>
                            <w:rPr>
                              <w:b/>
                              <w:sz w:val="16"/>
                            </w:rPr>
                          </w:pPr>
                        </w:p>
                        <w:p w14:paraId="3A242EAD" w14:textId="77777777" w:rsidR="00404725" w:rsidRDefault="00404725">
                          <w:pPr>
                            <w:pStyle w:val="Heading2"/>
                            <w:rPr>
                              <w:sz w:val="16"/>
                            </w:rPr>
                          </w:pPr>
                          <w:r>
                            <w:rPr>
                              <w:rFonts w:hint="eastAsia"/>
                            </w:rPr>
                            <w:t>D</w:t>
                          </w:r>
                        </w:p>
                        <w:p w14:paraId="191F85E8" w14:textId="77777777" w:rsidR="00404725" w:rsidRDefault="00404725">
                          <w:pPr>
                            <w:rPr>
                              <w:b/>
                              <w:sz w:val="10"/>
                            </w:rPr>
                          </w:pPr>
                        </w:p>
                        <w:p w14:paraId="6960CDB3" w14:textId="77777777" w:rsidR="00404725" w:rsidRDefault="00404725">
                          <w:pPr>
                            <w:rPr>
                              <w:b/>
                              <w:sz w:val="16"/>
                            </w:rPr>
                          </w:pPr>
                        </w:p>
                        <w:p w14:paraId="41C0439D" w14:textId="77777777" w:rsidR="00404725" w:rsidRDefault="00404725">
                          <w:pPr>
                            <w:rPr>
                              <w:b/>
                              <w:sz w:val="16"/>
                            </w:rPr>
                          </w:pPr>
                        </w:p>
                        <w:p w14:paraId="07EEB3FB" w14:textId="77777777" w:rsidR="00404725" w:rsidRDefault="00404725">
                          <w:pPr>
                            <w:rPr>
                              <w:b/>
                              <w:sz w:val="16"/>
                            </w:rPr>
                          </w:pPr>
                          <w:r>
                            <w:rPr>
                              <w:rFonts w:hint="eastAsia"/>
                              <w:b/>
                              <w:sz w:val="20"/>
                            </w:rPr>
                            <w:t>E</w:t>
                          </w:r>
                        </w:p>
                        <w:p w14:paraId="6B7B64C5" w14:textId="77777777" w:rsidR="00404725" w:rsidRDefault="00404725">
                          <w:pPr>
                            <w:rPr>
                              <w:b/>
                              <w:sz w:val="10"/>
                            </w:rPr>
                          </w:pPr>
                        </w:p>
                        <w:p w14:paraId="77D5C96E" w14:textId="77777777" w:rsidR="00404725" w:rsidRDefault="00404725">
                          <w:pPr>
                            <w:rPr>
                              <w:b/>
                              <w:sz w:val="16"/>
                            </w:rPr>
                          </w:pPr>
                        </w:p>
                        <w:p w14:paraId="5F9D8881" w14:textId="77777777" w:rsidR="00404725" w:rsidRDefault="00404725">
                          <w:pPr>
                            <w:rPr>
                              <w:b/>
                              <w:sz w:val="16"/>
                            </w:rPr>
                          </w:pPr>
                        </w:p>
                        <w:p w14:paraId="398AAD55" w14:textId="77777777" w:rsidR="00404725" w:rsidRDefault="00404725">
                          <w:pPr>
                            <w:rPr>
                              <w:b/>
                              <w:sz w:val="20"/>
                            </w:rPr>
                          </w:pPr>
                          <w:r>
                            <w:rPr>
                              <w:rFonts w:hint="eastAsia"/>
                              <w:b/>
                              <w:sz w:val="20"/>
                            </w:rPr>
                            <w:t>F</w:t>
                          </w:r>
                        </w:p>
                        <w:p w14:paraId="18286202" w14:textId="77777777" w:rsidR="00404725" w:rsidRDefault="00404725">
                          <w:pPr>
                            <w:rPr>
                              <w:b/>
                              <w:sz w:val="10"/>
                            </w:rPr>
                          </w:pPr>
                        </w:p>
                        <w:p w14:paraId="6044AF2E" w14:textId="77777777" w:rsidR="00404725" w:rsidRDefault="00404725">
                          <w:pPr>
                            <w:rPr>
                              <w:b/>
                              <w:sz w:val="16"/>
                            </w:rPr>
                          </w:pPr>
                        </w:p>
                        <w:p w14:paraId="46016A5A" w14:textId="77777777" w:rsidR="00404725" w:rsidRDefault="00404725">
                          <w:pPr>
                            <w:rPr>
                              <w:b/>
                              <w:sz w:val="16"/>
                            </w:rPr>
                          </w:pPr>
                        </w:p>
                        <w:p w14:paraId="3F59D517" w14:textId="77777777" w:rsidR="00404725" w:rsidRDefault="00404725">
                          <w:pPr>
                            <w:rPr>
                              <w:b/>
                              <w:sz w:val="16"/>
                            </w:rPr>
                          </w:pPr>
                          <w:r>
                            <w:rPr>
                              <w:rFonts w:hint="eastAsia"/>
                              <w:b/>
                              <w:sz w:val="20"/>
                            </w:rPr>
                            <w:t>G</w:t>
                          </w:r>
                        </w:p>
                        <w:p w14:paraId="74509763" w14:textId="77777777" w:rsidR="00404725" w:rsidRDefault="00404725">
                          <w:pPr>
                            <w:rPr>
                              <w:b/>
                              <w:sz w:val="10"/>
                            </w:rPr>
                          </w:pPr>
                        </w:p>
                        <w:p w14:paraId="52CCAE78" w14:textId="77777777" w:rsidR="00404725" w:rsidRDefault="00404725">
                          <w:pPr>
                            <w:rPr>
                              <w:b/>
                              <w:sz w:val="16"/>
                            </w:rPr>
                          </w:pPr>
                        </w:p>
                        <w:p w14:paraId="114E1507" w14:textId="77777777" w:rsidR="00404725" w:rsidRDefault="00404725">
                          <w:pPr>
                            <w:rPr>
                              <w:b/>
                              <w:sz w:val="16"/>
                            </w:rPr>
                          </w:pPr>
                        </w:p>
                        <w:p w14:paraId="7B896270" w14:textId="77777777" w:rsidR="00404725" w:rsidRDefault="00404725">
                          <w:pPr>
                            <w:rPr>
                              <w:b/>
                              <w:sz w:val="16"/>
                            </w:rPr>
                          </w:pPr>
                          <w:r>
                            <w:rPr>
                              <w:rFonts w:hint="eastAsia"/>
                              <w:b/>
                              <w:sz w:val="20"/>
                            </w:rPr>
                            <w:t>H</w:t>
                          </w:r>
                        </w:p>
                        <w:p w14:paraId="60926C08" w14:textId="77777777" w:rsidR="00404725" w:rsidRDefault="00404725">
                          <w:pPr>
                            <w:rPr>
                              <w:b/>
                              <w:sz w:val="10"/>
                            </w:rPr>
                          </w:pPr>
                        </w:p>
                        <w:p w14:paraId="6C4746CB" w14:textId="77777777" w:rsidR="00404725" w:rsidRDefault="00404725">
                          <w:pPr>
                            <w:rPr>
                              <w:b/>
                              <w:sz w:val="16"/>
                            </w:rPr>
                          </w:pPr>
                        </w:p>
                        <w:p w14:paraId="0573DC6D" w14:textId="77777777" w:rsidR="00404725" w:rsidRDefault="00404725">
                          <w:pPr>
                            <w:rPr>
                              <w:b/>
                              <w:sz w:val="16"/>
                            </w:rPr>
                          </w:pPr>
                        </w:p>
                        <w:p w14:paraId="48DBECAE" w14:textId="77777777" w:rsidR="00404725" w:rsidRDefault="00404725">
                          <w:pPr>
                            <w:rPr>
                              <w:b/>
                              <w:sz w:val="16"/>
                            </w:rPr>
                          </w:pPr>
                          <w:r>
                            <w:rPr>
                              <w:rFonts w:hint="eastAsia"/>
                              <w:b/>
                              <w:sz w:val="20"/>
                            </w:rPr>
                            <w:t>I</w:t>
                          </w:r>
                        </w:p>
                        <w:p w14:paraId="3813BA0F" w14:textId="77777777" w:rsidR="00404725" w:rsidRDefault="00404725">
                          <w:pPr>
                            <w:rPr>
                              <w:b/>
                              <w:sz w:val="10"/>
                            </w:rPr>
                          </w:pPr>
                        </w:p>
                        <w:p w14:paraId="67D5AC09" w14:textId="77777777" w:rsidR="00404725" w:rsidRDefault="00404725">
                          <w:pPr>
                            <w:rPr>
                              <w:b/>
                              <w:sz w:val="16"/>
                            </w:rPr>
                          </w:pPr>
                        </w:p>
                        <w:p w14:paraId="0B35C644" w14:textId="77777777" w:rsidR="00404725" w:rsidRDefault="00404725">
                          <w:pPr>
                            <w:rPr>
                              <w:b/>
                              <w:sz w:val="16"/>
                            </w:rPr>
                          </w:pPr>
                        </w:p>
                        <w:p w14:paraId="2903CEE2" w14:textId="77777777" w:rsidR="00404725" w:rsidRDefault="00404725">
                          <w:pPr>
                            <w:rPr>
                              <w:b/>
                              <w:sz w:val="16"/>
                            </w:rPr>
                          </w:pPr>
                          <w:r>
                            <w:rPr>
                              <w:rFonts w:hint="eastAsia"/>
                              <w:b/>
                              <w:sz w:val="20"/>
                            </w:rPr>
                            <w:t>J</w:t>
                          </w:r>
                        </w:p>
                        <w:p w14:paraId="12248614" w14:textId="77777777" w:rsidR="00404725" w:rsidRDefault="00404725">
                          <w:pPr>
                            <w:rPr>
                              <w:b/>
                              <w:sz w:val="10"/>
                            </w:rPr>
                          </w:pPr>
                        </w:p>
                        <w:p w14:paraId="1E3855CE" w14:textId="77777777" w:rsidR="00404725" w:rsidRDefault="00404725">
                          <w:pPr>
                            <w:rPr>
                              <w:b/>
                              <w:sz w:val="16"/>
                            </w:rPr>
                          </w:pPr>
                        </w:p>
                        <w:p w14:paraId="72407D93" w14:textId="77777777" w:rsidR="00404725" w:rsidRDefault="00404725">
                          <w:pPr>
                            <w:rPr>
                              <w:b/>
                              <w:sz w:val="16"/>
                            </w:rPr>
                          </w:pPr>
                        </w:p>
                        <w:p w14:paraId="2F1E6405" w14:textId="77777777" w:rsidR="00404725" w:rsidRDefault="00404725">
                          <w:pPr>
                            <w:rPr>
                              <w:b/>
                              <w:sz w:val="16"/>
                            </w:rPr>
                          </w:pPr>
                          <w:r>
                            <w:rPr>
                              <w:rFonts w:hint="eastAsia"/>
                              <w:b/>
                              <w:sz w:val="20"/>
                            </w:rPr>
                            <w:t>K</w:t>
                          </w:r>
                        </w:p>
                        <w:p w14:paraId="3BEFD1C8" w14:textId="77777777" w:rsidR="00404725" w:rsidRDefault="00404725">
                          <w:pPr>
                            <w:rPr>
                              <w:b/>
                              <w:sz w:val="10"/>
                            </w:rPr>
                          </w:pPr>
                        </w:p>
                        <w:p w14:paraId="7A4FC7CF" w14:textId="77777777" w:rsidR="00404725" w:rsidRDefault="00404725">
                          <w:pPr>
                            <w:rPr>
                              <w:b/>
                              <w:sz w:val="16"/>
                            </w:rPr>
                          </w:pPr>
                        </w:p>
                        <w:p w14:paraId="61B14E74" w14:textId="77777777" w:rsidR="00404725" w:rsidRDefault="00404725">
                          <w:pPr>
                            <w:rPr>
                              <w:b/>
                              <w:sz w:val="16"/>
                            </w:rPr>
                          </w:pPr>
                        </w:p>
                        <w:p w14:paraId="6A1B9486" w14:textId="77777777" w:rsidR="00404725" w:rsidRDefault="00404725">
                          <w:pPr>
                            <w:rPr>
                              <w:b/>
                              <w:sz w:val="16"/>
                            </w:rPr>
                          </w:pPr>
                          <w:r>
                            <w:rPr>
                              <w:rFonts w:hint="eastAsia"/>
                              <w:b/>
                              <w:sz w:val="20"/>
                            </w:rPr>
                            <w:t>L</w:t>
                          </w:r>
                        </w:p>
                        <w:p w14:paraId="3F1DD775" w14:textId="77777777" w:rsidR="00404725" w:rsidRDefault="00404725">
                          <w:pPr>
                            <w:rPr>
                              <w:b/>
                              <w:sz w:val="10"/>
                            </w:rPr>
                          </w:pPr>
                        </w:p>
                        <w:p w14:paraId="76DF8A3A" w14:textId="77777777" w:rsidR="00404725" w:rsidRDefault="00404725">
                          <w:pPr>
                            <w:rPr>
                              <w:b/>
                              <w:sz w:val="16"/>
                            </w:rPr>
                          </w:pPr>
                        </w:p>
                        <w:p w14:paraId="78C6D465" w14:textId="77777777" w:rsidR="00404725" w:rsidRDefault="00404725">
                          <w:pPr>
                            <w:rPr>
                              <w:b/>
                              <w:sz w:val="16"/>
                            </w:rPr>
                          </w:pPr>
                        </w:p>
                        <w:p w14:paraId="7ECF144F" w14:textId="77777777" w:rsidR="00404725" w:rsidRDefault="00404725">
                          <w:pPr>
                            <w:rPr>
                              <w:b/>
                              <w:sz w:val="16"/>
                            </w:rPr>
                          </w:pPr>
                          <w:r>
                            <w:rPr>
                              <w:rFonts w:hint="eastAsia"/>
                              <w:b/>
                              <w:sz w:val="20"/>
                            </w:rPr>
                            <w:t>M</w:t>
                          </w:r>
                        </w:p>
                        <w:p w14:paraId="694B1102" w14:textId="77777777" w:rsidR="00404725" w:rsidRDefault="00404725">
                          <w:pPr>
                            <w:rPr>
                              <w:b/>
                              <w:sz w:val="10"/>
                            </w:rPr>
                          </w:pPr>
                        </w:p>
                        <w:p w14:paraId="7FD872BB" w14:textId="77777777" w:rsidR="00404725" w:rsidRDefault="00404725">
                          <w:pPr>
                            <w:rPr>
                              <w:b/>
                              <w:sz w:val="16"/>
                            </w:rPr>
                          </w:pPr>
                        </w:p>
                        <w:p w14:paraId="2DB67D8D" w14:textId="77777777" w:rsidR="00404725" w:rsidRDefault="00404725">
                          <w:pPr>
                            <w:rPr>
                              <w:b/>
                              <w:sz w:val="16"/>
                            </w:rPr>
                          </w:pPr>
                        </w:p>
                        <w:p w14:paraId="4CFB4963" w14:textId="77777777" w:rsidR="00404725" w:rsidRDefault="00404725">
                          <w:pPr>
                            <w:rPr>
                              <w:b/>
                              <w:sz w:val="16"/>
                            </w:rPr>
                          </w:pPr>
                          <w:r>
                            <w:rPr>
                              <w:rFonts w:hint="eastAsia"/>
                              <w:b/>
                              <w:sz w:val="20"/>
                            </w:rPr>
                            <w:t>N</w:t>
                          </w:r>
                        </w:p>
                        <w:p w14:paraId="5F3B3986" w14:textId="77777777" w:rsidR="00404725" w:rsidRDefault="00404725">
                          <w:pPr>
                            <w:rPr>
                              <w:b/>
                              <w:sz w:val="10"/>
                            </w:rPr>
                          </w:pPr>
                        </w:p>
                        <w:p w14:paraId="7E1AAC5B" w14:textId="77777777" w:rsidR="00404725" w:rsidRDefault="00404725">
                          <w:pPr>
                            <w:rPr>
                              <w:b/>
                              <w:sz w:val="16"/>
                            </w:rPr>
                          </w:pPr>
                        </w:p>
                        <w:p w14:paraId="605327BA" w14:textId="77777777" w:rsidR="00404725" w:rsidRDefault="00404725">
                          <w:pPr>
                            <w:rPr>
                              <w:b/>
                              <w:sz w:val="16"/>
                            </w:rPr>
                          </w:pPr>
                        </w:p>
                        <w:p w14:paraId="7127F065" w14:textId="77777777" w:rsidR="00404725" w:rsidRDefault="00404725">
                          <w:pPr>
                            <w:rPr>
                              <w:b/>
                              <w:sz w:val="16"/>
                            </w:rPr>
                          </w:pPr>
                          <w:r>
                            <w:rPr>
                              <w:rFonts w:hint="eastAsia"/>
                              <w:b/>
                              <w:sz w:val="20"/>
                            </w:rPr>
                            <w:t>O</w:t>
                          </w:r>
                        </w:p>
                        <w:p w14:paraId="243E4D20" w14:textId="77777777" w:rsidR="00404725" w:rsidRDefault="00404725">
                          <w:pPr>
                            <w:rPr>
                              <w:b/>
                              <w:sz w:val="10"/>
                            </w:rPr>
                          </w:pPr>
                        </w:p>
                        <w:p w14:paraId="052196FA" w14:textId="77777777" w:rsidR="00404725" w:rsidRDefault="00404725">
                          <w:pPr>
                            <w:rPr>
                              <w:b/>
                              <w:sz w:val="16"/>
                            </w:rPr>
                          </w:pPr>
                        </w:p>
                        <w:p w14:paraId="74A999D5" w14:textId="77777777" w:rsidR="00404725" w:rsidRDefault="00404725">
                          <w:pPr>
                            <w:rPr>
                              <w:b/>
                              <w:sz w:val="16"/>
                            </w:rPr>
                          </w:pPr>
                        </w:p>
                        <w:p w14:paraId="297F763E" w14:textId="77777777" w:rsidR="00404725" w:rsidRDefault="00404725">
                          <w:pPr>
                            <w:rPr>
                              <w:b/>
                              <w:sz w:val="16"/>
                            </w:rPr>
                          </w:pPr>
                          <w:r>
                            <w:rPr>
                              <w:rFonts w:hint="eastAsia"/>
                              <w:b/>
                              <w:sz w:val="20"/>
                            </w:rPr>
                            <w:t>P</w:t>
                          </w:r>
                        </w:p>
                        <w:p w14:paraId="19E7F7BA" w14:textId="77777777" w:rsidR="00404725" w:rsidRDefault="00404725">
                          <w:pPr>
                            <w:rPr>
                              <w:b/>
                              <w:sz w:val="10"/>
                            </w:rPr>
                          </w:pPr>
                        </w:p>
                        <w:p w14:paraId="73174DD2" w14:textId="77777777" w:rsidR="00404725" w:rsidRDefault="00404725">
                          <w:pPr>
                            <w:rPr>
                              <w:b/>
                              <w:sz w:val="16"/>
                            </w:rPr>
                          </w:pPr>
                        </w:p>
                        <w:p w14:paraId="6011546B" w14:textId="77777777" w:rsidR="00404725" w:rsidRDefault="00404725">
                          <w:pPr>
                            <w:rPr>
                              <w:b/>
                              <w:sz w:val="16"/>
                            </w:rPr>
                          </w:pPr>
                        </w:p>
                        <w:p w14:paraId="13E072B4" w14:textId="77777777" w:rsidR="00404725" w:rsidRDefault="00404725">
                          <w:pPr>
                            <w:rPr>
                              <w:b/>
                              <w:sz w:val="16"/>
                            </w:rPr>
                          </w:pPr>
                          <w:r>
                            <w:rPr>
                              <w:rFonts w:hint="eastAsia"/>
                              <w:b/>
                              <w:sz w:val="20"/>
                            </w:rPr>
                            <w:t>Q</w:t>
                          </w:r>
                        </w:p>
                        <w:p w14:paraId="249D1119" w14:textId="77777777" w:rsidR="00404725" w:rsidRDefault="00404725">
                          <w:pPr>
                            <w:rPr>
                              <w:b/>
                              <w:sz w:val="10"/>
                            </w:rPr>
                          </w:pPr>
                        </w:p>
                        <w:p w14:paraId="38A5BE47" w14:textId="77777777" w:rsidR="00404725" w:rsidRDefault="00404725">
                          <w:pPr>
                            <w:rPr>
                              <w:b/>
                              <w:sz w:val="16"/>
                            </w:rPr>
                          </w:pPr>
                        </w:p>
                        <w:p w14:paraId="49818D99" w14:textId="77777777" w:rsidR="00404725" w:rsidRDefault="00404725">
                          <w:pPr>
                            <w:rPr>
                              <w:b/>
                              <w:sz w:val="16"/>
                            </w:rPr>
                          </w:pPr>
                        </w:p>
                        <w:p w14:paraId="0A21FE54" w14:textId="77777777" w:rsidR="00404725" w:rsidRDefault="00404725">
                          <w:pPr>
                            <w:rPr>
                              <w:b/>
                              <w:sz w:val="16"/>
                            </w:rPr>
                          </w:pPr>
                          <w:r>
                            <w:rPr>
                              <w:rFonts w:hint="eastAsia"/>
                              <w:b/>
                              <w:sz w:val="20"/>
                            </w:rPr>
                            <w:t>R</w:t>
                          </w:r>
                        </w:p>
                        <w:p w14:paraId="55268487" w14:textId="77777777" w:rsidR="00404725" w:rsidRDefault="00404725">
                          <w:pPr>
                            <w:rPr>
                              <w:b/>
                              <w:sz w:val="10"/>
                            </w:rPr>
                          </w:pPr>
                        </w:p>
                        <w:p w14:paraId="41B708BB" w14:textId="77777777" w:rsidR="00404725" w:rsidRDefault="00404725">
                          <w:pPr>
                            <w:rPr>
                              <w:b/>
                              <w:sz w:val="16"/>
                            </w:rPr>
                          </w:pPr>
                        </w:p>
                        <w:p w14:paraId="25D6D809" w14:textId="77777777" w:rsidR="00404725" w:rsidRDefault="00404725">
                          <w:pPr>
                            <w:rPr>
                              <w:b/>
                              <w:sz w:val="16"/>
                            </w:rPr>
                          </w:pPr>
                        </w:p>
                        <w:p w14:paraId="3E2A8C8A" w14:textId="77777777" w:rsidR="00404725" w:rsidRDefault="00404725">
                          <w:pPr>
                            <w:rPr>
                              <w:b/>
                              <w:sz w:val="16"/>
                            </w:rPr>
                          </w:pPr>
                          <w:r>
                            <w:rPr>
                              <w:rFonts w:hint="eastAsia"/>
                              <w:b/>
                              <w:sz w:val="20"/>
                            </w:rPr>
                            <w:t>S</w:t>
                          </w:r>
                        </w:p>
                        <w:p w14:paraId="015E579D" w14:textId="77777777" w:rsidR="00404725" w:rsidRDefault="00404725">
                          <w:pPr>
                            <w:rPr>
                              <w:b/>
                              <w:sz w:val="10"/>
                            </w:rPr>
                          </w:pPr>
                        </w:p>
                        <w:p w14:paraId="1B53CE78" w14:textId="77777777" w:rsidR="00404725" w:rsidRDefault="00404725">
                          <w:pPr>
                            <w:rPr>
                              <w:b/>
                              <w:sz w:val="16"/>
                            </w:rPr>
                          </w:pPr>
                        </w:p>
                        <w:p w14:paraId="7924A06B" w14:textId="77777777" w:rsidR="00404725" w:rsidRDefault="00404725">
                          <w:pPr>
                            <w:rPr>
                              <w:b/>
                              <w:sz w:val="16"/>
                            </w:rPr>
                          </w:pPr>
                        </w:p>
                        <w:p w14:paraId="0D2B1183" w14:textId="77777777" w:rsidR="00404725" w:rsidRDefault="00404725">
                          <w:pPr>
                            <w:rPr>
                              <w:b/>
                              <w:sz w:val="16"/>
                            </w:rPr>
                          </w:pPr>
                          <w:r>
                            <w:rPr>
                              <w:rFonts w:hint="eastAsia"/>
                              <w:b/>
                              <w:sz w:val="20"/>
                            </w:rPr>
                            <w:t>T</w:t>
                          </w:r>
                        </w:p>
                        <w:p w14:paraId="484B885C" w14:textId="77777777" w:rsidR="00404725" w:rsidRDefault="00404725">
                          <w:pPr>
                            <w:rPr>
                              <w:b/>
                              <w:sz w:val="10"/>
                            </w:rPr>
                          </w:pPr>
                        </w:p>
                        <w:p w14:paraId="14BB0CFD" w14:textId="77777777" w:rsidR="00404725" w:rsidRDefault="00404725">
                          <w:pPr>
                            <w:rPr>
                              <w:b/>
                              <w:sz w:val="16"/>
                            </w:rPr>
                          </w:pPr>
                        </w:p>
                        <w:p w14:paraId="66EDF809" w14:textId="77777777" w:rsidR="00404725" w:rsidRDefault="00404725">
                          <w:pPr>
                            <w:rPr>
                              <w:b/>
                              <w:sz w:val="16"/>
                            </w:rPr>
                          </w:pPr>
                        </w:p>
                        <w:p w14:paraId="52515EF7" w14:textId="77777777" w:rsidR="00404725" w:rsidRDefault="00404725">
                          <w:pPr>
                            <w:rPr>
                              <w:b/>
                              <w:sz w:val="16"/>
                            </w:rPr>
                          </w:pPr>
                          <w:r>
                            <w:rPr>
                              <w:rFonts w:hint="eastAsia"/>
                              <w:b/>
                              <w:sz w:val="20"/>
                            </w:rPr>
                            <w:t>U</w:t>
                          </w:r>
                        </w:p>
                        <w:p w14:paraId="16B50093" w14:textId="77777777" w:rsidR="00404725" w:rsidRDefault="00404725">
                          <w:pPr>
                            <w:rPr>
                              <w:b/>
                              <w:sz w:val="10"/>
                            </w:rPr>
                          </w:pPr>
                        </w:p>
                        <w:p w14:paraId="38E3CEE2" w14:textId="77777777" w:rsidR="00404725" w:rsidRDefault="00404725">
                          <w:pPr>
                            <w:rPr>
                              <w:b/>
                              <w:sz w:val="16"/>
                            </w:rPr>
                          </w:pPr>
                        </w:p>
                        <w:p w14:paraId="168498E2" w14:textId="77777777" w:rsidR="00404725" w:rsidRDefault="00404725">
                          <w:pPr>
                            <w:rPr>
                              <w:b/>
                              <w:sz w:val="16"/>
                            </w:rPr>
                          </w:pPr>
                        </w:p>
                        <w:p w14:paraId="77E9D557" w14:textId="77777777" w:rsidR="00404725" w:rsidRDefault="00404725">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404725" w:rsidRDefault="00404725">
                    <w:pPr>
                      <w:rPr>
                        <w:b/>
                        <w:sz w:val="20"/>
                      </w:rPr>
                    </w:pPr>
                    <w:r>
                      <w:rPr>
                        <w:rFonts w:hint="eastAsia"/>
                        <w:b/>
                        <w:sz w:val="20"/>
                      </w:rPr>
                      <w:t>A</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20"/>
                      </w:rPr>
                    </w:pPr>
                    <w:r>
                      <w:rPr>
                        <w:rFonts w:hint="eastAsia"/>
                        <w:b/>
                        <w:sz w:val="20"/>
                      </w:rPr>
                      <w:t>B</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C</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pStyle w:val="Heading2"/>
                      <w:rPr>
                        <w:sz w:val="16"/>
                      </w:rPr>
                    </w:pPr>
                    <w:r>
                      <w:rPr>
                        <w:rFonts w:hint="eastAsia"/>
                      </w:rPr>
                      <w:t>D</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E</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20"/>
                      </w:rPr>
                    </w:pPr>
                    <w:r>
                      <w:rPr>
                        <w:rFonts w:hint="eastAsia"/>
                        <w:b/>
                        <w:sz w:val="20"/>
                      </w:rPr>
                      <w:t>F</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G</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H</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I</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J</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K</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L</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M</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N</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O</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P</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Q</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R</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S</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T</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U</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ED1CEA">
      <w:rPr>
        <w:rStyle w:val="PageNumber"/>
        <w:noProof/>
        <w:sz w:val="28"/>
      </w:rPr>
      <w:t>46</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2AAB5629" wp14:editId="0A1523A3">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106FD" w14:textId="77777777" w:rsidR="00404725" w:rsidRDefault="00404725">
                          <w:pPr>
                            <w:rPr>
                              <w:b/>
                              <w:sz w:val="20"/>
                            </w:rPr>
                          </w:pPr>
                          <w:r>
                            <w:rPr>
                              <w:rFonts w:hint="eastAsia"/>
                              <w:b/>
                              <w:sz w:val="20"/>
                            </w:rPr>
                            <w:t>A</w:t>
                          </w:r>
                        </w:p>
                        <w:p w14:paraId="6E05DB31" w14:textId="77777777" w:rsidR="00404725" w:rsidRDefault="00404725">
                          <w:pPr>
                            <w:rPr>
                              <w:b/>
                              <w:sz w:val="10"/>
                            </w:rPr>
                          </w:pPr>
                        </w:p>
                        <w:p w14:paraId="71B6EB59" w14:textId="77777777" w:rsidR="00404725" w:rsidRDefault="00404725">
                          <w:pPr>
                            <w:rPr>
                              <w:b/>
                              <w:sz w:val="16"/>
                            </w:rPr>
                          </w:pPr>
                        </w:p>
                        <w:p w14:paraId="116FA727" w14:textId="77777777" w:rsidR="00404725" w:rsidRDefault="00404725">
                          <w:pPr>
                            <w:rPr>
                              <w:b/>
                              <w:sz w:val="16"/>
                            </w:rPr>
                          </w:pPr>
                        </w:p>
                        <w:p w14:paraId="036C335A" w14:textId="77777777" w:rsidR="00404725" w:rsidRDefault="00404725">
                          <w:pPr>
                            <w:rPr>
                              <w:b/>
                              <w:sz w:val="20"/>
                            </w:rPr>
                          </w:pPr>
                          <w:r>
                            <w:rPr>
                              <w:rFonts w:hint="eastAsia"/>
                              <w:b/>
                              <w:sz w:val="20"/>
                            </w:rPr>
                            <w:t>B</w:t>
                          </w:r>
                        </w:p>
                        <w:p w14:paraId="68FAAF4D" w14:textId="77777777" w:rsidR="00404725" w:rsidRDefault="00404725">
                          <w:pPr>
                            <w:rPr>
                              <w:b/>
                              <w:sz w:val="10"/>
                            </w:rPr>
                          </w:pPr>
                        </w:p>
                        <w:p w14:paraId="7424123C" w14:textId="77777777" w:rsidR="00404725" w:rsidRDefault="00404725">
                          <w:pPr>
                            <w:rPr>
                              <w:b/>
                              <w:sz w:val="16"/>
                            </w:rPr>
                          </w:pPr>
                        </w:p>
                        <w:p w14:paraId="26DC6BE7" w14:textId="77777777" w:rsidR="00404725" w:rsidRDefault="00404725">
                          <w:pPr>
                            <w:rPr>
                              <w:b/>
                              <w:sz w:val="16"/>
                            </w:rPr>
                          </w:pPr>
                        </w:p>
                        <w:p w14:paraId="71244A2B" w14:textId="77777777" w:rsidR="00404725" w:rsidRDefault="00404725">
                          <w:pPr>
                            <w:rPr>
                              <w:b/>
                              <w:sz w:val="16"/>
                            </w:rPr>
                          </w:pPr>
                          <w:r>
                            <w:rPr>
                              <w:rFonts w:hint="eastAsia"/>
                              <w:b/>
                              <w:sz w:val="20"/>
                            </w:rPr>
                            <w:t>C</w:t>
                          </w:r>
                        </w:p>
                        <w:p w14:paraId="183E37E1" w14:textId="77777777" w:rsidR="00404725" w:rsidRDefault="00404725">
                          <w:pPr>
                            <w:rPr>
                              <w:b/>
                              <w:sz w:val="10"/>
                            </w:rPr>
                          </w:pPr>
                        </w:p>
                        <w:p w14:paraId="25F267B7" w14:textId="77777777" w:rsidR="00404725" w:rsidRDefault="00404725">
                          <w:pPr>
                            <w:rPr>
                              <w:b/>
                              <w:sz w:val="16"/>
                            </w:rPr>
                          </w:pPr>
                        </w:p>
                        <w:p w14:paraId="5F819B10" w14:textId="77777777" w:rsidR="00404725" w:rsidRDefault="00404725">
                          <w:pPr>
                            <w:rPr>
                              <w:b/>
                              <w:sz w:val="16"/>
                            </w:rPr>
                          </w:pPr>
                        </w:p>
                        <w:p w14:paraId="0A26AEE0" w14:textId="77777777" w:rsidR="00404725" w:rsidRDefault="00404725">
                          <w:pPr>
                            <w:pStyle w:val="Heading2"/>
                            <w:rPr>
                              <w:sz w:val="16"/>
                            </w:rPr>
                          </w:pPr>
                          <w:r>
                            <w:rPr>
                              <w:rFonts w:hint="eastAsia"/>
                            </w:rPr>
                            <w:t>D</w:t>
                          </w:r>
                        </w:p>
                        <w:p w14:paraId="090F76BC" w14:textId="77777777" w:rsidR="00404725" w:rsidRDefault="00404725">
                          <w:pPr>
                            <w:rPr>
                              <w:b/>
                              <w:sz w:val="10"/>
                            </w:rPr>
                          </w:pPr>
                        </w:p>
                        <w:p w14:paraId="314AB5FB" w14:textId="77777777" w:rsidR="00404725" w:rsidRDefault="00404725">
                          <w:pPr>
                            <w:rPr>
                              <w:b/>
                              <w:sz w:val="16"/>
                            </w:rPr>
                          </w:pPr>
                        </w:p>
                        <w:p w14:paraId="1A34340E" w14:textId="77777777" w:rsidR="00404725" w:rsidRDefault="00404725">
                          <w:pPr>
                            <w:rPr>
                              <w:b/>
                              <w:sz w:val="16"/>
                            </w:rPr>
                          </w:pPr>
                        </w:p>
                        <w:p w14:paraId="5FBDB6B4" w14:textId="77777777" w:rsidR="00404725" w:rsidRDefault="00404725">
                          <w:pPr>
                            <w:rPr>
                              <w:b/>
                              <w:sz w:val="16"/>
                            </w:rPr>
                          </w:pPr>
                          <w:r>
                            <w:rPr>
                              <w:rFonts w:hint="eastAsia"/>
                              <w:b/>
                              <w:sz w:val="20"/>
                            </w:rPr>
                            <w:t>E</w:t>
                          </w:r>
                        </w:p>
                        <w:p w14:paraId="0C170B62" w14:textId="77777777" w:rsidR="00404725" w:rsidRDefault="00404725">
                          <w:pPr>
                            <w:rPr>
                              <w:b/>
                              <w:sz w:val="10"/>
                            </w:rPr>
                          </w:pPr>
                        </w:p>
                        <w:p w14:paraId="6B1C68F8" w14:textId="77777777" w:rsidR="00404725" w:rsidRDefault="00404725">
                          <w:pPr>
                            <w:rPr>
                              <w:b/>
                              <w:sz w:val="16"/>
                            </w:rPr>
                          </w:pPr>
                        </w:p>
                        <w:p w14:paraId="3BF3DF0A" w14:textId="77777777" w:rsidR="00404725" w:rsidRDefault="00404725">
                          <w:pPr>
                            <w:rPr>
                              <w:b/>
                              <w:sz w:val="16"/>
                            </w:rPr>
                          </w:pPr>
                        </w:p>
                        <w:p w14:paraId="15C060AC" w14:textId="77777777" w:rsidR="00404725" w:rsidRDefault="00404725">
                          <w:pPr>
                            <w:rPr>
                              <w:b/>
                              <w:sz w:val="20"/>
                            </w:rPr>
                          </w:pPr>
                          <w:r>
                            <w:rPr>
                              <w:rFonts w:hint="eastAsia"/>
                              <w:b/>
                              <w:sz w:val="20"/>
                            </w:rPr>
                            <w:t>F</w:t>
                          </w:r>
                        </w:p>
                        <w:p w14:paraId="10495864" w14:textId="77777777" w:rsidR="00404725" w:rsidRDefault="00404725">
                          <w:pPr>
                            <w:rPr>
                              <w:b/>
                              <w:sz w:val="10"/>
                            </w:rPr>
                          </w:pPr>
                        </w:p>
                        <w:p w14:paraId="68D0A6C1" w14:textId="77777777" w:rsidR="00404725" w:rsidRDefault="00404725">
                          <w:pPr>
                            <w:rPr>
                              <w:b/>
                              <w:sz w:val="16"/>
                            </w:rPr>
                          </w:pPr>
                        </w:p>
                        <w:p w14:paraId="279A1D52" w14:textId="77777777" w:rsidR="00404725" w:rsidRDefault="00404725">
                          <w:pPr>
                            <w:rPr>
                              <w:b/>
                              <w:sz w:val="16"/>
                            </w:rPr>
                          </w:pPr>
                        </w:p>
                        <w:p w14:paraId="5E639925" w14:textId="77777777" w:rsidR="00404725" w:rsidRDefault="00404725">
                          <w:pPr>
                            <w:rPr>
                              <w:b/>
                              <w:sz w:val="16"/>
                            </w:rPr>
                          </w:pPr>
                          <w:r>
                            <w:rPr>
                              <w:rFonts w:hint="eastAsia"/>
                              <w:b/>
                              <w:sz w:val="20"/>
                            </w:rPr>
                            <w:t>G</w:t>
                          </w:r>
                        </w:p>
                        <w:p w14:paraId="2DF70FC9" w14:textId="77777777" w:rsidR="00404725" w:rsidRDefault="00404725">
                          <w:pPr>
                            <w:rPr>
                              <w:b/>
                              <w:sz w:val="10"/>
                            </w:rPr>
                          </w:pPr>
                        </w:p>
                        <w:p w14:paraId="7A2568B5" w14:textId="77777777" w:rsidR="00404725" w:rsidRDefault="00404725">
                          <w:pPr>
                            <w:rPr>
                              <w:b/>
                              <w:sz w:val="16"/>
                            </w:rPr>
                          </w:pPr>
                        </w:p>
                        <w:p w14:paraId="082EEE07" w14:textId="77777777" w:rsidR="00404725" w:rsidRDefault="00404725">
                          <w:pPr>
                            <w:rPr>
                              <w:b/>
                              <w:sz w:val="16"/>
                            </w:rPr>
                          </w:pPr>
                        </w:p>
                        <w:p w14:paraId="0B6E4934" w14:textId="77777777" w:rsidR="00404725" w:rsidRDefault="00404725">
                          <w:pPr>
                            <w:rPr>
                              <w:b/>
                              <w:sz w:val="16"/>
                            </w:rPr>
                          </w:pPr>
                          <w:r>
                            <w:rPr>
                              <w:rFonts w:hint="eastAsia"/>
                              <w:b/>
                              <w:sz w:val="20"/>
                            </w:rPr>
                            <w:t>H</w:t>
                          </w:r>
                        </w:p>
                        <w:p w14:paraId="20FB0E62" w14:textId="77777777" w:rsidR="00404725" w:rsidRDefault="00404725">
                          <w:pPr>
                            <w:rPr>
                              <w:b/>
                              <w:sz w:val="10"/>
                            </w:rPr>
                          </w:pPr>
                        </w:p>
                        <w:p w14:paraId="5A638BCF" w14:textId="77777777" w:rsidR="00404725" w:rsidRDefault="00404725">
                          <w:pPr>
                            <w:rPr>
                              <w:b/>
                              <w:sz w:val="16"/>
                            </w:rPr>
                          </w:pPr>
                        </w:p>
                        <w:p w14:paraId="37F7659B" w14:textId="77777777" w:rsidR="00404725" w:rsidRDefault="00404725">
                          <w:pPr>
                            <w:rPr>
                              <w:b/>
                              <w:sz w:val="16"/>
                            </w:rPr>
                          </w:pPr>
                        </w:p>
                        <w:p w14:paraId="2901CA3F" w14:textId="77777777" w:rsidR="00404725" w:rsidRDefault="00404725">
                          <w:pPr>
                            <w:rPr>
                              <w:b/>
                              <w:sz w:val="16"/>
                            </w:rPr>
                          </w:pPr>
                          <w:r>
                            <w:rPr>
                              <w:rFonts w:hint="eastAsia"/>
                              <w:b/>
                              <w:sz w:val="20"/>
                            </w:rPr>
                            <w:t>I</w:t>
                          </w:r>
                        </w:p>
                        <w:p w14:paraId="44B88BAF" w14:textId="77777777" w:rsidR="00404725" w:rsidRDefault="00404725">
                          <w:pPr>
                            <w:rPr>
                              <w:b/>
                              <w:sz w:val="10"/>
                            </w:rPr>
                          </w:pPr>
                        </w:p>
                        <w:p w14:paraId="76D38646" w14:textId="77777777" w:rsidR="00404725" w:rsidRDefault="00404725">
                          <w:pPr>
                            <w:rPr>
                              <w:b/>
                              <w:sz w:val="16"/>
                            </w:rPr>
                          </w:pPr>
                        </w:p>
                        <w:p w14:paraId="2BD31322" w14:textId="77777777" w:rsidR="00404725" w:rsidRDefault="00404725">
                          <w:pPr>
                            <w:rPr>
                              <w:b/>
                              <w:sz w:val="16"/>
                            </w:rPr>
                          </w:pPr>
                        </w:p>
                        <w:p w14:paraId="5B91C1D0" w14:textId="77777777" w:rsidR="00404725" w:rsidRDefault="00404725">
                          <w:pPr>
                            <w:rPr>
                              <w:b/>
                              <w:sz w:val="16"/>
                            </w:rPr>
                          </w:pPr>
                          <w:r>
                            <w:rPr>
                              <w:rFonts w:hint="eastAsia"/>
                              <w:b/>
                              <w:sz w:val="20"/>
                            </w:rPr>
                            <w:t>J</w:t>
                          </w:r>
                        </w:p>
                        <w:p w14:paraId="01C526D4" w14:textId="77777777" w:rsidR="00404725" w:rsidRDefault="00404725">
                          <w:pPr>
                            <w:rPr>
                              <w:b/>
                              <w:sz w:val="10"/>
                            </w:rPr>
                          </w:pPr>
                        </w:p>
                        <w:p w14:paraId="036F3377" w14:textId="77777777" w:rsidR="00404725" w:rsidRDefault="00404725">
                          <w:pPr>
                            <w:rPr>
                              <w:b/>
                              <w:sz w:val="16"/>
                            </w:rPr>
                          </w:pPr>
                        </w:p>
                        <w:p w14:paraId="5C16024C" w14:textId="77777777" w:rsidR="00404725" w:rsidRDefault="00404725">
                          <w:pPr>
                            <w:rPr>
                              <w:b/>
                              <w:sz w:val="16"/>
                            </w:rPr>
                          </w:pPr>
                        </w:p>
                        <w:p w14:paraId="5362F291" w14:textId="77777777" w:rsidR="00404725" w:rsidRDefault="00404725">
                          <w:pPr>
                            <w:rPr>
                              <w:b/>
                              <w:sz w:val="16"/>
                            </w:rPr>
                          </w:pPr>
                          <w:r>
                            <w:rPr>
                              <w:rFonts w:hint="eastAsia"/>
                              <w:b/>
                              <w:sz w:val="20"/>
                            </w:rPr>
                            <w:t>K</w:t>
                          </w:r>
                        </w:p>
                        <w:p w14:paraId="160094D9" w14:textId="77777777" w:rsidR="00404725" w:rsidRDefault="00404725">
                          <w:pPr>
                            <w:rPr>
                              <w:b/>
                              <w:sz w:val="10"/>
                            </w:rPr>
                          </w:pPr>
                        </w:p>
                        <w:p w14:paraId="2F5AF916" w14:textId="77777777" w:rsidR="00404725" w:rsidRDefault="00404725">
                          <w:pPr>
                            <w:rPr>
                              <w:b/>
                              <w:sz w:val="16"/>
                            </w:rPr>
                          </w:pPr>
                        </w:p>
                        <w:p w14:paraId="501299EE" w14:textId="77777777" w:rsidR="00404725" w:rsidRDefault="00404725">
                          <w:pPr>
                            <w:rPr>
                              <w:b/>
                              <w:sz w:val="16"/>
                            </w:rPr>
                          </w:pPr>
                        </w:p>
                        <w:p w14:paraId="74A8309A" w14:textId="77777777" w:rsidR="00404725" w:rsidRDefault="00404725">
                          <w:pPr>
                            <w:rPr>
                              <w:b/>
                              <w:sz w:val="16"/>
                            </w:rPr>
                          </w:pPr>
                          <w:r>
                            <w:rPr>
                              <w:rFonts w:hint="eastAsia"/>
                              <w:b/>
                              <w:sz w:val="20"/>
                            </w:rPr>
                            <w:t>L</w:t>
                          </w:r>
                        </w:p>
                        <w:p w14:paraId="735D686C" w14:textId="77777777" w:rsidR="00404725" w:rsidRDefault="00404725">
                          <w:pPr>
                            <w:rPr>
                              <w:b/>
                              <w:sz w:val="10"/>
                            </w:rPr>
                          </w:pPr>
                        </w:p>
                        <w:p w14:paraId="617BE766" w14:textId="77777777" w:rsidR="00404725" w:rsidRDefault="00404725">
                          <w:pPr>
                            <w:rPr>
                              <w:b/>
                              <w:sz w:val="16"/>
                            </w:rPr>
                          </w:pPr>
                        </w:p>
                        <w:p w14:paraId="6969311C" w14:textId="77777777" w:rsidR="00404725" w:rsidRDefault="00404725">
                          <w:pPr>
                            <w:rPr>
                              <w:b/>
                              <w:sz w:val="16"/>
                            </w:rPr>
                          </w:pPr>
                        </w:p>
                        <w:p w14:paraId="038DDF16" w14:textId="77777777" w:rsidR="00404725" w:rsidRDefault="00404725">
                          <w:pPr>
                            <w:rPr>
                              <w:b/>
                              <w:sz w:val="16"/>
                            </w:rPr>
                          </w:pPr>
                          <w:r>
                            <w:rPr>
                              <w:rFonts w:hint="eastAsia"/>
                              <w:b/>
                              <w:sz w:val="20"/>
                            </w:rPr>
                            <w:t>M</w:t>
                          </w:r>
                        </w:p>
                        <w:p w14:paraId="74B3EF49" w14:textId="77777777" w:rsidR="00404725" w:rsidRDefault="00404725">
                          <w:pPr>
                            <w:rPr>
                              <w:b/>
                              <w:sz w:val="10"/>
                            </w:rPr>
                          </w:pPr>
                        </w:p>
                        <w:p w14:paraId="35EFA860" w14:textId="77777777" w:rsidR="00404725" w:rsidRDefault="00404725">
                          <w:pPr>
                            <w:rPr>
                              <w:b/>
                              <w:sz w:val="16"/>
                            </w:rPr>
                          </w:pPr>
                        </w:p>
                        <w:p w14:paraId="461B313C" w14:textId="77777777" w:rsidR="00404725" w:rsidRDefault="00404725">
                          <w:pPr>
                            <w:rPr>
                              <w:b/>
                              <w:sz w:val="16"/>
                            </w:rPr>
                          </w:pPr>
                        </w:p>
                        <w:p w14:paraId="1C3C93C8" w14:textId="77777777" w:rsidR="00404725" w:rsidRDefault="00404725">
                          <w:pPr>
                            <w:rPr>
                              <w:b/>
                              <w:sz w:val="16"/>
                            </w:rPr>
                          </w:pPr>
                          <w:r>
                            <w:rPr>
                              <w:rFonts w:hint="eastAsia"/>
                              <w:b/>
                              <w:sz w:val="20"/>
                            </w:rPr>
                            <w:t>N</w:t>
                          </w:r>
                        </w:p>
                        <w:p w14:paraId="5AFE0FFC" w14:textId="77777777" w:rsidR="00404725" w:rsidRDefault="00404725">
                          <w:pPr>
                            <w:rPr>
                              <w:b/>
                              <w:sz w:val="10"/>
                            </w:rPr>
                          </w:pPr>
                        </w:p>
                        <w:p w14:paraId="5FB81674" w14:textId="77777777" w:rsidR="00404725" w:rsidRDefault="00404725">
                          <w:pPr>
                            <w:rPr>
                              <w:b/>
                              <w:sz w:val="16"/>
                            </w:rPr>
                          </w:pPr>
                        </w:p>
                        <w:p w14:paraId="34424D2A" w14:textId="77777777" w:rsidR="00404725" w:rsidRDefault="00404725">
                          <w:pPr>
                            <w:rPr>
                              <w:b/>
                              <w:sz w:val="16"/>
                            </w:rPr>
                          </w:pPr>
                        </w:p>
                        <w:p w14:paraId="6E9702BF" w14:textId="77777777" w:rsidR="00404725" w:rsidRDefault="00404725">
                          <w:pPr>
                            <w:rPr>
                              <w:b/>
                              <w:sz w:val="16"/>
                            </w:rPr>
                          </w:pPr>
                          <w:r>
                            <w:rPr>
                              <w:rFonts w:hint="eastAsia"/>
                              <w:b/>
                              <w:sz w:val="20"/>
                            </w:rPr>
                            <w:t>O</w:t>
                          </w:r>
                        </w:p>
                        <w:p w14:paraId="325145F5" w14:textId="77777777" w:rsidR="00404725" w:rsidRDefault="00404725">
                          <w:pPr>
                            <w:rPr>
                              <w:b/>
                              <w:sz w:val="10"/>
                            </w:rPr>
                          </w:pPr>
                        </w:p>
                        <w:p w14:paraId="72F5A97C" w14:textId="77777777" w:rsidR="00404725" w:rsidRDefault="00404725">
                          <w:pPr>
                            <w:rPr>
                              <w:b/>
                              <w:sz w:val="16"/>
                            </w:rPr>
                          </w:pPr>
                        </w:p>
                        <w:p w14:paraId="5573DFF3" w14:textId="77777777" w:rsidR="00404725" w:rsidRDefault="00404725">
                          <w:pPr>
                            <w:rPr>
                              <w:b/>
                              <w:sz w:val="16"/>
                            </w:rPr>
                          </w:pPr>
                        </w:p>
                        <w:p w14:paraId="59634850" w14:textId="77777777" w:rsidR="00404725" w:rsidRDefault="00404725">
                          <w:pPr>
                            <w:rPr>
                              <w:b/>
                              <w:sz w:val="16"/>
                            </w:rPr>
                          </w:pPr>
                          <w:r>
                            <w:rPr>
                              <w:rFonts w:hint="eastAsia"/>
                              <w:b/>
                              <w:sz w:val="20"/>
                            </w:rPr>
                            <w:t>P</w:t>
                          </w:r>
                        </w:p>
                        <w:p w14:paraId="50DA1980" w14:textId="77777777" w:rsidR="00404725" w:rsidRDefault="00404725">
                          <w:pPr>
                            <w:rPr>
                              <w:b/>
                              <w:sz w:val="10"/>
                            </w:rPr>
                          </w:pPr>
                        </w:p>
                        <w:p w14:paraId="5A1127AE" w14:textId="77777777" w:rsidR="00404725" w:rsidRDefault="00404725">
                          <w:pPr>
                            <w:rPr>
                              <w:b/>
                              <w:sz w:val="16"/>
                            </w:rPr>
                          </w:pPr>
                        </w:p>
                        <w:p w14:paraId="5F2C126E" w14:textId="77777777" w:rsidR="00404725" w:rsidRDefault="00404725">
                          <w:pPr>
                            <w:rPr>
                              <w:b/>
                              <w:sz w:val="16"/>
                            </w:rPr>
                          </w:pPr>
                        </w:p>
                        <w:p w14:paraId="38CBE618" w14:textId="77777777" w:rsidR="00404725" w:rsidRDefault="00404725">
                          <w:pPr>
                            <w:rPr>
                              <w:b/>
                              <w:sz w:val="16"/>
                            </w:rPr>
                          </w:pPr>
                          <w:r>
                            <w:rPr>
                              <w:rFonts w:hint="eastAsia"/>
                              <w:b/>
                              <w:sz w:val="20"/>
                            </w:rPr>
                            <w:t>Q</w:t>
                          </w:r>
                        </w:p>
                        <w:p w14:paraId="01470249" w14:textId="77777777" w:rsidR="00404725" w:rsidRDefault="00404725">
                          <w:pPr>
                            <w:rPr>
                              <w:b/>
                              <w:sz w:val="10"/>
                            </w:rPr>
                          </w:pPr>
                        </w:p>
                        <w:p w14:paraId="1C2F5CA6" w14:textId="77777777" w:rsidR="00404725" w:rsidRDefault="00404725">
                          <w:pPr>
                            <w:rPr>
                              <w:b/>
                              <w:sz w:val="16"/>
                            </w:rPr>
                          </w:pPr>
                        </w:p>
                        <w:p w14:paraId="600213A3" w14:textId="77777777" w:rsidR="00404725" w:rsidRDefault="00404725">
                          <w:pPr>
                            <w:rPr>
                              <w:b/>
                              <w:sz w:val="16"/>
                            </w:rPr>
                          </w:pPr>
                        </w:p>
                        <w:p w14:paraId="4AB8368F" w14:textId="77777777" w:rsidR="00404725" w:rsidRDefault="00404725">
                          <w:pPr>
                            <w:rPr>
                              <w:b/>
                              <w:sz w:val="16"/>
                            </w:rPr>
                          </w:pPr>
                          <w:r>
                            <w:rPr>
                              <w:rFonts w:hint="eastAsia"/>
                              <w:b/>
                              <w:sz w:val="20"/>
                            </w:rPr>
                            <w:t>R</w:t>
                          </w:r>
                        </w:p>
                        <w:p w14:paraId="1811E21F" w14:textId="77777777" w:rsidR="00404725" w:rsidRDefault="00404725">
                          <w:pPr>
                            <w:rPr>
                              <w:b/>
                              <w:sz w:val="10"/>
                            </w:rPr>
                          </w:pPr>
                        </w:p>
                        <w:p w14:paraId="011C6E65" w14:textId="77777777" w:rsidR="00404725" w:rsidRDefault="00404725">
                          <w:pPr>
                            <w:rPr>
                              <w:b/>
                              <w:sz w:val="16"/>
                            </w:rPr>
                          </w:pPr>
                        </w:p>
                        <w:p w14:paraId="3AC3D5D5" w14:textId="77777777" w:rsidR="00404725" w:rsidRDefault="00404725">
                          <w:pPr>
                            <w:rPr>
                              <w:b/>
                              <w:sz w:val="16"/>
                            </w:rPr>
                          </w:pPr>
                        </w:p>
                        <w:p w14:paraId="05EF2E9D" w14:textId="77777777" w:rsidR="00404725" w:rsidRDefault="00404725">
                          <w:pPr>
                            <w:rPr>
                              <w:b/>
                              <w:sz w:val="16"/>
                            </w:rPr>
                          </w:pPr>
                          <w:r>
                            <w:rPr>
                              <w:rFonts w:hint="eastAsia"/>
                              <w:b/>
                              <w:sz w:val="20"/>
                            </w:rPr>
                            <w:t>S</w:t>
                          </w:r>
                        </w:p>
                        <w:p w14:paraId="43DC00FF" w14:textId="77777777" w:rsidR="00404725" w:rsidRDefault="00404725">
                          <w:pPr>
                            <w:rPr>
                              <w:b/>
                              <w:sz w:val="10"/>
                            </w:rPr>
                          </w:pPr>
                        </w:p>
                        <w:p w14:paraId="6A1F06CF" w14:textId="77777777" w:rsidR="00404725" w:rsidRDefault="00404725">
                          <w:pPr>
                            <w:rPr>
                              <w:b/>
                              <w:sz w:val="16"/>
                            </w:rPr>
                          </w:pPr>
                        </w:p>
                        <w:p w14:paraId="43551AAD" w14:textId="77777777" w:rsidR="00404725" w:rsidRDefault="00404725">
                          <w:pPr>
                            <w:rPr>
                              <w:b/>
                              <w:sz w:val="16"/>
                            </w:rPr>
                          </w:pPr>
                        </w:p>
                        <w:p w14:paraId="32ED32C5" w14:textId="77777777" w:rsidR="00404725" w:rsidRDefault="00404725">
                          <w:pPr>
                            <w:rPr>
                              <w:b/>
                              <w:sz w:val="16"/>
                            </w:rPr>
                          </w:pPr>
                          <w:r>
                            <w:rPr>
                              <w:rFonts w:hint="eastAsia"/>
                              <w:b/>
                              <w:sz w:val="20"/>
                            </w:rPr>
                            <w:t>T</w:t>
                          </w:r>
                        </w:p>
                        <w:p w14:paraId="50C173D3" w14:textId="77777777" w:rsidR="00404725" w:rsidRDefault="00404725">
                          <w:pPr>
                            <w:rPr>
                              <w:b/>
                              <w:sz w:val="10"/>
                            </w:rPr>
                          </w:pPr>
                        </w:p>
                        <w:p w14:paraId="288551B3" w14:textId="77777777" w:rsidR="00404725" w:rsidRDefault="00404725">
                          <w:pPr>
                            <w:rPr>
                              <w:b/>
                              <w:sz w:val="16"/>
                            </w:rPr>
                          </w:pPr>
                        </w:p>
                        <w:p w14:paraId="1D9C1706" w14:textId="77777777" w:rsidR="00404725" w:rsidRDefault="00404725">
                          <w:pPr>
                            <w:rPr>
                              <w:b/>
                              <w:sz w:val="16"/>
                            </w:rPr>
                          </w:pPr>
                        </w:p>
                        <w:p w14:paraId="082BF03D" w14:textId="77777777" w:rsidR="00404725" w:rsidRDefault="00404725">
                          <w:pPr>
                            <w:rPr>
                              <w:b/>
                              <w:sz w:val="16"/>
                            </w:rPr>
                          </w:pPr>
                          <w:r>
                            <w:rPr>
                              <w:rFonts w:hint="eastAsia"/>
                              <w:b/>
                              <w:sz w:val="20"/>
                            </w:rPr>
                            <w:t>U</w:t>
                          </w:r>
                        </w:p>
                        <w:p w14:paraId="18AC0A56" w14:textId="77777777" w:rsidR="00404725" w:rsidRDefault="00404725">
                          <w:pPr>
                            <w:rPr>
                              <w:b/>
                              <w:sz w:val="10"/>
                            </w:rPr>
                          </w:pPr>
                        </w:p>
                        <w:p w14:paraId="1B15453C" w14:textId="77777777" w:rsidR="00404725" w:rsidRDefault="00404725">
                          <w:pPr>
                            <w:rPr>
                              <w:b/>
                              <w:sz w:val="16"/>
                            </w:rPr>
                          </w:pPr>
                        </w:p>
                        <w:p w14:paraId="1A0DC6EC" w14:textId="77777777" w:rsidR="00404725" w:rsidRDefault="00404725">
                          <w:pPr>
                            <w:rPr>
                              <w:b/>
                              <w:sz w:val="16"/>
                            </w:rPr>
                          </w:pPr>
                        </w:p>
                        <w:p w14:paraId="1D950116" w14:textId="77777777" w:rsidR="00404725" w:rsidRDefault="00404725">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404725" w:rsidRDefault="00404725">
                    <w:pPr>
                      <w:rPr>
                        <w:b/>
                        <w:sz w:val="20"/>
                      </w:rPr>
                    </w:pPr>
                    <w:r>
                      <w:rPr>
                        <w:rFonts w:hint="eastAsia"/>
                        <w:b/>
                        <w:sz w:val="20"/>
                      </w:rPr>
                      <w:t>A</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20"/>
                      </w:rPr>
                    </w:pPr>
                    <w:r>
                      <w:rPr>
                        <w:rFonts w:hint="eastAsia"/>
                        <w:b/>
                        <w:sz w:val="20"/>
                      </w:rPr>
                      <w:t>B</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C</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pStyle w:val="Heading2"/>
                      <w:rPr>
                        <w:sz w:val="16"/>
                      </w:rPr>
                    </w:pPr>
                    <w:r>
                      <w:rPr>
                        <w:rFonts w:hint="eastAsia"/>
                      </w:rPr>
                      <w:t>D</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E</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20"/>
                      </w:rPr>
                    </w:pPr>
                    <w:r>
                      <w:rPr>
                        <w:rFonts w:hint="eastAsia"/>
                        <w:b/>
                        <w:sz w:val="20"/>
                      </w:rPr>
                      <w:t>F</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G</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H</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I</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J</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K</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L</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M</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N</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O</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P</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Q</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R</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S</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T</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rPr>
                        <w:b/>
                        <w:sz w:val="16"/>
                      </w:rPr>
                    </w:pPr>
                    <w:r>
                      <w:rPr>
                        <w:rFonts w:hint="eastAsia"/>
                        <w:b/>
                        <w:sz w:val="20"/>
                      </w:rPr>
                      <w:t>U</w:t>
                    </w:r>
                  </w:p>
                  <w:p w:rsidR="00404725" w:rsidRDefault="00404725">
                    <w:pPr>
                      <w:rPr>
                        <w:b/>
                        <w:sz w:val="10"/>
                      </w:rPr>
                    </w:pPr>
                  </w:p>
                  <w:p w:rsidR="00404725" w:rsidRDefault="00404725">
                    <w:pPr>
                      <w:rPr>
                        <w:b/>
                        <w:sz w:val="16"/>
                      </w:rPr>
                    </w:pPr>
                  </w:p>
                  <w:p w:rsidR="00404725" w:rsidRDefault="00404725">
                    <w:pPr>
                      <w:rPr>
                        <w:b/>
                        <w:sz w:val="16"/>
                      </w:rPr>
                    </w:pPr>
                  </w:p>
                  <w:p w:rsidR="00404725" w:rsidRDefault="00404725">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6804D54A" wp14:editId="1C77771D">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6238A" w14:textId="77777777" w:rsidR="00404725" w:rsidRDefault="00404725">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404725" w:rsidRDefault="00404725">
                    <w:pPr>
                      <w:rPr>
                        <w:rFonts w:eastAsia="黑体"/>
                        <w:b/>
                        <w:sz w:val="18"/>
                      </w:rPr>
                    </w:pPr>
                  </w:p>
                </w:txbxContent>
              </v:textbox>
            </v:shape>
          </w:pict>
        </mc:Fallback>
      </mc:AlternateContent>
    </w:r>
  </w:p>
  <w:p w14:paraId="3B781F89" w14:textId="77777777" w:rsidR="00404725" w:rsidRDefault="0040472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5C8D"/>
    <w:multiLevelType w:val="hybridMultilevel"/>
    <w:tmpl w:val="C7905900"/>
    <w:lvl w:ilvl="0" w:tplc="AF027602">
      <w:start w:val="1"/>
      <w:numFmt w:val="decimal"/>
      <w:lvlText w:val="(%1)"/>
      <w:lvlJc w:val="left"/>
      <w:pPr>
        <w:ind w:left="720" w:hanging="360"/>
      </w:pPr>
      <w:rPr>
        <w:rFonts w:ascii="Times New Roman" w:eastAsia="等线" w:hAnsi="Times New Roman" w:hint="default"/>
        <w:b w:val="0"/>
        <w:bCs w:val="0"/>
        <w:i w:val="0"/>
        <w:iCs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85478"/>
    <w:multiLevelType w:val="hybridMultilevel"/>
    <w:tmpl w:val="A6AA7B76"/>
    <w:lvl w:ilvl="0" w:tplc="705E66C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501CE"/>
    <w:multiLevelType w:val="hybridMultilevel"/>
    <w:tmpl w:val="B81CB52A"/>
    <w:lvl w:ilvl="0" w:tplc="AF027602">
      <w:start w:val="1"/>
      <w:numFmt w:val="decimal"/>
      <w:lvlText w:val="(%1)"/>
      <w:lvlJc w:val="left"/>
      <w:pPr>
        <w:ind w:left="720" w:hanging="360"/>
      </w:pPr>
      <w:rPr>
        <w:rFonts w:ascii="Times New Roman" w:eastAsia="等线" w:hAnsi="Times New Roman" w:hint="default"/>
        <w:b w:val="0"/>
        <w:bCs w:val="0"/>
        <w:i w:val="0"/>
        <w:iCs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17697"/>
    <w:multiLevelType w:val="hybridMultilevel"/>
    <w:tmpl w:val="A3A8F20A"/>
    <w:lvl w:ilvl="0" w:tplc="AF027602">
      <w:start w:val="1"/>
      <w:numFmt w:val="decimal"/>
      <w:lvlText w:val="(%1)"/>
      <w:lvlJc w:val="left"/>
      <w:pPr>
        <w:ind w:left="720" w:hanging="360"/>
      </w:pPr>
      <w:rPr>
        <w:rFonts w:ascii="Times New Roman" w:eastAsia="等线" w:hAnsi="Times New Roman" w:hint="default"/>
        <w:b w:val="0"/>
        <w:bCs w:val="0"/>
        <w:i w:val="0"/>
        <w:iCs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524DF"/>
    <w:multiLevelType w:val="hybridMultilevel"/>
    <w:tmpl w:val="73A6419C"/>
    <w:lvl w:ilvl="0" w:tplc="AF027602">
      <w:start w:val="1"/>
      <w:numFmt w:val="decimal"/>
      <w:lvlText w:val="(%1)"/>
      <w:lvlJc w:val="left"/>
      <w:pPr>
        <w:ind w:left="720" w:hanging="360"/>
      </w:pPr>
      <w:rPr>
        <w:rFonts w:ascii="Times New Roman" w:eastAsia="等线"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27BD9"/>
    <w:multiLevelType w:val="hybridMultilevel"/>
    <w:tmpl w:val="F3FCA5F8"/>
    <w:lvl w:ilvl="0" w:tplc="AF027602">
      <w:start w:val="1"/>
      <w:numFmt w:val="decimal"/>
      <w:lvlText w:val="(%1)"/>
      <w:lvlJc w:val="left"/>
      <w:pPr>
        <w:ind w:left="720" w:hanging="360"/>
      </w:pPr>
      <w:rPr>
        <w:rFonts w:ascii="Times New Roman" w:eastAsia="等线" w:hAnsi="Times New Roman" w:hint="default"/>
        <w:b w:val="0"/>
        <w:bCs w:val="0"/>
        <w:i w:val="0"/>
        <w:iCs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249D0"/>
    <w:multiLevelType w:val="hybridMultilevel"/>
    <w:tmpl w:val="D1845418"/>
    <w:lvl w:ilvl="0" w:tplc="AF027602">
      <w:start w:val="1"/>
      <w:numFmt w:val="decimal"/>
      <w:lvlText w:val="(%1)"/>
      <w:lvlJc w:val="left"/>
      <w:pPr>
        <w:ind w:left="720" w:hanging="360"/>
      </w:pPr>
      <w:rPr>
        <w:rFonts w:ascii="Times New Roman" w:eastAsia="等线" w:hAnsi="Times New Roman" w:hint="default"/>
        <w:b w:val="0"/>
        <w:bCs w:val="0"/>
        <w:i w:val="0"/>
        <w:iCs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0612C"/>
    <w:multiLevelType w:val="hybridMultilevel"/>
    <w:tmpl w:val="3DC404A6"/>
    <w:lvl w:ilvl="0" w:tplc="AF027602">
      <w:start w:val="1"/>
      <w:numFmt w:val="decimal"/>
      <w:lvlText w:val="(%1)"/>
      <w:lvlJc w:val="left"/>
      <w:pPr>
        <w:ind w:left="720" w:hanging="360"/>
      </w:pPr>
      <w:rPr>
        <w:rFonts w:ascii="Times New Roman" w:eastAsia="等线" w:hAnsi="Times New Roman" w:hint="default"/>
        <w:b w:val="0"/>
        <w:bCs w:val="0"/>
        <w:i w:val="0"/>
        <w:iCs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00BAB"/>
    <w:multiLevelType w:val="hybridMultilevel"/>
    <w:tmpl w:val="C1E2AD04"/>
    <w:lvl w:ilvl="0" w:tplc="AF027602">
      <w:start w:val="1"/>
      <w:numFmt w:val="decimal"/>
      <w:lvlText w:val="(%1)"/>
      <w:lvlJc w:val="left"/>
      <w:pPr>
        <w:ind w:left="720" w:hanging="360"/>
      </w:pPr>
      <w:rPr>
        <w:rFonts w:ascii="Times New Roman" w:eastAsia="等线" w:hAnsi="Times New Roman" w:hint="default"/>
        <w:b w:val="0"/>
        <w:bCs w:val="0"/>
        <w:i w:val="0"/>
        <w:iCs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52F28"/>
    <w:multiLevelType w:val="hybridMultilevel"/>
    <w:tmpl w:val="85FC9062"/>
    <w:lvl w:ilvl="0" w:tplc="AF027602">
      <w:start w:val="1"/>
      <w:numFmt w:val="decimal"/>
      <w:lvlText w:val="(%1)"/>
      <w:lvlJc w:val="left"/>
      <w:pPr>
        <w:ind w:left="720" w:hanging="360"/>
      </w:pPr>
      <w:rPr>
        <w:rFonts w:ascii="Times New Roman" w:eastAsia="等线" w:hAnsi="Times New Roman" w:hint="default"/>
        <w:b w:val="0"/>
        <w:bCs w:val="0"/>
        <w:i w:val="0"/>
        <w:iCs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C20CA"/>
    <w:multiLevelType w:val="hybridMultilevel"/>
    <w:tmpl w:val="50E01CF2"/>
    <w:lvl w:ilvl="0" w:tplc="D85A819C">
      <w:start w:val="1"/>
      <w:numFmt w:val="decimal"/>
      <w:lvlText w:val="(%1)"/>
      <w:lvlJc w:val="left"/>
      <w:pPr>
        <w:ind w:left="720" w:hanging="360"/>
      </w:pPr>
      <w:rPr>
        <w:rFonts w:ascii="Times New Roman" w:eastAsia="等线" w:hAnsi="Times New Roman" w:hint="default"/>
        <w:b w:val="0"/>
        <w:bCs w:val="0"/>
        <w:i w:val="0"/>
        <w:i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A581B"/>
    <w:multiLevelType w:val="hybridMultilevel"/>
    <w:tmpl w:val="820EE13E"/>
    <w:lvl w:ilvl="0" w:tplc="D85A819C">
      <w:start w:val="1"/>
      <w:numFmt w:val="decimal"/>
      <w:lvlText w:val="(%1)"/>
      <w:lvlJc w:val="left"/>
      <w:pPr>
        <w:ind w:left="720" w:hanging="360"/>
      </w:pPr>
      <w:rPr>
        <w:rFonts w:ascii="Times New Roman" w:eastAsia="等线" w:hAnsi="Times New Roman" w:hint="default"/>
        <w:b w:val="0"/>
        <w:bCs w:val="0"/>
        <w:i w:val="0"/>
        <w:i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957280"/>
    <w:multiLevelType w:val="hybridMultilevel"/>
    <w:tmpl w:val="C77EBA5A"/>
    <w:lvl w:ilvl="0" w:tplc="AF027602">
      <w:start w:val="1"/>
      <w:numFmt w:val="decimal"/>
      <w:lvlText w:val="(%1)"/>
      <w:lvlJc w:val="left"/>
      <w:pPr>
        <w:ind w:left="720" w:hanging="360"/>
      </w:pPr>
      <w:rPr>
        <w:rFonts w:ascii="Times New Roman" w:eastAsia="等线" w:hAnsi="Times New Roman" w:hint="default"/>
        <w:b w:val="0"/>
        <w:bCs w:val="0"/>
        <w:i w:val="0"/>
        <w:iCs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9"/>
  </w:num>
  <w:num w:numId="5">
    <w:abstractNumId w:val="6"/>
  </w:num>
  <w:num w:numId="6">
    <w:abstractNumId w:val="0"/>
  </w:num>
  <w:num w:numId="7">
    <w:abstractNumId w:val="2"/>
  </w:num>
  <w:num w:numId="8">
    <w:abstractNumId w:val="3"/>
  </w:num>
  <w:num w:numId="9">
    <w:abstractNumId w:val="11"/>
  </w:num>
  <w:num w:numId="10">
    <w:abstractNumId w:val="10"/>
  </w:num>
  <w:num w:numId="11">
    <w:abstractNumId w:val="12"/>
  </w:num>
  <w:num w:numId="12">
    <w:abstractNumId w:val="4"/>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2869"/>
    <w:rsid w:val="00013D7A"/>
    <w:rsid w:val="00016AAA"/>
    <w:rsid w:val="00026C99"/>
    <w:rsid w:val="000305E0"/>
    <w:rsid w:val="00033986"/>
    <w:rsid w:val="00033E26"/>
    <w:rsid w:val="00034A9B"/>
    <w:rsid w:val="0003519F"/>
    <w:rsid w:val="000375FD"/>
    <w:rsid w:val="00041477"/>
    <w:rsid w:val="00042582"/>
    <w:rsid w:val="0004298B"/>
    <w:rsid w:val="00042E4A"/>
    <w:rsid w:val="00046B0C"/>
    <w:rsid w:val="00047AAE"/>
    <w:rsid w:val="00053760"/>
    <w:rsid w:val="0005673B"/>
    <w:rsid w:val="00056F63"/>
    <w:rsid w:val="0006211F"/>
    <w:rsid w:val="00076217"/>
    <w:rsid w:val="00076C1B"/>
    <w:rsid w:val="000941F8"/>
    <w:rsid w:val="00096AFC"/>
    <w:rsid w:val="000D11B0"/>
    <w:rsid w:val="000D7535"/>
    <w:rsid w:val="000E5161"/>
    <w:rsid w:val="001050FF"/>
    <w:rsid w:val="0011138D"/>
    <w:rsid w:val="00117723"/>
    <w:rsid w:val="00145B6A"/>
    <w:rsid w:val="00166FC5"/>
    <w:rsid w:val="00172037"/>
    <w:rsid w:val="001763C1"/>
    <w:rsid w:val="0017795E"/>
    <w:rsid w:val="001807BF"/>
    <w:rsid w:val="00183AAF"/>
    <w:rsid w:val="0018729A"/>
    <w:rsid w:val="00193D13"/>
    <w:rsid w:val="00194689"/>
    <w:rsid w:val="00196A91"/>
    <w:rsid w:val="001A0A4F"/>
    <w:rsid w:val="001A58BE"/>
    <w:rsid w:val="001B54BD"/>
    <w:rsid w:val="001C0AA8"/>
    <w:rsid w:val="001D3239"/>
    <w:rsid w:val="001D455F"/>
    <w:rsid w:val="001D7B95"/>
    <w:rsid w:val="001E07A2"/>
    <w:rsid w:val="001F4BBA"/>
    <w:rsid w:val="001F5516"/>
    <w:rsid w:val="0020117E"/>
    <w:rsid w:val="002142E7"/>
    <w:rsid w:val="002225E2"/>
    <w:rsid w:val="00223BB1"/>
    <w:rsid w:val="00226A53"/>
    <w:rsid w:val="002272C4"/>
    <w:rsid w:val="00227A49"/>
    <w:rsid w:val="0023569D"/>
    <w:rsid w:val="00245D70"/>
    <w:rsid w:val="002519DA"/>
    <w:rsid w:val="0025689F"/>
    <w:rsid w:val="00264B28"/>
    <w:rsid w:val="00264B63"/>
    <w:rsid w:val="00266A94"/>
    <w:rsid w:val="00273A1D"/>
    <w:rsid w:val="0027494E"/>
    <w:rsid w:val="00276737"/>
    <w:rsid w:val="00295D2D"/>
    <w:rsid w:val="002B0D71"/>
    <w:rsid w:val="002B2679"/>
    <w:rsid w:val="002B4359"/>
    <w:rsid w:val="002B5195"/>
    <w:rsid w:val="002B54AB"/>
    <w:rsid w:val="002C2C86"/>
    <w:rsid w:val="002D6F2F"/>
    <w:rsid w:val="002E44A3"/>
    <w:rsid w:val="002E44FF"/>
    <w:rsid w:val="002E4875"/>
    <w:rsid w:val="002F03F8"/>
    <w:rsid w:val="00301AB1"/>
    <w:rsid w:val="0030210D"/>
    <w:rsid w:val="0030302E"/>
    <w:rsid w:val="00306388"/>
    <w:rsid w:val="00306D24"/>
    <w:rsid w:val="00314529"/>
    <w:rsid w:val="00320D36"/>
    <w:rsid w:val="003304EA"/>
    <w:rsid w:val="00334AD4"/>
    <w:rsid w:val="00336372"/>
    <w:rsid w:val="00343054"/>
    <w:rsid w:val="003557EC"/>
    <w:rsid w:val="00367485"/>
    <w:rsid w:val="00381F96"/>
    <w:rsid w:val="0038458C"/>
    <w:rsid w:val="0038513F"/>
    <w:rsid w:val="00386187"/>
    <w:rsid w:val="0038665C"/>
    <w:rsid w:val="003905EF"/>
    <w:rsid w:val="00393063"/>
    <w:rsid w:val="003A1178"/>
    <w:rsid w:val="003A2D3E"/>
    <w:rsid w:val="003B1033"/>
    <w:rsid w:val="003B159B"/>
    <w:rsid w:val="003B44D8"/>
    <w:rsid w:val="003C03C9"/>
    <w:rsid w:val="003C119A"/>
    <w:rsid w:val="003D08E7"/>
    <w:rsid w:val="003D3FA5"/>
    <w:rsid w:val="003D4343"/>
    <w:rsid w:val="003D46D5"/>
    <w:rsid w:val="003E1AB7"/>
    <w:rsid w:val="003E266C"/>
    <w:rsid w:val="003E46D3"/>
    <w:rsid w:val="003E7AF4"/>
    <w:rsid w:val="00404725"/>
    <w:rsid w:val="00412AE2"/>
    <w:rsid w:val="004162F1"/>
    <w:rsid w:val="0042260D"/>
    <w:rsid w:val="00427824"/>
    <w:rsid w:val="00430695"/>
    <w:rsid w:val="00430CF6"/>
    <w:rsid w:val="00437467"/>
    <w:rsid w:val="004534E7"/>
    <w:rsid w:val="004675B1"/>
    <w:rsid w:val="00477AF3"/>
    <w:rsid w:val="004845FA"/>
    <w:rsid w:val="00484629"/>
    <w:rsid w:val="004945FD"/>
    <w:rsid w:val="0049505E"/>
    <w:rsid w:val="004A454E"/>
    <w:rsid w:val="004A4C89"/>
    <w:rsid w:val="004A7F0A"/>
    <w:rsid w:val="004B5413"/>
    <w:rsid w:val="004D0B36"/>
    <w:rsid w:val="004D2390"/>
    <w:rsid w:val="004D3A0D"/>
    <w:rsid w:val="004F4700"/>
    <w:rsid w:val="004F7853"/>
    <w:rsid w:val="005039B9"/>
    <w:rsid w:val="0051788F"/>
    <w:rsid w:val="005222CE"/>
    <w:rsid w:val="005254AF"/>
    <w:rsid w:val="00526268"/>
    <w:rsid w:val="00533EE7"/>
    <w:rsid w:val="00534706"/>
    <w:rsid w:val="00540731"/>
    <w:rsid w:val="00541031"/>
    <w:rsid w:val="00546EE9"/>
    <w:rsid w:val="005470A4"/>
    <w:rsid w:val="00547D24"/>
    <w:rsid w:val="0055213F"/>
    <w:rsid w:val="0055707D"/>
    <w:rsid w:val="00560DB1"/>
    <w:rsid w:val="005671C3"/>
    <w:rsid w:val="0057119B"/>
    <w:rsid w:val="005759BE"/>
    <w:rsid w:val="00576AFC"/>
    <w:rsid w:val="005806AC"/>
    <w:rsid w:val="00581703"/>
    <w:rsid w:val="00582702"/>
    <w:rsid w:val="0059343B"/>
    <w:rsid w:val="005951C6"/>
    <w:rsid w:val="005A1700"/>
    <w:rsid w:val="005A3B2C"/>
    <w:rsid w:val="005B0253"/>
    <w:rsid w:val="005B1222"/>
    <w:rsid w:val="005B4BCB"/>
    <w:rsid w:val="005C4424"/>
    <w:rsid w:val="005D3B85"/>
    <w:rsid w:val="005D4F12"/>
    <w:rsid w:val="005D6090"/>
    <w:rsid w:val="005E7AB0"/>
    <w:rsid w:val="005F7A2C"/>
    <w:rsid w:val="00603A55"/>
    <w:rsid w:val="0061346F"/>
    <w:rsid w:val="00620CF1"/>
    <w:rsid w:val="00622F0C"/>
    <w:rsid w:val="00623A7B"/>
    <w:rsid w:val="00626118"/>
    <w:rsid w:val="0063043A"/>
    <w:rsid w:val="006318B6"/>
    <w:rsid w:val="006467E8"/>
    <w:rsid w:val="00647B3F"/>
    <w:rsid w:val="006513AC"/>
    <w:rsid w:val="006544E6"/>
    <w:rsid w:val="00656233"/>
    <w:rsid w:val="006620E2"/>
    <w:rsid w:val="00664170"/>
    <w:rsid w:val="00670923"/>
    <w:rsid w:val="006709A1"/>
    <w:rsid w:val="006719A3"/>
    <w:rsid w:val="006813EB"/>
    <w:rsid w:val="00681755"/>
    <w:rsid w:val="00684129"/>
    <w:rsid w:val="006917AD"/>
    <w:rsid w:val="0069190C"/>
    <w:rsid w:val="00692EA1"/>
    <w:rsid w:val="00694A05"/>
    <w:rsid w:val="006A73A6"/>
    <w:rsid w:val="006B139E"/>
    <w:rsid w:val="006B1CD3"/>
    <w:rsid w:val="006B4C51"/>
    <w:rsid w:val="006B65E1"/>
    <w:rsid w:val="006D2487"/>
    <w:rsid w:val="006D5231"/>
    <w:rsid w:val="006D5EED"/>
    <w:rsid w:val="006D6BE0"/>
    <w:rsid w:val="006E23B9"/>
    <w:rsid w:val="006E290B"/>
    <w:rsid w:val="006E39C1"/>
    <w:rsid w:val="006E3AF5"/>
    <w:rsid w:val="006F407B"/>
    <w:rsid w:val="00705942"/>
    <w:rsid w:val="0071154D"/>
    <w:rsid w:val="007121AE"/>
    <w:rsid w:val="00722A44"/>
    <w:rsid w:val="00737F4F"/>
    <w:rsid w:val="007418CE"/>
    <w:rsid w:val="00751CC6"/>
    <w:rsid w:val="00753815"/>
    <w:rsid w:val="0075530A"/>
    <w:rsid w:val="00763B70"/>
    <w:rsid w:val="007659EE"/>
    <w:rsid w:val="00766A6B"/>
    <w:rsid w:val="007813BB"/>
    <w:rsid w:val="00782869"/>
    <w:rsid w:val="00785AAB"/>
    <w:rsid w:val="0078739A"/>
    <w:rsid w:val="0078792B"/>
    <w:rsid w:val="00790B13"/>
    <w:rsid w:val="007914C8"/>
    <w:rsid w:val="00793A4A"/>
    <w:rsid w:val="007A03B2"/>
    <w:rsid w:val="007A2E8D"/>
    <w:rsid w:val="007A3B6B"/>
    <w:rsid w:val="007B10DA"/>
    <w:rsid w:val="007B12D1"/>
    <w:rsid w:val="007B6BC9"/>
    <w:rsid w:val="007B7015"/>
    <w:rsid w:val="007C3D9E"/>
    <w:rsid w:val="007C4DBE"/>
    <w:rsid w:val="007D5378"/>
    <w:rsid w:val="007D5BC0"/>
    <w:rsid w:val="007E64DF"/>
    <w:rsid w:val="007F0FBF"/>
    <w:rsid w:val="007F1BDA"/>
    <w:rsid w:val="007F574D"/>
    <w:rsid w:val="007F76C7"/>
    <w:rsid w:val="00806EB0"/>
    <w:rsid w:val="0080725D"/>
    <w:rsid w:val="00824994"/>
    <w:rsid w:val="008336A9"/>
    <w:rsid w:val="00834F78"/>
    <w:rsid w:val="008358B9"/>
    <w:rsid w:val="0083760E"/>
    <w:rsid w:val="008426C3"/>
    <w:rsid w:val="00844DC1"/>
    <w:rsid w:val="00854FE0"/>
    <w:rsid w:val="008753AA"/>
    <w:rsid w:val="00876103"/>
    <w:rsid w:val="00880A98"/>
    <w:rsid w:val="00881196"/>
    <w:rsid w:val="00884539"/>
    <w:rsid w:val="008922A2"/>
    <w:rsid w:val="00892FBE"/>
    <w:rsid w:val="008A3C2E"/>
    <w:rsid w:val="008D0535"/>
    <w:rsid w:val="008E0FB9"/>
    <w:rsid w:val="008F04E0"/>
    <w:rsid w:val="008F0934"/>
    <w:rsid w:val="00905A64"/>
    <w:rsid w:val="00912027"/>
    <w:rsid w:val="00916BFA"/>
    <w:rsid w:val="009221AC"/>
    <w:rsid w:val="00925725"/>
    <w:rsid w:val="00926EEE"/>
    <w:rsid w:val="00927CF8"/>
    <w:rsid w:val="00935FCD"/>
    <w:rsid w:val="00940E12"/>
    <w:rsid w:val="00952F6C"/>
    <w:rsid w:val="00954B22"/>
    <w:rsid w:val="00956A55"/>
    <w:rsid w:val="009579DE"/>
    <w:rsid w:val="00973192"/>
    <w:rsid w:val="0098030C"/>
    <w:rsid w:val="00987F37"/>
    <w:rsid w:val="0099248E"/>
    <w:rsid w:val="009A5B36"/>
    <w:rsid w:val="009B1A59"/>
    <w:rsid w:val="009B2C6C"/>
    <w:rsid w:val="009B5048"/>
    <w:rsid w:val="009C0667"/>
    <w:rsid w:val="009C1D79"/>
    <w:rsid w:val="009C2DF0"/>
    <w:rsid w:val="009C7627"/>
    <w:rsid w:val="009D7804"/>
    <w:rsid w:val="009E0CE5"/>
    <w:rsid w:val="009F272F"/>
    <w:rsid w:val="009F3158"/>
    <w:rsid w:val="00A078FD"/>
    <w:rsid w:val="00A12715"/>
    <w:rsid w:val="00A244EC"/>
    <w:rsid w:val="00A2565D"/>
    <w:rsid w:val="00A31429"/>
    <w:rsid w:val="00A3387E"/>
    <w:rsid w:val="00A35EE0"/>
    <w:rsid w:val="00A370F8"/>
    <w:rsid w:val="00A4148A"/>
    <w:rsid w:val="00A46AE4"/>
    <w:rsid w:val="00A51629"/>
    <w:rsid w:val="00A64F2D"/>
    <w:rsid w:val="00A65CD7"/>
    <w:rsid w:val="00A741EC"/>
    <w:rsid w:val="00A75C31"/>
    <w:rsid w:val="00A83BD4"/>
    <w:rsid w:val="00A86AA5"/>
    <w:rsid w:val="00A876FC"/>
    <w:rsid w:val="00A91142"/>
    <w:rsid w:val="00A96576"/>
    <w:rsid w:val="00AA4C95"/>
    <w:rsid w:val="00AB1D02"/>
    <w:rsid w:val="00AB2250"/>
    <w:rsid w:val="00AC3289"/>
    <w:rsid w:val="00AC7F5E"/>
    <w:rsid w:val="00AE5169"/>
    <w:rsid w:val="00AE731D"/>
    <w:rsid w:val="00AF13A0"/>
    <w:rsid w:val="00AF3114"/>
    <w:rsid w:val="00AF78C5"/>
    <w:rsid w:val="00B0779D"/>
    <w:rsid w:val="00B07DCF"/>
    <w:rsid w:val="00B24B7A"/>
    <w:rsid w:val="00B2689B"/>
    <w:rsid w:val="00B31E8D"/>
    <w:rsid w:val="00B37BBD"/>
    <w:rsid w:val="00B52925"/>
    <w:rsid w:val="00B52BF7"/>
    <w:rsid w:val="00B62226"/>
    <w:rsid w:val="00B63226"/>
    <w:rsid w:val="00B66220"/>
    <w:rsid w:val="00B703BE"/>
    <w:rsid w:val="00B72E14"/>
    <w:rsid w:val="00B7766E"/>
    <w:rsid w:val="00B82A72"/>
    <w:rsid w:val="00B92CE8"/>
    <w:rsid w:val="00BA1F51"/>
    <w:rsid w:val="00BA2AB4"/>
    <w:rsid w:val="00BA5414"/>
    <w:rsid w:val="00BA7EEA"/>
    <w:rsid w:val="00BB0859"/>
    <w:rsid w:val="00BB3622"/>
    <w:rsid w:val="00BD30A9"/>
    <w:rsid w:val="00BE61A8"/>
    <w:rsid w:val="00BE6C7A"/>
    <w:rsid w:val="00BF278B"/>
    <w:rsid w:val="00C01FA4"/>
    <w:rsid w:val="00C043D2"/>
    <w:rsid w:val="00C07891"/>
    <w:rsid w:val="00C100F7"/>
    <w:rsid w:val="00C117B2"/>
    <w:rsid w:val="00C12491"/>
    <w:rsid w:val="00C17E0C"/>
    <w:rsid w:val="00C31690"/>
    <w:rsid w:val="00C42263"/>
    <w:rsid w:val="00C465F1"/>
    <w:rsid w:val="00C52CC0"/>
    <w:rsid w:val="00C635FB"/>
    <w:rsid w:val="00C6681D"/>
    <w:rsid w:val="00C67F37"/>
    <w:rsid w:val="00C70512"/>
    <w:rsid w:val="00C72D6B"/>
    <w:rsid w:val="00C829CD"/>
    <w:rsid w:val="00C915A6"/>
    <w:rsid w:val="00CB022D"/>
    <w:rsid w:val="00CB142A"/>
    <w:rsid w:val="00CC56BB"/>
    <w:rsid w:val="00CD0622"/>
    <w:rsid w:val="00CD225A"/>
    <w:rsid w:val="00CE4388"/>
    <w:rsid w:val="00CE6639"/>
    <w:rsid w:val="00CF440B"/>
    <w:rsid w:val="00D03280"/>
    <w:rsid w:val="00D068FC"/>
    <w:rsid w:val="00D14F95"/>
    <w:rsid w:val="00D15715"/>
    <w:rsid w:val="00D1675D"/>
    <w:rsid w:val="00D22F03"/>
    <w:rsid w:val="00D25B40"/>
    <w:rsid w:val="00D267C0"/>
    <w:rsid w:val="00D35EB2"/>
    <w:rsid w:val="00D36B37"/>
    <w:rsid w:val="00D43C4B"/>
    <w:rsid w:val="00D51181"/>
    <w:rsid w:val="00D66434"/>
    <w:rsid w:val="00D71B8F"/>
    <w:rsid w:val="00D71C74"/>
    <w:rsid w:val="00D8130E"/>
    <w:rsid w:val="00D819A1"/>
    <w:rsid w:val="00D85D93"/>
    <w:rsid w:val="00D86678"/>
    <w:rsid w:val="00D92887"/>
    <w:rsid w:val="00D934A6"/>
    <w:rsid w:val="00D94B1D"/>
    <w:rsid w:val="00DA3A3E"/>
    <w:rsid w:val="00DB7C70"/>
    <w:rsid w:val="00DD4D4E"/>
    <w:rsid w:val="00DE21A0"/>
    <w:rsid w:val="00DE4A53"/>
    <w:rsid w:val="00DF2E6D"/>
    <w:rsid w:val="00DF58D8"/>
    <w:rsid w:val="00E009DB"/>
    <w:rsid w:val="00E03289"/>
    <w:rsid w:val="00E0514F"/>
    <w:rsid w:val="00E12A46"/>
    <w:rsid w:val="00E13A7C"/>
    <w:rsid w:val="00E153D3"/>
    <w:rsid w:val="00E202F4"/>
    <w:rsid w:val="00E2544B"/>
    <w:rsid w:val="00E2679A"/>
    <w:rsid w:val="00E34B91"/>
    <w:rsid w:val="00E3672C"/>
    <w:rsid w:val="00E45362"/>
    <w:rsid w:val="00E4647D"/>
    <w:rsid w:val="00E57644"/>
    <w:rsid w:val="00E750F6"/>
    <w:rsid w:val="00E769C8"/>
    <w:rsid w:val="00E77B6B"/>
    <w:rsid w:val="00E90FE6"/>
    <w:rsid w:val="00E919F4"/>
    <w:rsid w:val="00E971D6"/>
    <w:rsid w:val="00EA0999"/>
    <w:rsid w:val="00EA12FE"/>
    <w:rsid w:val="00EA26CF"/>
    <w:rsid w:val="00EA6709"/>
    <w:rsid w:val="00EB6D2C"/>
    <w:rsid w:val="00EC4454"/>
    <w:rsid w:val="00EC638B"/>
    <w:rsid w:val="00EC7D02"/>
    <w:rsid w:val="00ED1CEA"/>
    <w:rsid w:val="00ED7B3C"/>
    <w:rsid w:val="00EE0047"/>
    <w:rsid w:val="00EE245B"/>
    <w:rsid w:val="00EE5ECB"/>
    <w:rsid w:val="00EF0CD0"/>
    <w:rsid w:val="00EF528F"/>
    <w:rsid w:val="00F00060"/>
    <w:rsid w:val="00F0240A"/>
    <w:rsid w:val="00F15B19"/>
    <w:rsid w:val="00F169F0"/>
    <w:rsid w:val="00F21B5D"/>
    <w:rsid w:val="00F277D5"/>
    <w:rsid w:val="00F40028"/>
    <w:rsid w:val="00F465C5"/>
    <w:rsid w:val="00F51099"/>
    <w:rsid w:val="00F5366D"/>
    <w:rsid w:val="00F55C71"/>
    <w:rsid w:val="00F603A0"/>
    <w:rsid w:val="00F608D3"/>
    <w:rsid w:val="00F667E5"/>
    <w:rsid w:val="00F77743"/>
    <w:rsid w:val="00F9066C"/>
    <w:rsid w:val="00F936EB"/>
    <w:rsid w:val="00F960CB"/>
    <w:rsid w:val="00FA7069"/>
    <w:rsid w:val="00FB15D0"/>
    <w:rsid w:val="00FB587D"/>
    <w:rsid w:val="00FB72FF"/>
    <w:rsid w:val="00FB77BC"/>
    <w:rsid w:val="00FC5F5A"/>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96938DC"/>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link w:val="FooterChar"/>
    <w:uiPriority w:val="99"/>
    <w:pPr>
      <w:tabs>
        <w:tab w:val="center" w:pos="4153"/>
        <w:tab w:val="right" w:pos="8306"/>
      </w:tabs>
    </w:pPr>
    <w:rPr>
      <w:sz w:val="20"/>
    </w:rPr>
  </w:style>
  <w:style w:type="character" w:styleId="PageNumber">
    <w:name w:val="page number"/>
    <w:basedOn w:val="DefaultParagraphFont"/>
    <w:uiPriority w:val="99"/>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semiHidden/>
    <w:rPr>
      <w:sz w:val="20"/>
    </w:rPr>
  </w:style>
  <w:style w:type="character" w:styleId="FootnoteReference">
    <w:name w:val="footnote reference"/>
    <w:basedOn w:val="DefaultParagraphFont"/>
    <w:uiPriority w:val="99"/>
    <w:semiHidden/>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semiHidden/>
    <w:rsid w:val="00033986"/>
  </w:style>
  <w:style w:type="character" w:customStyle="1" w:styleId="FooterChar">
    <w:name w:val="Footer Char"/>
    <w:basedOn w:val="DefaultParagraphFont"/>
    <w:link w:val="Footer"/>
    <w:uiPriority w:val="99"/>
    <w:rsid w:val="00033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notTrueType/>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43" w:usb2="00000009" w:usb3="00000000" w:csb0="000001FF" w:csb1="00000000"/>
  </w:font>
  <w:font w:name="PMingLiU-ExtB">
    <w:altName w:val="新細明體-ExtB"/>
    <w:panose1 w:val="02020500000000000000"/>
    <w:charset w:val="88"/>
    <w:family w:val="roman"/>
    <w:pitch w:val="variable"/>
    <w:sig w:usb0="8000002F" w:usb1="0A080008" w:usb2="00000010" w:usb3="00000000" w:csb0="00100001" w:csb1="00000000"/>
  </w:font>
  <w:font w:name="黑体">
    <w:altName w:val="SimHei"/>
    <w:panose1 w:val="02010609060101010101"/>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81A99"/>
    <w:rsid w:val="001442E8"/>
    <w:rsid w:val="001830B6"/>
    <w:rsid w:val="00246455"/>
    <w:rsid w:val="004508FA"/>
    <w:rsid w:val="006004E4"/>
    <w:rsid w:val="00742054"/>
    <w:rsid w:val="008721E9"/>
    <w:rsid w:val="00974D86"/>
    <w:rsid w:val="00AB4C00"/>
    <w:rsid w:val="00B05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4D05C-DC16-49A3-A6A8-4D68A206A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46</Pages>
  <Words>10412</Words>
  <Characters>48221</Characters>
  <Application>Microsoft Office Word</Application>
  <DocSecurity>0</DocSecurity>
  <Lines>401</Lines>
  <Paragraphs>117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2023-05-12T07:23:00Z</cp:lastPrinted>
  <dcterms:created xsi:type="dcterms:W3CDTF">2023-05-12T07:28:00Z</dcterms:created>
  <dcterms:modified xsi:type="dcterms:W3CDTF">2023-05-12T07:28:00Z</dcterms:modified>
</cp:coreProperties>
</file>