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0DB" w:rsidRDefault="00EB60DB">
      <w:pPr>
        <w:pStyle w:val="Title"/>
      </w:pPr>
      <w:r>
        <w:t>IN THE DISTRICT COURT OF THE</w:t>
      </w:r>
    </w:p>
    <w:p w:rsidR="00EB60DB" w:rsidRDefault="00EB60DB">
      <w:pPr>
        <w:jc w:val="center"/>
      </w:pPr>
      <w:r>
        <w:t>HONG KONG SPECIAL ADMINISTRATIVE REGION</w:t>
      </w:r>
    </w:p>
    <w:p w:rsidR="00EB60DB" w:rsidRDefault="00EB60DB">
      <w:pPr>
        <w:jc w:val="center"/>
      </w:pPr>
      <w:r>
        <w:t xml:space="preserve">PERSONAL INJURIES ACTION NO. 22 2002 </w:t>
      </w:r>
    </w:p>
    <w:p w:rsidR="00EB60DB" w:rsidRDefault="00EB60DB">
      <w:pPr>
        <w:tabs>
          <w:tab w:val="right" w:pos="9000"/>
        </w:tabs>
        <w:ind w:left="900"/>
      </w:pPr>
      <w:r>
        <w:rPr>
          <w:u w:val="single"/>
        </w:rPr>
        <w:tab/>
      </w:r>
    </w:p>
    <w:p w:rsidR="00EB60DB" w:rsidRDefault="00EB60DB"/>
    <w:tbl>
      <w:tblPr>
        <w:tblW w:w="0" w:type="auto"/>
        <w:tblInd w:w="1008" w:type="dxa"/>
        <w:tblLayout w:type="fixed"/>
        <w:tblLook w:val="0000" w:firstRow="0" w:lastRow="0" w:firstColumn="0" w:lastColumn="0" w:noHBand="0" w:noVBand="0"/>
      </w:tblPr>
      <w:tblGrid>
        <w:gridCol w:w="1368"/>
        <w:gridCol w:w="4287"/>
        <w:gridCol w:w="2445"/>
      </w:tblGrid>
      <w:tr w:rsidR="00000000">
        <w:tblPrEx>
          <w:tblCellMar>
            <w:top w:w="0" w:type="dxa"/>
            <w:bottom w:w="0" w:type="dxa"/>
          </w:tblCellMar>
        </w:tblPrEx>
        <w:tc>
          <w:tcPr>
            <w:tcW w:w="1368" w:type="dxa"/>
          </w:tcPr>
          <w:p w:rsidR="00EB60DB" w:rsidRDefault="00EB60DB">
            <w:r>
              <w:t>BETWEEN</w:t>
            </w:r>
          </w:p>
        </w:tc>
        <w:tc>
          <w:tcPr>
            <w:tcW w:w="4287" w:type="dxa"/>
          </w:tcPr>
          <w:p w:rsidR="00EB60DB" w:rsidRDefault="00EB60DB">
            <w:pPr>
              <w:jc w:val="center"/>
            </w:pPr>
            <w:r>
              <w:t>Sami’an Sutinah</w:t>
            </w:r>
          </w:p>
        </w:tc>
        <w:tc>
          <w:tcPr>
            <w:tcW w:w="2445" w:type="dxa"/>
          </w:tcPr>
          <w:p w:rsidR="00EB60DB" w:rsidRDefault="00EB60DB">
            <w:pPr>
              <w:jc w:val="right"/>
            </w:pPr>
            <w:r>
              <w:t>Plaintiff</w:t>
            </w:r>
          </w:p>
          <w:p w:rsidR="00EB60DB" w:rsidRDefault="00EB60DB">
            <w:pPr>
              <w:jc w:val="right"/>
            </w:pPr>
          </w:p>
        </w:tc>
      </w:tr>
      <w:tr w:rsidR="00000000">
        <w:tblPrEx>
          <w:tblCellMar>
            <w:top w:w="0" w:type="dxa"/>
            <w:bottom w:w="0" w:type="dxa"/>
          </w:tblCellMar>
        </w:tblPrEx>
        <w:tc>
          <w:tcPr>
            <w:tcW w:w="1368" w:type="dxa"/>
          </w:tcPr>
          <w:p w:rsidR="00EB60DB" w:rsidRDefault="00EB60DB"/>
        </w:tc>
        <w:tc>
          <w:tcPr>
            <w:tcW w:w="4287" w:type="dxa"/>
          </w:tcPr>
          <w:p w:rsidR="00EB60DB" w:rsidRDefault="00EB60DB">
            <w:pPr>
              <w:jc w:val="center"/>
            </w:pPr>
          </w:p>
          <w:p w:rsidR="00EB60DB" w:rsidRDefault="00EB60DB">
            <w:pPr>
              <w:jc w:val="center"/>
            </w:pPr>
            <w:r>
              <w:t>and</w:t>
            </w:r>
          </w:p>
          <w:p w:rsidR="00EB60DB" w:rsidRDefault="00EB60DB">
            <w:pPr>
              <w:jc w:val="center"/>
            </w:pPr>
          </w:p>
        </w:tc>
        <w:tc>
          <w:tcPr>
            <w:tcW w:w="2445" w:type="dxa"/>
          </w:tcPr>
          <w:p w:rsidR="00EB60DB" w:rsidRDefault="00EB60DB">
            <w:pPr>
              <w:jc w:val="right"/>
            </w:pPr>
          </w:p>
        </w:tc>
      </w:tr>
      <w:tr w:rsidR="00000000">
        <w:tblPrEx>
          <w:tblCellMar>
            <w:top w:w="0" w:type="dxa"/>
            <w:bottom w:w="0" w:type="dxa"/>
          </w:tblCellMar>
        </w:tblPrEx>
        <w:tc>
          <w:tcPr>
            <w:tcW w:w="1368" w:type="dxa"/>
          </w:tcPr>
          <w:p w:rsidR="00EB60DB" w:rsidRDefault="00EB60DB"/>
        </w:tc>
        <w:tc>
          <w:tcPr>
            <w:tcW w:w="4287" w:type="dxa"/>
          </w:tcPr>
          <w:p w:rsidR="00EB60DB" w:rsidRDefault="00EB60DB">
            <w:pPr>
              <w:jc w:val="center"/>
            </w:pPr>
            <w:r>
              <w:t>Katrina Leung Wai-kuen</w:t>
            </w:r>
          </w:p>
          <w:p w:rsidR="00EB60DB" w:rsidRDefault="00EB60DB">
            <w:pPr>
              <w:jc w:val="center"/>
            </w:pPr>
          </w:p>
          <w:p w:rsidR="00EB60DB" w:rsidRDefault="00EB60DB">
            <w:pPr>
              <w:jc w:val="center"/>
            </w:pPr>
            <w:r>
              <w:t>QBE Hongkong and Shanghai Insurance Limited (formerly known as Hongkong &amp; Shanghai Insurance Company Limited)</w:t>
            </w:r>
          </w:p>
        </w:tc>
        <w:tc>
          <w:tcPr>
            <w:tcW w:w="2445" w:type="dxa"/>
          </w:tcPr>
          <w:p w:rsidR="00EB60DB" w:rsidRDefault="00EB60DB">
            <w:pPr>
              <w:jc w:val="right"/>
            </w:pPr>
            <w:r>
              <w:t>1st Defendant</w:t>
            </w:r>
          </w:p>
          <w:p w:rsidR="00EB60DB" w:rsidRDefault="00EB60DB">
            <w:pPr>
              <w:jc w:val="right"/>
            </w:pPr>
          </w:p>
          <w:p w:rsidR="00EB60DB" w:rsidRDefault="00EB60DB">
            <w:pPr>
              <w:jc w:val="right"/>
            </w:pPr>
            <w:r>
              <w:t>2nd Defendant</w:t>
            </w:r>
          </w:p>
          <w:p w:rsidR="00EB60DB" w:rsidRDefault="00EB60DB">
            <w:pPr>
              <w:jc w:val="right"/>
            </w:pPr>
          </w:p>
        </w:tc>
      </w:tr>
    </w:tbl>
    <w:p w:rsidR="00EB60DB" w:rsidRDefault="00EB60DB">
      <w:pPr>
        <w:tabs>
          <w:tab w:val="right" w:pos="9000"/>
        </w:tabs>
        <w:ind w:left="900"/>
      </w:pPr>
      <w:r>
        <w:rPr>
          <w:u w:val="single"/>
        </w:rPr>
        <w:tab/>
      </w:r>
    </w:p>
    <w:p w:rsidR="00EB60DB" w:rsidRDefault="00EB60DB"/>
    <w:p w:rsidR="00EB60DB" w:rsidRDefault="00EB60DB">
      <w:pPr>
        <w:tabs>
          <w:tab w:val="right" w:pos="8931"/>
        </w:tabs>
        <w:jc w:val="right"/>
      </w:pPr>
      <w:r>
        <w:t>DCPI23/2002</w:t>
      </w:r>
    </w:p>
    <w:p w:rsidR="00EB60DB" w:rsidRDefault="00EB60DB">
      <w:pPr>
        <w:pStyle w:val="Title"/>
      </w:pPr>
      <w:r>
        <w:t>IN THE DISTRICT COURT OF THE</w:t>
      </w:r>
    </w:p>
    <w:p w:rsidR="00EB60DB" w:rsidRDefault="00EB60DB">
      <w:pPr>
        <w:jc w:val="center"/>
      </w:pPr>
      <w:r>
        <w:t>HONG KONG SPECIAL ADMINISTRATIVE REGION</w:t>
      </w:r>
    </w:p>
    <w:p w:rsidR="00EB60DB" w:rsidRDefault="00EB60DB">
      <w:pPr>
        <w:jc w:val="center"/>
      </w:pPr>
      <w:r>
        <w:t xml:space="preserve">PERSONAL INJURIES ACTION NO. 23 2002 </w:t>
      </w:r>
    </w:p>
    <w:p w:rsidR="00EB60DB" w:rsidRDefault="00EB60DB">
      <w:pPr>
        <w:tabs>
          <w:tab w:val="right" w:pos="9000"/>
        </w:tabs>
        <w:ind w:left="900"/>
      </w:pPr>
      <w:r>
        <w:rPr>
          <w:u w:val="single"/>
        </w:rPr>
        <w:tab/>
      </w:r>
    </w:p>
    <w:p w:rsidR="00EB60DB" w:rsidRDefault="00EB60DB"/>
    <w:tbl>
      <w:tblPr>
        <w:tblW w:w="0" w:type="auto"/>
        <w:tblInd w:w="1008" w:type="dxa"/>
        <w:tblLayout w:type="fixed"/>
        <w:tblLook w:val="0000" w:firstRow="0" w:lastRow="0" w:firstColumn="0" w:lastColumn="0" w:noHBand="0" w:noVBand="0"/>
      </w:tblPr>
      <w:tblGrid>
        <w:gridCol w:w="1368"/>
        <w:gridCol w:w="4287"/>
        <w:gridCol w:w="2445"/>
      </w:tblGrid>
      <w:tr w:rsidR="00000000">
        <w:tblPrEx>
          <w:tblCellMar>
            <w:top w:w="0" w:type="dxa"/>
            <w:bottom w:w="0" w:type="dxa"/>
          </w:tblCellMar>
        </w:tblPrEx>
        <w:tc>
          <w:tcPr>
            <w:tcW w:w="1368" w:type="dxa"/>
          </w:tcPr>
          <w:p w:rsidR="00EB60DB" w:rsidRDefault="00EB60DB">
            <w:r>
              <w:t>BETWEEN</w:t>
            </w:r>
          </w:p>
        </w:tc>
        <w:tc>
          <w:tcPr>
            <w:tcW w:w="4287" w:type="dxa"/>
          </w:tcPr>
          <w:p w:rsidR="00EB60DB" w:rsidRDefault="00EB60DB">
            <w:pPr>
              <w:jc w:val="center"/>
            </w:pPr>
            <w:r>
              <w:t>Sami’an Sutinah</w:t>
            </w:r>
          </w:p>
        </w:tc>
        <w:tc>
          <w:tcPr>
            <w:tcW w:w="2445" w:type="dxa"/>
          </w:tcPr>
          <w:p w:rsidR="00EB60DB" w:rsidRDefault="00EB60DB">
            <w:pPr>
              <w:jc w:val="right"/>
            </w:pPr>
            <w:r>
              <w:t>Plaintiff</w:t>
            </w:r>
          </w:p>
          <w:p w:rsidR="00EB60DB" w:rsidRDefault="00EB60DB">
            <w:pPr>
              <w:jc w:val="right"/>
            </w:pPr>
          </w:p>
        </w:tc>
      </w:tr>
      <w:tr w:rsidR="00000000">
        <w:tblPrEx>
          <w:tblCellMar>
            <w:top w:w="0" w:type="dxa"/>
            <w:bottom w:w="0" w:type="dxa"/>
          </w:tblCellMar>
        </w:tblPrEx>
        <w:tc>
          <w:tcPr>
            <w:tcW w:w="1368" w:type="dxa"/>
          </w:tcPr>
          <w:p w:rsidR="00EB60DB" w:rsidRDefault="00EB60DB"/>
        </w:tc>
        <w:tc>
          <w:tcPr>
            <w:tcW w:w="4287" w:type="dxa"/>
          </w:tcPr>
          <w:p w:rsidR="00EB60DB" w:rsidRDefault="00EB60DB">
            <w:pPr>
              <w:jc w:val="center"/>
            </w:pPr>
          </w:p>
          <w:p w:rsidR="00EB60DB" w:rsidRDefault="00EB60DB">
            <w:pPr>
              <w:jc w:val="center"/>
            </w:pPr>
            <w:r>
              <w:t>and</w:t>
            </w:r>
          </w:p>
          <w:p w:rsidR="00EB60DB" w:rsidRDefault="00EB60DB">
            <w:pPr>
              <w:jc w:val="center"/>
            </w:pPr>
          </w:p>
        </w:tc>
        <w:tc>
          <w:tcPr>
            <w:tcW w:w="2445" w:type="dxa"/>
          </w:tcPr>
          <w:p w:rsidR="00EB60DB" w:rsidRDefault="00EB60DB">
            <w:pPr>
              <w:jc w:val="right"/>
            </w:pPr>
          </w:p>
        </w:tc>
      </w:tr>
      <w:tr w:rsidR="00000000">
        <w:tblPrEx>
          <w:tblCellMar>
            <w:top w:w="0" w:type="dxa"/>
            <w:bottom w:w="0" w:type="dxa"/>
          </w:tblCellMar>
        </w:tblPrEx>
        <w:tc>
          <w:tcPr>
            <w:tcW w:w="1368" w:type="dxa"/>
          </w:tcPr>
          <w:p w:rsidR="00EB60DB" w:rsidRDefault="00EB60DB"/>
        </w:tc>
        <w:tc>
          <w:tcPr>
            <w:tcW w:w="4287" w:type="dxa"/>
          </w:tcPr>
          <w:p w:rsidR="00EB60DB" w:rsidRDefault="00EB60DB">
            <w:pPr>
              <w:jc w:val="center"/>
            </w:pPr>
            <w:r>
              <w:t>Katrina Leung Wai-kuen</w:t>
            </w:r>
          </w:p>
          <w:p w:rsidR="00EB60DB" w:rsidRDefault="00EB60DB">
            <w:pPr>
              <w:jc w:val="center"/>
            </w:pPr>
          </w:p>
          <w:p w:rsidR="00EB60DB" w:rsidRDefault="00EB60DB">
            <w:pPr>
              <w:jc w:val="center"/>
            </w:pPr>
            <w:r>
              <w:t>QBE Hongkong and Shanghai Insurance Limited (formerly known as Hongkong &amp; Shanghai Insurance Company Limited)</w:t>
            </w:r>
          </w:p>
        </w:tc>
        <w:tc>
          <w:tcPr>
            <w:tcW w:w="2445" w:type="dxa"/>
          </w:tcPr>
          <w:p w:rsidR="00EB60DB" w:rsidRDefault="00EB60DB">
            <w:pPr>
              <w:jc w:val="right"/>
            </w:pPr>
            <w:r>
              <w:t>1st Defendant</w:t>
            </w:r>
          </w:p>
          <w:p w:rsidR="00EB60DB" w:rsidRDefault="00EB60DB">
            <w:pPr>
              <w:jc w:val="right"/>
            </w:pPr>
          </w:p>
          <w:p w:rsidR="00EB60DB" w:rsidRDefault="00EB60DB">
            <w:pPr>
              <w:jc w:val="right"/>
            </w:pPr>
            <w:r>
              <w:t>2nd Defendant</w:t>
            </w:r>
          </w:p>
          <w:p w:rsidR="00EB60DB" w:rsidRDefault="00EB60DB">
            <w:pPr>
              <w:jc w:val="right"/>
            </w:pPr>
          </w:p>
        </w:tc>
      </w:tr>
    </w:tbl>
    <w:p w:rsidR="00EB60DB" w:rsidRDefault="00EB60DB">
      <w:pPr>
        <w:tabs>
          <w:tab w:val="right" w:pos="9000"/>
        </w:tabs>
        <w:ind w:left="900"/>
      </w:pPr>
      <w:r>
        <w:rPr>
          <w:u w:val="single"/>
        </w:rPr>
        <w:tab/>
      </w:r>
    </w:p>
    <w:p w:rsidR="00EB60DB" w:rsidRDefault="00EB60DB"/>
    <w:p w:rsidR="00EB60DB" w:rsidRDefault="00EB60DB"/>
    <w:p w:rsidR="00EB60DB" w:rsidRDefault="00EB60DB">
      <w:r>
        <w:t>Coram:</w:t>
      </w:r>
      <w:r>
        <w:tab/>
        <w:t>H H Judge Carlson in Chambers</w:t>
      </w:r>
    </w:p>
    <w:p w:rsidR="00EB60DB" w:rsidRDefault="00EB60DB"/>
    <w:p w:rsidR="00EB60DB" w:rsidRDefault="00EB60DB">
      <w:pPr>
        <w:tabs>
          <w:tab w:val="left" w:pos="-2127"/>
        </w:tabs>
      </w:pPr>
      <w:r>
        <w:t>Date:</w:t>
      </w:r>
      <w:r>
        <w:tab/>
        <w:t>24 May 2002</w:t>
      </w:r>
    </w:p>
    <w:p w:rsidR="00EB60DB" w:rsidRDefault="00EB60DB">
      <w:pPr>
        <w:tabs>
          <w:tab w:val="left" w:pos="-2127"/>
        </w:tabs>
      </w:pPr>
    </w:p>
    <w:p w:rsidR="00EB60DB" w:rsidRDefault="00EB60DB">
      <w:pPr>
        <w:ind w:left="1440" w:hanging="1440"/>
      </w:pPr>
      <w:r>
        <w:t>Present:</w:t>
      </w:r>
      <w:r>
        <w:tab/>
        <w:t>Mr George Sit, of Messrs Boase, Cohen &amp; Collins, assigned by the Legal Aid Department, for the Plaintiff</w:t>
      </w:r>
    </w:p>
    <w:p w:rsidR="00EB60DB" w:rsidRDefault="00EB60DB">
      <w:pPr>
        <w:ind w:left="1440" w:hanging="1440"/>
      </w:pPr>
      <w:r>
        <w:tab/>
        <w:t>D1 in person</w:t>
      </w:r>
    </w:p>
    <w:p w:rsidR="00EB60DB" w:rsidRDefault="00EB60DB">
      <w:pPr>
        <w:tabs>
          <w:tab w:val="left" w:pos="2520"/>
        </w:tabs>
        <w:jc w:val="center"/>
      </w:pPr>
    </w:p>
    <w:p w:rsidR="00EB60DB" w:rsidRDefault="00EB60DB">
      <w:pPr>
        <w:pStyle w:val="Heading6"/>
      </w:pPr>
      <w:r>
        <w:t>R U L I N G</w:t>
      </w:r>
    </w:p>
    <w:p w:rsidR="00EB60DB" w:rsidRDefault="00EB60DB">
      <w:pPr>
        <w:keepNext/>
        <w:tabs>
          <w:tab w:val="left" w:pos="567"/>
        </w:tabs>
        <w:spacing w:line="360" w:lineRule="auto"/>
      </w:pPr>
    </w:p>
    <w:p w:rsidR="00EB60DB" w:rsidRDefault="00EB60DB">
      <w:pPr>
        <w:keepNext/>
        <w:numPr>
          <w:ilvl w:val="0"/>
          <w:numId w:val="1"/>
        </w:numPr>
        <w:tabs>
          <w:tab w:val="clear" w:pos="360"/>
          <w:tab w:val="left" w:pos="1418"/>
        </w:tabs>
        <w:spacing w:line="360" w:lineRule="auto"/>
        <w:ind w:left="0" w:firstLine="0"/>
      </w:pPr>
      <w:r>
        <w:t xml:space="preserve">It seems to me in this matter that I ought to strike out the defence of the 1st defendant, because in my view it discloses no reasonable defence.  This is a situation where the </w:t>
      </w:r>
      <w:r>
        <w:lastRenderedPageBreak/>
        <w:t xml:space="preserve">plaintiff is suing the 1st defendant for personal injury, pain and suffering and for other consequential losses arising out of two separate assaults on 10 and 11 October 2000, when the plaintiff was the 1st defendant’s domestic helper.  </w:t>
      </w:r>
    </w:p>
    <w:p w:rsidR="00EB60DB" w:rsidRDefault="00EB60DB">
      <w:pPr>
        <w:numPr>
          <w:ilvl w:val="0"/>
          <w:numId w:val="1"/>
        </w:numPr>
        <w:tabs>
          <w:tab w:val="clear" w:pos="360"/>
          <w:tab w:val="left" w:pos="1418"/>
        </w:tabs>
        <w:spacing w:line="360" w:lineRule="auto"/>
        <w:ind w:left="0" w:firstLine="0"/>
      </w:pPr>
      <w:r>
        <w:t xml:space="preserve">As a result of those two incidents, the police were called, the defendant was then arrested and charged with assault.  The matter was heard by the magistrates’ court.  After trial the defendant was convicted and sentenced to a term of 22 months’ imprisonment.  </w:t>
      </w:r>
    </w:p>
    <w:p w:rsidR="00EB60DB" w:rsidRDefault="00EB60DB">
      <w:pPr>
        <w:numPr>
          <w:ilvl w:val="0"/>
          <w:numId w:val="1"/>
        </w:numPr>
        <w:tabs>
          <w:tab w:val="clear" w:pos="360"/>
          <w:tab w:val="left" w:pos="1418"/>
        </w:tabs>
        <w:spacing w:line="360" w:lineRule="auto"/>
        <w:ind w:left="0" w:firstLine="0"/>
      </w:pPr>
      <w:r>
        <w:t>The plaintiff, as she is entitled to, relies on those convictions and it seems to me the matter is now beyond doubt, that there can be no possible defence in the way that the action is framed against the defendant.  Consequently, I shall do what Mr Sit asks me and I take this course under Order 18 rule 19 of the Rules of the District Court.  Accordingly, the defences will be struck out and there will be judgment to the plaintiff with damaged to be assessed.</w:t>
      </w:r>
    </w:p>
    <w:p w:rsidR="00EB60DB" w:rsidRDefault="00EB60DB">
      <w:pPr>
        <w:numPr>
          <w:ilvl w:val="0"/>
          <w:numId w:val="1"/>
        </w:numPr>
        <w:tabs>
          <w:tab w:val="clear" w:pos="360"/>
          <w:tab w:val="left" w:pos="1418"/>
        </w:tabs>
        <w:spacing w:line="360" w:lineRule="auto"/>
        <w:ind w:left="0" w:firstLine="0"/>
      </w:pPr>
      <w:r>
        <w:t>The plaintiff will have her costs of the action up to and including today, to be taxed on a party and party basis, together with an order for Legal Aid taxation of her costs.  I will say more about this in a moment.</w:t>
      </w:r>
    </w:p>
    <w:p w:rsidR="00EB60DB" w:rsidRDefault="00EB60DB">
      <w:pPr>
        <w:tabs>
          <w:tab w:val="left" w:pos="1418"/>
        </w:tabs>
        <w:spacing w:line="360" w:lineRule="auto"/>
      </w:pPr>
      <w:r>
        <w:t>(Discussion re assessment of damages)</w:t>
      </w:r>
    </w:p>
    <w:p w:rsidR="00EB60DB" w:rsidRDefault="00EB60DB">
      <w:pPr>
        <w:numPr>
          <w:ilvl w:val="0"/>
          <w:numId w:val="1"/>
        </w:numPr>
        <w:tabs>
          <w:tab w:val="clear" w:pos="360"/>
          <w:tab w:val="left" w:pos="1418"/>
        </w:tabs>
        <w:spacing w:line="360" w:lineRule="auto"/>
        <w:ind w:left="0" w:firstLine="0"/>
      </w:pPr>
      <w:r>
        <w:t xml:space="preserve">The first thing is discovery by list, say, 21 days, inspection seven days thereafter.  </w:t>
      </w:r>
    </w:p>
    <w:p w:rsidR="00EB60DB" w:rsidRDefault="00EB60DB">
      <w:pPr>
        <w:numPr>
          <w:ilvl w:val="0"/>
          <w:numId w:val="1"/>
        </w:numPr>
        <w:tabs>
          <w:tab w:val="clear" w:pos="360"/>
          <w:tab w:val="left" w:pos="1418"/>
        </w:tabs>
        <w:spacing w:line="360" w:lineRule="auto"/>
        <w:ind w:left="0" w:firstLine="0"/>
      </w:pPr>
      <w:r>
        <w:t>Witness statements are to be exchanged within 42 days.</w:t>
      </w:r>
    </w:p>
    <w:p w:rsidR="00EB60DB" w:rsidRDefault="00EB60DB">
      <w:pPr>
        <w:numPr>
          <w:ilvl w:val="0"/>
          <w:numId w:val="1"/>
        </w:numPr>
        <w:tabs>
          <w:tab w:val="clear" w:pos="360"/>
          <w:tab w:val="left" w:pos="1418"/>
        </w:tabs>
        <w:spacing w:line="360" w:lineRule="auto"/>
        <w:ind w:left="0" w:firstLine="0"/>
      </w:pPr>
      <w:r>
        <w:t xml:space="preserve">The reports of government doctors are to be admitted in evidence without calling the maker.  </w:t>
      </w:r>
    </w:p>
    <w:p w:rsidR="00EB60DB" w:rsidRDefault="00EB60DB">
      <w:pPr>
        <w:numPr>
          <w:ilvl w:val="0"/>
          <w:numId w:val="1"/>
        </w:numPr>
        <w:tabs>
          <w:tab w:val="clear" w:pos="360"/>
          <w:tab w:val="left" w:pos="1418"/>
        </w:tabs>
        <w:spacing w:line="360" w:lineRule="auto"/>
        <w:ind w:left="0" w:firstLine="0"/>
      </w:pPr>
      <w:r>
        <w:t>The medical evidence is to be limited to one expert on either side, whose evidence will be exchanged within 56 days.</w:t>
      </w:r>
    </w:p>
    <w:p w:rsidR="00EB60DB" w:rsidRDefault="00EB60DB">
      <w:pPr>
        <w:numPr>
          <w:ilvl w:val="0"/>
          <w:numId w:val="1"/>
        </w:numPr>
        <w:tabs>
          <w:tab w:val="clear" w:pos="360"/>
          <w:tab w:val="left" w:pos="1418"/>
        </w:tabs>
        <w:spacing w:line="360" w:lineRule="auto"/>
        <w:ind w:left="0" w:firstLine="0"/>
      </w:pPr>
      <w:r>
        <w:t xml:space="preserve">The revised statement of damages is to be served within 63 days.  </w:t>
      </w:r>
    </w:p>
    <w:p w:rsidR="00EB60DB" w:rsidRDefault="00EB60DB">
      <w:pPr>
        <w:numPr>
          <w:ilvl w:val="0"/>
          <w:numId w:val="1"/>
        </w:numPr>
        <w:tabs>
          <w:tab w:val="clear" w:pos="360"/>
          <w:tab w:val="left" w:pos="1418"/>
        </w:tabs>
        <w:spacing w:line="360" w:lineRule="auto"/>
        <w:ind w:left="0" w:firstLine="0"/>
      </w:pPr>
      <w:r>
        <w:t xml:space="preserve">The defendant’s answer thereto to be served and filed 28 days thereafter.  </w:t>
      </w:r>
    </w:p>
    <w:p w:rsidR="00EB60DB" w:rsidRDefault="00EB60DB">
      <w:pPr>
        <w:numPr>
          <w:ilvl w:val="0"/>
          <w:numId w:val="1"/>
        </w:numPr>
        <w:tabs>
          <w:tab w:val="clear" w:pos="360"/>
          <w:tab w:val="left" w:pos="1418"/>
        </w:tabs>
        <w:spacing w:line="360" w:lineRule="auto"/>
        <w:ind w:left="0" w:firstLine="0"/>
      </w:pPr>
      <w:r>
        <w:t>A pre-trial review not before expiry of 70 days from today.</w:t>
      </w:r>
    </w:p>
    <w:p w:rsidR="00EB60DB" w:rsidRDefault="00EB60DB">
      <w:pPr>
        <w:tabs>
          <w:tab w:val="left" w:pos="720"/>
        </w:tabs>
        <w:ind w:left="4820"/>
        <w:jc w:val="center"/>
      </w:pPr>
    </w:p>
    <w:p w:rsidR="00EB60DB" w:rsidRDefault="00EB60DB">
      <w:pPr>
        <w:tabs>
          <w:tab w:val="left" w:pos="720"/>
        </w:tabs>
        <w:ind w:left="4820"/>
        <w:jc w:val="center"/>
      </w:pPr>
    </w:p>
    <w:p w:rsidR="00EB60DB" w:rsidRDefault="00EB60DB">
      <w:pPr>
        <w:tabs>
          <w:tab w:val="left" w:pos="720"/>
        </w:tabs>
        <w:ind w:left="4820"/>
        <w:jc w:val="center"/>
      </w:pPr>
    </w:p>
    <w:p w:rsidR="00EB60DB" w:rsidRDefault="00EB60DB">
      <w:pPr>
        <w:tabs>
          <w:tab w:val="left" w:pos="720"/>
        </w:tabs>
        <w:ind w:left="4820"/>
        <w:jc w:val="center"/>
      </w:pPr>
    </w:p>
    <w:p w:rsidR="00EB60DB" w:rsidRDefault="00EB60DB">
      <w:pPr>
        <w:tabs>
          <w:tab w:val="left" w:pos="720"/>
        </w:tabs>
        <w:ind w:left="4820"/>
        <w:jc w:val="center"/>
      </w:pPr>
    </w:p>
    <w:p w:rsidR="00EB60DB" w:rsidRDefault="00EB60DB">
      <w:pPr>
        <w:tabs>
          <w:tab w:val="left" w:pos="720"/>
        </w:tabs>
        <w:ind w:left="4820"/>
        <w:jc w:val="center"/>
      </w:pPr>
      <w:r>
        <w:t>Ian Carlson</w:t>
      </w:r>
    </w:p>
    <w:p w:rsidR="00EB60DB" w:rsidRDefault="00EB60DB">
      <w:pPr>
        <w:tabs>
          <w:tab w:val="left" w:pos="720"/>
        </w:tabs>
        <w:ind w:left="5040"/>
        <w:jc w:val="center"/>
      </w:pPr>
      <w:r>
        <w:t>District Court Judge</w:t>
      </w:r>
    </w:p>
    <w:p w:rsidR="00EB60DB" w:rsidRDefault="00EB60DB">
      <w:pPr>
        <w:tabs>
          <w:tab w:val="left" w:pos="720"/>
        </w:tabs>
        <w:jc w:val="center"/>
      </w:pPr>
    </w:p>
    <w:p w:rsidR="00EB60DB" w:rsidRDefault="00EB60DB">
      <w:pPr>
        <w:pStyle w:val="oi"/>
        <w:ind w:left="4678" w:firstLine="0"/>
        <w:jc w:val="left"/>
        <w:rPr>
          <w:u w:val="single"/>
        </w:rPr>
      </w:pPr>
    </w:p>
    <w:sectPr w:rsidR="00000000">
      <w:headerReference w:type="default" r:id="rId7"/>
      <w:footerReference w:type="default" r:id="rId8"/>
      <w:headerReference w:type="first" r:id="rId9"/>
      <w:footerReference w:type="first" r:id="rId10"/>
      <w:pgSz w:w="11909" w:h="16834" w:code="9"/>
      <w:pgMar w:top="1134" w:right="1134" w:bottom="850" w:left="141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0DB" w:rsidRDefault="00EB60DB">
      <w:r>
        <w:separator/>
      </w:r>
    </w:p>
  </w:endnote>
  <w:endnote w:type="continuationSeparator" w:id="0">
    <w:p w:rsidR="00EB60DB" w:rsidRDefault="00EB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0DB" w:rsidRDefault="00EB60DB">
    <w:pPr>
      <w:pStyle w:val="Footer"/>
      <w:tabs>
        <w:tab w:val="clear" w:pos="4320"/>
        <w:tab w:val="clear" w:pos="8640"/>
        <w:tab w:val="center" w:pos="4680"/>
        <w:tab w:val="right" w:pos="9356"/>
      </w:tabs>
      <w:rPr>
        <w:sz w:val="16"/>
      </w:rPr>
    </w:pPr>
    <w:r>
      <w:rPr>
        <w:sz w:val="16"/>
      </w:rPr>
      <w:t>CRT38/24.5.2002/AM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3</w:t>
    </w:r>
    <w:r>
      <w:rPr>
        <w:rStyle w:val="PageNumber"/>
        <w:sz w:val="16"/>
      </w:rPr>
      <w:fldChar w:fldCharType="end"/>
    </w:r>
    <w:r>
      <w:rPr>
        <w:rStyle w:val="PageNumber"/>
        <w:sz w:val="16"/>
      </w:rPr>
      <w:tab/>
      <w:t>DCPI22&amp;23/2002/Ruling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0DB" w:rsidRDefault="00EB60DB">
    <w:pPr>
      <w:pStyle w:val="Footer"/>
      <w:tabs>
        <w:tab w:val="clear" w:pos="4320"/>
        <w:tab w:val="clear" w:pos="8640"/>
        <w:tab w:val="center" w:pos="4678"/>
        <w:tab w:val="right" w:pos="9356"/>
      </w:tabs>
    </w:pPr>
    <w:r>
      <w:rPr>
        <w:sz w:val="16"/>
      </w:rPr>
      <w:t>CRT38/24.5.2002/AM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DCPI22&amp;23/2002/Ruling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0DB" w:rsidRDefault="00EB60DB">
      <w:r>
        <w:separator/>
      </w:r>
    </w:p>
  </w:footnote>
  <w:footnote w:type="continuationSeparator" w:id="0">
    <w:p w:rsidR="00EB60DB" w:rsidRDefault="00EB6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0DB" w:rsidRDefault="00EB60DB">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0DB" w:rsidRDefault="00EB60DB">
    <w:pPr>
      <w:pStyle w:val="Header"/>
      <w:tabs>
        <w:tab w:val="clear" w:pos="4320"/>
        <w:tab w:val="clear" w:pos="8640"/>
        <w:tab w:val="center" w:pos="4678"/>
        <w:tab w:val="right" w:pos="9356"/>
      </w:tabs>
      <w:jc w:val="right"/>
    </w:pPr>
    <w:r>
      <w:t>DCPI22/2002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61BED"/>
    <w:multiLevelType w:val="singleLevel"/>
    <w:tmpl w:val="0409000F"/>
    <w:lvl w:ilvl="0">
      <w:start w:val="1"/>
      <w:numFmt w:val="decimal"/>
      <w:lvlText w:val="%1."/>
      <w:lvlJc w:val="left"/>
      <w:pPr>
        <w:tabs>
          <w:tab w:val="num" w:pos="360"/>
        </w:tabs>
        <w:ind w:left="360" w:hanging="360"/>
      </w:pPr>
    </w:lvl>
  </w:abstractNum>
  <w:num w:numId="1" w16cid:durableId="90958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0DB"/>
    <w:rsid w:val="00EB60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85418F4-4539-E44C-AD2B-D5795392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paragraph" w:styleId="Heading6">
    <w:name w:val="heading 6"/>
    <w:basedOn w:val="Normal"/>
    <w:next w:val="Normal"/>
    <w:qFormat/>
    <w:pPr>
      <w:keepNext/>
      <w:tabs>
        <w:tab w:val="left" w:pos="2520"/>
      </w:tabs>
      <w:jc w:val="center"/>
      <w:outlineLvl w:val="5"/>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Title">
    <w:name w:val="Title"/>
    <w:basedOn w:val="Normal"/>
    <w:qFormat/>
    <w:pPr>
      <w:jc w:val="center"/>
    </w:pPr>
  </w:style>
  <w:style w:type="paragraph" w:customStyle="1" w:styleId="oi">
    <w:name w:val="o i"/>
    <w:basedOn w:val="Normal"/>
    <w:pPr>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2002-06-13T00:57:00Z</cp:lastPrinted>
  <dcterms:created xsi:type="dcterms:W3CDTF">2023-10-14T01:10:00Z</dcterms:created>
  <dcterms:modified xsi:type="dcterms:W3CDTF">2023-10-14T01:10:00Z</dcterms:modified>
</cp:coreProperties>
</file>