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9C2" w:rsidRDefault="007B09C2">
      <w:pPr>
        <w:snapToGrid w:val="0"/>
        <w:spacing w:line="480" w:lineRule="auto"/>
        <w:jc w:val="right"/>
        <w:rPr>
          <w:rFonts w:hint="eastAsia"/>
          <w:sz w:val="26"/>
        </w:rPr>
      </w:pPr>
      <w:r>
        <w:rPr>
          <w:rFonts w:hint="eastAsia"/>
          <w:sz w:val="26"/>
        </w:rPr>
        <w:t>DCPI 104/2002</w:t>
      </w:r>
    </w:p>
    <w:p w:rsidR="007B09C2" w:rsidRDefault="007B09C2">
      <w:pPr>
        <w:snapToGrid w:val="0"/>
        <w:spacing w:line="480" w:lineRule="auto"/>
        <w:jc w:val="center"/>
        <w:rPr>
          <w:rFonts w:hint="eastAsia"/>
          <w:sz w:val="26"/>
        </w:rPr>
      </w:pPr>
      <w:r>
        <w:rPr>
          <w:rFonts w:hint="eastAsia"/>
          <w:sz w:val="26"/>
        </w:rPr>
        <w:t>IN THE DISTRICT COURT OF THE</w:t>
      </w:r>
    </w:p>
    <w:p w:rsidR="007B09C2" w:rsidRDefault="007B09C2">
      <w:pPr>
        <w:snapToGrid w:val="0"/>
        <w:spacing w:line="480" w:lineRule="auto"/>
        <w:jc w:val="center"/>
        <w:rPr>
          <w:rFonts w:hint="eastAsia"/>
          <w:sz w:val="26"/>
        </w:rPr>
      </w:pPr>
      <w:r>
        <w:rPr>
          <w:rFonts w:hint="eastAsia"/>
          <w:sz w:val="26"/>
        </w:rPr>
        <w:t>HONG KONG SPECIAL ADMINISTRATIVE REGION</w:t>
      </w:r>
    </w:p>
    <w:p w:rsidR="007B09C2" w:rsidRDefault="007B09C2">
      <w:pPr>
        <w:snapToGrid w:val="0"/>
        <w:spacing w:line="480" w:lineRule="auto"/>
        <w:jc w:val="center"/>
        <w:rPr>
          <w:rFonts w:hint="eastAsia"/>
          <w:sz w:val="26"/>
        </w:rPr>
      </w:pPr>
      <w:r>
        <w:rPr>
          <w:rFonts w:hint="eastAsia"/>
          <w:sz w:val="26"/>
        </w:rPr>
        <w:t>PERSONAL INJURIES ACTION NO. 104 OF 2002</w:t>
      </w:r>
    </w:p>
    <w:p w:rsidR="007B09C2" w:rsidRDefault="007B09C2">
      <w:pPr>
        <w:snapToGrid w:val="0"/>
        <w:spacing w:line="480" w:lineRule="auto"/>
        <w:jc w:val="center"/>
        <w:rPr>
          <w:rFonts w:hint="eastAsia"/>
          <w:sz w:val="26"/>
        </w:rPr>
      </w:pPr>
      <w:r>
        <w:rPr>
          <w:rFonts w:hint="eastAsia"/>
          <w:sz w:val="26"/>
        </w:rPr>
        <w:t>---------------</w:t>
      </w:r>
    </w:p>
    <w:p w:rsidR="007B09C2" w:rsidRDefault="007B09C2">
      <w:pPr>
        <w:snapToGrid w:val="0"/>
        <w:spacing w:line="480" w:lineRule="auto"/>
        <w:rPr>
          <w:rFonts w:hint="eastAsia"/>
          <w:sz w:val="26"/>
        </w:rPr>
      </w:pPr>
      <w:r>
        <w:rPr>
          <w:rFonts w:hint="eastAsia"/>
          <w:sz w:val="26"/>
        </w:rPr>
        <w:t>BETWEEN</w:t>
      </w:r>
    </w:p>
    <w:p w:rsidR="007B09C2" w:rsidRDefault="007B09C2">
      <w:pPr>
        <w:snapToGrid w:val="0"/>
        <w:spacing w:line="480" w:lineRule="auto"/>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LEUNG CHI PANG MICHAEL</w:t>
      </w:r>
      <w:r>
        <w:rPr>
          <w:rFonts w:hint="eastAsia"/>
          <w:sz w:val="26"/>
        </w:rPr>
        <w:tab/>
      </w:r>
      <w:r>
        <w:rPr>
          <w:rFonts w:hint="eastAsia"/>
          <w:sz w:val="26"/>
        </w:rPr>
        <w:tab/>
      </w:r>
      <w:r>
        <w:rPr>
          <w:rFonts w:hint="eastAsia"/>
          <w:sz w:val="26"/>
        </w:rPr>
        <w:tab/>
      </w:r>
      <w:r>
        <w:rPr>
          <w:rFonts w:hint="eastAsia"/>
          <w:sz w:val="26"/>
        </w:rPr>
        <w:tab/>
        <w:t>Plaintiff</w:t>
      </w:r>
    </w:p>
    <w:p w:rsidR="007B09C2" w:rsidRDefault="007B09C2">
      <w:pPr>
        <w:snapToGrid w:val="0"/>
        <w:spacing w:line="480" w:lineRule="auto"/>
        <w:jc w:val="center"/>
        <w:rPr>
          <w:rFonts w:hint="eastAsia"/>
          <w:sz w:val="26"/>
        </w:rPr>
      </w:pPr>
      <w:r>
        <w:rPr>
          <w:rFonts w:hint="eastAsia"/>
          <w:sz w:val="26"/>
        </w:rPr>
        <w:t>and</w:t>
      </w:r>
    </w:p>
    <w:p w:rsidR="007B09C2" w:rsidRDefault="007B09C2">
      <w:pPr>
        <w:snapToGrid w:val="0"/>
        <w:spacing w:line="480" w:lineRule="auto"/>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t>CHAN MING FOO</w:t>
      </w:r>
      <w:r>
        <w:rPr>
          <w:rFonts w:hint="eastAsia"/>
          <w:sz w:val="26"/>
        </w:rPr>
        <w:tab/>
      </w:r>
      <w:r>
        <w:rPr>
          <w:rFonts w:hint="eastAsia"/>
          <w:sz w:val="26"/>
        </w:rPr>
        <w:tab/>
      </w:r>
      <w:r>
        <w:rPr>
          <w:rFonts w:hint="eastAsia"/>
          <w:sz w:val="26"/>
        </w:rPr>
        <w:tab/>
      </w:r>
      <w:r>
        <w:rPr>
          <w:rFonts w:hint="eastAsia"/>
          <w:sz w:val="26"/>
        </w:rPr>
        <w:tab/>
      </w:r>
      <w:r>
        <w:rPr>
          <w:rFonts w:hint="eastAsia"/>
          <w:sz w:val="26"/>
        </w:rPr>
        <w:tab/>
        <w:t>1</w:t>
      </w:r>
      <w:r>
        <w:rPr>
          <w:rFonts w:hint="eastAsia"/>
          <w:sz w:val="26"/>
          <w:vertAlign w:val="superscript"/>
        </w:rPr>
        <w:t>st</w:t>
      </w:r>
      <w:r>
        <w:rPr>
          <w:rFonts w:hint="eastAsia"/>
          <w:sz w:val="26"/>
        </w:rPr>
        <w:t xml:space="preserve"> Defendant</w:t>
      </w:r>
    </w:p>
    <w:p w:rsidR="007B09C2" w:rsidRDefault="007B09C2">
      <w:pPr>
        <w:snapToGrid w:val="0"/>
        <w:spacing w:line="480" w:lineRule="auto"/>
        <w:rPr>
          <w:rFonts w:hint="eastAsia"/>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t>OCEAN KING ENGINEERING LTD</w:t>
      </w:r>
      <w:r>
        <w:rPr>
          <w:rFonts w:hint="eastAsia"/>
          <w:sz w:val="26"/>
        </w:rPr>
        <w:tab/>
      </w:r>
      <w:r>
        <w:rPr>
          <w:rFonts w:hint="eastAsia"/>
          <w:sz w:val="26"/>
        </w:rPr>
        <w:tab/>
        <w:t>2</w:t>
      </w:r>
      <w:r>
        <w:rPr>
          <w:rFonts w:hint="eastAsia"/>
          <w:sz w:val="26"/>
          <w:vertAlign w:val="superscript"/>
        </w:rPr>
        <w:t>nd</w:t>
      </w:r>
      <w:r>
        <w:rPr>
          <w:rFonts w:hint="eastAsia"/>
          <w:sz w:val="26"/>
        </w:rPr>
        <w:t xml:space="preserve"> Defendant</w:t>
      </w:r>
    </w:p>
    <w:p w:rsidR="007B09C2" w:rsidRDefault="007B09C2">
      <w:pPr>
        <w:snapToGrid w:val="0"/>
        <w:spacing w:line="480" w:lineRule="auto"/>
        <w:jc w:val="center"/>
        <w:rPr>
          <w:rFonts w:hint="eastAsia"/>
          <w:sz w:val="26"/>
        </w:rPr>
      </w:pPr>
      <w:r>
        <w:rPr>
          <w:rFonts w:hint="eastAsia"/>
          <w:sz w:val="26"/>
        </w:rPr>
        <w:t>--------------</w:t>
      </w:r>
    </w:p>
    <w:p w:rsidR="007B09C2" w:rsidRDefault="007B09C2">
      <w:pPr>
        <w:snapToGrid w:val="0"/>
        <w:spacing w:line="360" w:lineRule="auto"/>
        <w:rPr>
          <w:rFonts w:hint="eastAsia"/>
          <w:sz w:val="26"/>
        </w:rPr>
      </w:pPr>
    </w:p>
    <w:p w:rsidR="007B09C2" w:rsidRDefault="007B09C2">
      <w:pPr>
        <w:snapToGrid w:val="0"/>
        <w:spacing w:line="360" w:lineRule="auto"/>
        <w:rPr>
          <w:rFonts w:hint="eastAsia"/>
          <w:sz w:val="26"/>
        </w:rPr>
      </w:pPr>
      <w:r>
        <w:rPr>
          <w:rFonts w:hint="eastAsia"/>
          <w:sz w:val="26"/>
        </w:rPr>
        <w:t>Coram : H.H. Judge Muttrie in chambers</w:t>
      </w:r>
    </w:p>
    <w:p w:rsidR="007B09C2" w:rsidRDefault="007B09C2">
      <w:pPr>
        <w:snapToGrid w:val="0"/>
        <w:spacing w:line="360" w:lineRule="auto"/>
        <w:rPr>
          <w:sz w:val="26"/>
        </w:rPr>
      </w:pPr>
      <w:r>
        <w:rPr>
          <w:rFonts w:hint="eastAsia"/>
          <w:sz w:val="26"/>
        </w:rPr>
        <w:t>Date of Hearing : 23</w:t>
      </w:r>
      <w:r>
        <w:rPr>
          <w:rFonts w:hint="eastAsia"/>
          <w:sz w:val="26"/>
          <w:vertAlign w:val="superscript"/>
        </w:rPr>
        <w:t>rd</w:t>
      </w:r>
      <w:r>
        <w:rPr>
          <w:rFonts w:hint="eastAsia"/>
          <w:sz w:val="26"/>
        </w:rPr>
        <w:t xml:space="preserve"> January </w:t>
      </w:r>
      <w:r>
        <w:rPr>
          <w:sz w:val="26"/>
        </w:rPr>
        <w:t>200</w:t>
      </w:r>
      <w:r>
        <w:rPr>
          <w:rFonts w:hint="eastAsia"/>
          <w:sz w:val="26"/>
        </w:rPr>
        <w:t>3</w:t>
      </w:r>
    </w:p>
    <w:p w:rsidR="007B09C2" w:rsidRDefault="007B09C2">
      <w:pPr>
        <w:snapToGrid w:val="0"/>
        <w:spacing w:line="360" w:lineRule="auto"/>
        <w:rPr>
          <w:rFonts w:hint="eastAsia"/>
          <w:sz w:val="26"/>
        </w:rPr>
      </w:pPr>
      <w:r>
        <w:rPr>
          <w:rFonts w:hint="eastAsia"/>
          <w:sz w:val="26"/>
        </w:rPr>
        <w:t>Date of Ruling : 23</w:t>
      </w:r>
      <w:r>
        <w:rPr>
          <w:rFonts w:hint="eastAsia"/>
          <w:sz w:val="26"/>
          <w:vertAlign w:val="superscript"/>
        </w:rPr>
        <w:t>rd</w:t>
      </w:r>
      <w:r>
        <w:rPr>
          <w:rFonts w:hint="eastAsia"/>
          <w:sz w:val="26"/>
        </w:rPr>
        <w:t xml:space="preserve"> January 2003</w:t>
      </w:r>
    </w:p>
    <w:p w:rsidR="007B09C2" w:rsidRDefault="007B09C2">
      <w:pPr>
        <w:snapToGrid w:val="0"/>
        <w:spacing w:line="360" w:lineRule="auto"/>
        <w:rPr>
          <w:rFonts w:hint="eastAsia"/>
          <w:sz w:val="26"/>
        </w:rPr>
      </w:pPr>
    </w:p>
    <w:p w:rsidR="007B09C2" w:rsidRDefault="007B09C2">
      <w:pPr>
        <w:pStyle w:val="Heading1"/>
        <w:rPr>
          <w:rFonts w:hint="eastAsia"/>
        </w:rPr>
      </w:pPr>
      <w:r>
        <w:rPr>
          <w:rFonts w:hint="eastAsia"/>
        </w:rPr>
        <w:t>Reasons for Ruling</w:t>
      </w:r>
    </w:p>
    <w:p w:rsidR="007B09C2" w:rsidRDefault="007B09C2">
      <w:pPr>
        <w:tabs>
          <w:tab w:val="left" w:pos="1440"/>
        </w:tabs>
        <w:snapToGrid w:val="0"/>
        <w:spacing w:line="480" w:lineRule="auto"/>
        <w:rPr>
          <w:rFonts w:hint="eastAsia"/>
          <w:b/>
          <w:sz w:val="26"/>
        </w:rPr>
      </w:pPr>
    </w:p>
    <w:p w:rsidR="007B09C2" w:rsidRDefault="007B09C2">
      <w:pPr>
        <w:tabs>
          <w:tab w:val="left" w:pos="1440"/>
        </w:tabs>
        <w:snapToGrid w:val="0"/>
        <w:spacing w:line="480" w:lineRule="auto"/>
        <w:rPr>
          <w:sz w:val="26"/>
        </w:rPr>
      </w:pPr>
      <w:r>
        <w:rPr>
          <w:rFonts w:hint="eastAsia"/>
          <w:sz w:val="26"/>
        </w:rPr>
        <w:tab/>
      </w:r>
      <w:r>
        <w:rPr>
          <w:sz w:val="26"/>
        </w:rPr>
        <w:t>There is no dispute that the 1</w:t>
      </w:r>
      <w:r>
        <w:rPr>
          <w:sz w:val="26"/>
          <w:vertAlign w:val="superscript"/>
        </w:rPr>
        <w:t>st</w:t>
      </w:r>
      <w:r>
        <w:rPr>
          <w:sz w:val="26"/>
        </w:rPr>
        <w:t xml:space="preserve"> defendant was driving the 2</w:t>
      </w:r>
      <w:r>
        <w:rPr>
          <w:sz w:val="26"/>
          <w:vertAlign w:val="superscript"/>
        </w:rPr>
        <w:t>nd</w:t>
      </w:r>
      <w:r>
        <w:rPr>
          <w:sz w:val="26"/>
        </w:rPr>
        <w:t xml:space="preserve"> defendant’s vehicle, when the accident occurred. </w:t>
      </w:r>
      <w:r>
        <w:rPr>
          <w:rFonts w:hint="eastAsia"/>
          <w:sz w:val="26"/>
        </w:rPr>
        <w:t xml:space="preserve"> </w:t>
      </w:r>
      <w:r>
        <w:rPr>
          <w:sz w:val="26"/>
        </w:rPr>
        <w:t>The plaintiff claimed that the 2</w:t>
      </w:r>
      <w:r>
        <w:rPr>
          <w:sz w:val="26"/>
          <w:vertAlign w:val="superscript"/>
        </w:rPr>
        <w:t>nd</w:t>
      </w:r>
      <w:r>
        <w:rPr>
          <w:sz w:val="26"/>
        </w:rPr>
        <w:t xml:space="preserve"> defendant was vicariously liable. </w:t>
      </w:r>
      <w:r>
        <w:rPr>
          <w:rFonts w:hint="eastAsia"/>
          <w:sz w:val="26"/>
        </w:rPr>
        <w:t xml:space="preserve"> </w:t>
      </w:r>
      <w:r>
        <w:rPr>
          <w:sz w:val="26"/>
        </w:rPr>
        <w:t>The defendants filed separate defences.</w:t>
      </w:r>
      <w:r>
        <w:rPr>
          <w:rFonts w:hint="eastAsia"/>
          <w:sz w:val="26"/>
        </w:rPr>
        <w:t xml:space="preserve"> </w:t>
      </w:r>
      <w:r>
        <w:rPr>
          <w:sz w:val="26"/>
        </w:rPr>
        <w:t xml:space="preserve"> In the 2</w:t>
      </w:r>
      <w:r>
        <w:rPr>
          <w:sz w:val="26"/>
          <w:vertAlign w:val="superscript"/>
        </w:rPr>
        <w:t>nd</w:t>
      </w:r>
      <w:r>
        <w:rPr>
          <w:sz w:val="26"/>
        </w:rPr>
        <w:t xml:space="preserve"> defendant’s defence, it admitted that the 1</w:t>
      </w:r>
      <w:r>
        <w:rPr>
          <w:sz w:val="26"/>
          <w:vertAlign w:val="superscript"/>
        </w:rPr>
        <w:t>st</w:t>
      </w:r>
      <w:r>
        <w:rPr>
          <w:sz w:val="26"/>
        </w:rPr>
        <w:t xml:space="preserve"> defendant was driving its vehicle, but denied vicarious liability.</w:t>
      </w:r>
      <w:r>
        <w:rPr>
          <w:rFonts w:hint="eastAsia"/>
          <w:sz w:val="26"/>
        </w:rPr>
        <w:t xml:space="preserve"> </w:t>
      </w:r>
      <w:r>
        <w:rPr>
          <w:sz w:val="26"/>
        </w:rPr>
        <w:t xml:space="preserve"> The plaintiff requested further and better particulars.</w:t>
      </w:r>
      <w:r>
        <w:rPr>
          <w:rFonts w:hint="eastAsia"/>
          <w:sz w:val="26"/>
        </w:rPr>
        <w:t xml:space="preserve"> </w:t>
      </w:r>
      <w:r>
        <w:rPr>
          <w:sz w:val="26"/>
        </w:rPr>
        <w:t xml:space="preserve"> The 1</w:t>
      </w:r>
      <w:r>
        <w:rPr>
          <w:sz w:val="26"/>
          <w:vertAlign w:val="superscript"/>
        </w:rPr>
        <w:t>st</w:t>
      </w:r>
      <w:r>
        <w:rPr>
          <w:sz w:val="26"/>
        </w:rPr>
        <w:t xml:space="preserve"> defendant said that the 1</w:t>
      </w:r>
      <w:r>
        <w:rPr>
          <w:sz w:val="26"/>
          <w:vertAlign w:val="superscript"/>
        </w:rPr>
        <w:t>st</w:t>
      </w:r>
      <w:r>
        <w:rPr>
          <w:sz w:val="26"/>
        </w:rPr>
        <w:t xml:space="preserve"> defendant was driving the vehicle </w:t>
      </w:r>
      <w:r>
        <w:rPr>
          <w:sz w:val="26"/>
        </w:rPr>
        <w:lastRenderedPageBreak/>
        <w:t>as an employee of one Sunshine Heavy</w:t>
      </w:r>
      <w:r>
        <w:rPr>
          <w:sz w:val="26"/>
        </w:rPr>
        <w:t xml:space="preserve"> Crane Co. Ltd. in the scope of his employment but was not a servant, employee or agent of the 2</w:t>
      </w:r>
      <w:r>
        <w:rPr>
          <w:sz w:val="26"/>
          <w:vertAlign w:val="superscript"/>
        </w:rPr>
        <w:t>nd</w:t>
      </w:r>
      <w:r>
        <w:rPr>
          <w:sz w:val="26"/>
        </w:rPr>
        <w:t xml:space="preserve"> defendant. </w:t>
      </w:r>
      <w:r>
        <w:rPr>
          <w:rFonts w:hint="eastAsia"/>
          <w:sz w:val="26"/>
        </w:rPr>
        <w:t xml:space="preserve"> </w:t>
      </w:r>
      <w:r>
        <w:rPr>
          <w:sz w:val="26"/>
        </w:rPr>
        <w:t>The 2</w:t>
      </w:r>
      <w:r>
        <w:rPr>
          <w:sz w:val="26"/>
          <w:vertAlign w:val="superscript"/>
        </w:rPr>
        <w:t>nd</w:t>
      </w:r>
      <w:r>
        <w:rPr>
          <w:sz w:val="26"/>
        </w:rPr>
        <w:t xml:space="preserve"> defendant said that it had no precise knowledge of the capacity in which the 1</w:t>
      </w:r>
      <w:r>
        <w:rPr>
          <w:sz w:val="26"/>
          <w:vertAlign w:val="superscript"/>
        </w:rPr>
        <w:t>st</w:t>
      </w:r>
      <w:r>
        <w:rPr>
          <w:sz w:val="26"/>
        </w:rPr>
        <w:t xml:space="preserve"> defendant drove its vehicle and did not know whether or not he was driving outside the scope of his employment or authority. </w:t>
      </w:r>
    </w:p>
    <w:p w:rsidR="007B09C2" w:rsidRDefault="007B09C2">
      <w:pPr>
        <w:tabs>
          <w:tab w:val="left" w:pos="1440"/>
        </w:tabs>
        <w:snapToGrid w:val="0"/>
        <w:spacing w:line="480" w:lineRule="auto"/>
        <w:rPr>
          <w:sz w:val="26"/>
        </w:rPr>
      </w:pPr>
    </w:p>
    <w:p w:rsidR="007B09C2" w:rsidRDefault="007B09C2">
      <w:pPr>
        <w:tabs>
          <w:tab w:val="left" w:pos="1440"/>
        </w:tabs>
        <w:snapToGrid w:val="0"/>
        <w:spacing w:line="480" w:lineRule="auto"/>
        <w:rPr>
          <w:sz w:val="26"/>
        </w:rPr>
      </w:pPr>
      <w:r>
        <w:rPr>
          <w:rFonts w:hint="eastAsia"/>
          <w:sz w:val="26"/>
        </w:rPr>
        <w:t>2.</w:t>
      </w:r>
      <w:r>
        <w:rPr>
          <w:rFonts w:hint="eastAsia"/>
          <w:sz w:val="26"/>
        </w:rPr>
        <w:tab/>
      </w:r>
      <w:r>
        <w:rPr>
          <w:sz w:val="26"/>
        </w:rPr>
        <w:t>Apart from the two defences and answers to requests for further and better particulars, all other documents were filed by the same solicitors on behalf of both defendants.</w:t>
      </w:r>
      <w:r>
        <w:rPr>
          <w:rFonts w:hint="eastAsia"/>
          <w:sz w:val="26"/>
        </w:rPr>
        <w:t xml:space="preserve"> </w:t>
      </w:r>
      <w:r>
        <w:rPr>
          <w:sz w:val="26"/>
        </w:rPr>
        <w:t xml:space="preserve"> The solicitors act on the instructions of the 2</w:t>
      </w:r>
      <w:r>
        <w:rPr>
          <w:sz w:val="26"/>
          <w:vertAlign w:val="superscript"/>
        </w:rPr>
        <w:t>nd</w:t>
      </w:r>
      <w:r>
        <w:rPr>
          <w:sz w:val="26"/>
        </w:rPr>
        <w:t xml:space="preserve"> defendant’s insurers.</w:t>
      </w:r>
    </w:p>
    <w:p w:rsidR="007B09C2" w:rsidRDefault="007B09C2">
      <w:pPr>
        <w:tabs>
          <w:tab w:val="left" w:pos="1440"/>
        </w:tabs>
        <w:snapToGrid w:val="0"/>
        <w:spacing w:line="480" w:lineRule="auto"/>
        <w:rPr>
          <w:sz w:val="26"/>
        </w:rPr>
      </w:pPr>
    </w:p>
    <w:p w:rsidR="007B09C2" w:rsidRDefault="007B09C2">
      <w:pPr>
        <w:tabs>
          <w:tab w:val="left" w:pos="1440"/>
        </w:tabs>
        <w:snapToGrid w:val="0"/>
        <w:spacing w:line="480" w:lineRule="auto"/>
        <w:rPr>
          <w:sz w:val="26"/>
        </w:rPr>
      </w:pPr>
      <w:r>
        <w:rPr>
          <w:rFonts w:hint="eastAsia"/>
          <w:sz w:val="26"/>
        </w:rPr>
        <w:t>3.</w:t>
      </w:r>
      <w:r>
        <w:rPr>
          <w:rFonts w:hint="eastAsia"/>
          <w:sz w:val="26"/>
        </w:rPr>
        <w:tab/>
      </w:r>
      <w:r>
        <w:rPr>
          <w:sz w:val="26"/>
        </w:rPr>
        <w:t xml:space="preserve">The whole matter was nearly settled by consent. </w:t>
      </w:r>
      <w:r>
        <w:rPr>
          <w:rFonts w:hint="eastAsia"/>
          <w:sz w:val="26"/>
        </w:rPr>
        <w:t xml:space="preserve"> </w:t>
      </w:r>
      <w:r>
        <w:rPr>
          <w:sz w:val="26"/>
        </w:rPr>
        <w:t>The defendants’ solicitors put forward a revised draft consent summons which provided simply for the defendants to pay the plaintiff’s costs of the action.</w:t>
      </w:r>
      <w:r>
        <w:rPr>
          <w:rFonts w:hint="eastAsia"/>
          <w:sz w:val="26"/>
        </w:rPr>
        <w:t xml:space="preserve"> </w:t>
      </w:r>
      <w:r>
        <w:rPr>
          <w:sz w:val="26"/>
        </w:rPr>
        <w:t xml:space="preserve"> However when the plaintiff’s solicitors tried to follow this up they got no further response.</w:t>
      </w:r>
    </w:p>
    <w:p w:rsidR="007B09C2" w:rsidRDefault="007B09C2">
      <w:pPr>
        <w:tabs>
          <w:tab w:val="left" w:pos="1440"/>
        </w:tabs>
        <w:snapToGrid w:val="0"/>
        <w:spacing w:line="480" w:lineRule="auto"/>
        <w:rPr>
          <w:sz w:val="26"/>
        </w:rPr>
      </w:pPr>
    </w:p>
    <w:p w:rsidR="007B09C2" w:rsidRDefault="007B09C2">
      <w:pPr>
        <w:tabs>
          <w:tab w:val="left" w:pos="1440"/>
        </w:tabs>
        <w:snapToGrid w:val="0"/>
        <w:spacing w:line="480" w:lineRule="auto"/>
        <w:rPr>
          <w:sz w:val="26"/>
        </w:rPr>
      </w:pPr>
      <w:r>
        <w:rPr>
          <w:rFonts w:hint="eastAsia"/>
          <w:sz w:val="26"/>
        </w:rPr>
        <w:t>4.</w:t>
      </w:r>
      <w:r>
        <w:rPr>
          <w:rFonts w:hint="eastAsia"/>
          <w:sz w:val="26"/>
        </w:rPr>
        <w:tab/>
      </w:r>
      <w:r>
        <w:rPr>
          <w:sz w:val="26"/>
        </w:rPr>
        <w:t xml:space="preserve">The situation here is very similar to that in the various cases cited viz. </w:t>
      </w:r>
      <w:r>
        <w:rPr>
          <w:b/>
          <w:sz w:val="26"/>
        </w:rPr>
        <w:t>Florence Siu Hing Woo v. Wong Shing Cheong and Anor.</w:t>
      </w:r>
      <w:r>
        <w:rPr>
          <w:sz w:val="26"/>
        </w:rPr>
        <w:t xml:space="preserve">, HCPI 1301 of 1996, </w:t>
      </w:r>
      <w:r>
        <w:rPr>
          <w:b/>
          <w:sz w:val="26"/>
        </w:rPr>
        <w:t>Leung Chung Ngar v Yeung Man Wai &amp; Anor.</w:t>
      </w:r>
      <w:r>
        <w:rPr>
          <w:sz w:val="26"/>
        </w:rPr>
        <w:t xml:space="preserve">, HCI 63 of 1999, and </w:t>
      </w:r>
      <w:r>
        <w:rPr>
          <w:b/>
          <w:sz w:val="26"/>
        </w:rPr>
        <w:t>Fung Bo Ha v Tang Chik Chung &amp; Ors</w:t>
      </w:r>
      <w:r>
        <w:rPr>
          <w:sz w:val="26"/>
        </w:rPr>
        <w:t>., HCPI 1368 of 1999, where Seagroatt J took a simple and practical approach.</w:t>
      </w:r>
      <w:r>
        <w:rPr>
          <w:rFonts w:hint="eastAsia"/>
          <w:sz w:val="26"/>
        </w:rPr>
        <w:t xml:space="preserve"> </w:t>
      </w:r>
      <w:r>
        <w:rPr>
          <w:sz w:val="26"/>
        </w:rPr>
        <w:t xml:space="preserve"> He took the view that the only real issue throughout had been one of negligence, where the case including the trial had been conducted on the basis that vicarious liability was in practice</w:t>
      </w:r>
      <w:r>
        <w:rPr>
          <w:sz w:val="26"/>
        </w:rPr>
        <w:t xml:space="preserve"> irrelevant. </w:t>
      </w:r>
      <w:r>
        <w:rPr>
          <w:rFonts w:hint="eastAsia"/>
          <w:sz w:val="26"/>
        </w:rPr>
        <w:t xml:space="preserve"> </w:t>
      </w:r>
      <w:r>
        <w:rPr>
          <w:sz w:val="26"/>
        </w:rPr>
        <w:t xml:space="preserve">It </w:t>
      </w:r>
      <w:r>
        <w:rPr>
          <w:sz w:val="26"/>
        </w:rPr>
        <w:lastRenderedPageBreak/>
        <w:t>is true that the question of vicarious liability is still alive in this case, but I have noted that the 2</w:t>
      </w:r>
      <w:r>
        <w:rPr>
          <w:sz w:val="26"/>
          <w:vertAlign w:val="superscript"/>
        </w:rPr>
        <w:t>nd</w:t>
      </w:r>
      <w:r>
        <w:rPr>
          <w:sz w:val="26"/>
        </w:rPr>
        <w:t xml:space="preserve"> defendant seemed to be quite unable to say in what capacity the 1</w:t>
      </w:r>
      <w:r>
        <w:rPr>
          <w:sz w:val="26"/>
          <w:vertAlign w:val="superscript"/>
        </w:rPr>
        <w:t>st</w:t>
      </w:r>
      <w:r>
        <w:rPr>
          <w:sz w:val="26"/>
        </w:rPr>
        <w:t xml:space="preserve"> defendant drove its vehicle and I further note that although the trial is listed for next week there is no witness statement by the 2</w:t>
      </w:r>
      <w:r>
        <w:rPr>
          <w:sz w:val="26"/>
          <w:vertAlign w:val="superscript"/>
        </w:rPr>
        <w:t>nd</w:t>
      </w:r>
      <w:r>
        <w:rPr>
          <w:sz w:val="26"/>
        </w:rPr>
        <w:t xml:space="preserve"> defendant to make its position clear. </w:t>
      </w:r>
    </w:p>
    <w:p w:rsidR="007B09C2" w:rsidRDefault="007B09C2">
      <w:pPr>
        <w:tabs>
          <w:tab w:val="left" w:pos="1440"/>
        </w:tabs>
        <w:snapToGrid w:val="0"/>
        <w:spacing w:line="480" w:lineRule="auto"/>
        <w:rPr>
          <w:sz w:val="26"/>
        </w:rPr>
      </w:pPr>
    </w:p>
    <w:p w:rsidR="007B09C2" w:rsidRDefault="007B09C2">
      <w:pPr>
        <w:tabs>
          <w:tab w:val="left" w:pos="1440"/>
        </w:tabs>
        <w:snapToGrid w:val="0"/>
        <w:spacing w:line="480" w:lineRule="auto"/>
        <w:rPr>
          <w:sz w:val="26"/>
        </w:rPr>
      </w:pPr>
      <w:r>
        <w:rPr>
          <w:rFonts w:hint="eastAsia"/>
          <w:sz w:val="26"/>
        </w:rPr>
        <w:t>5.</w:t>
      </w:r>
      <w:r>
        <w:rPr>
          <w:rFonts w:hint="eastAsia"/>
          <w:sz w:val="26"/>
        </w:rPr>
        <w:tab/>
      </w:r>
      <w:r>
        <w:rPr>
          <w:sz w:val="26"/>
        </w:rPr>
        <w:t>In practical terms, the question of vicarious liability seems to be an irrelevance here.</w:t>
      </w:r>
      <w:r>
        <w:rPr>
          <w:rFonts w:hint="eastAsia"/>
          <w:sz w:val="26"/>
        </w:rPr>
        <w:t xml:space="preserve"> </w:t>
      </w:r>
      <w:r>
        <w:rPr>
          <w:sz w:val="26"/>
        </w:rPr>
        <w:t xml:space="preserve"> Further, in practical terms, the actual costs of work done by the solicitors which is actually referable to the 2</w:t>
      </w:r>
      <w:r>
        <w:rPr>
          <w:sz w:val="26"/>
          <w:vertAlign w:val="superscript"/>
        </w:rPr>
        <w:t>nd</w:t>
      </w:r>
      <w:r>
        <w:rPr>
          <w:sz w:val="26"/>
        </w:rPr>
        <w:t xml:space="preserve"> rather than the 1</w:t>
      </w:r>
      <w:r>
        <w:rPr>
          <w:sz w:val="26"/>
          <w:vertAlign w:val="superscript"/>
        </w:rPr>
        <w:t>st</w:t>
      </w:r>
      <w:r>
        <w:rPr>
          <w:sz w:val="26"/>
        </w:rPr>
        <w:t xml:space="preserve"> defendant should be quite small.</w:t>
      </w:r>
      <w:r>
        <w:rPr>
          <w:rFonts w:hint="eastAsia"/>
          <w:sz w:val="26"/>
        </w:rPr>
        <w:t xml:space="preserve"> </w:t>
      </w:r>
      <w:r>
        <w:rPr>
          <w:sz w:val="26"/>
        </w:rPr>
        <w:t xml:space="preserve"> All the costs are being met by the same insurer. </w:t>
      </w:r>
      <w:r>
        <w:rPr>
          <w:rFonts w:hint="eastAsia"/>
          <w:sz w:val="26"/>
        </w:rPr>
        <w:t xml:space="preserve"> </w:t>
      </w:r>
      <w:r>
        <w:rPr>
          <w:sz w:val="26"/>
        </w:rPr>
        <w:t xml:space="preserve">In the circumstances I take the view that the question of vicarious liability is an empty one. </w:t>
      </w:r>
      <w:r>
        <w:rPr>
          <w:rFonts w:hint="eastAsia"/>
          <w:sz w:val="26"/>
        </w:rPr>
        <w:t xml:space="preserve"> </w:t>
      </w:r>
      <w:r>
        <w:rPr>
          <w:sz w:val="26"/>
        </w:rPr>
        <w:t>The proper course is to allow the claim against the 2</w:t>
      </w:r>
      <w:r>
        <w:rPr>
          <w:sz w:val="26"/>
          <w:vertAlign w:val="superscript"/>
        </w:rPr>
        <w:t>nd</w:t>
      </w:r>
      <w:r>
        <w:rPr>
          <w:sz w:val="26"/>
        </w:rPr>
        <w:t xml:space="preserve"> defendant to be discontinued with no order as to </w:t>
      </w:r>
      <w:r>
        <w:rPr>
          <w:sz w:val="26"/>
        </w:rPr>
        <w:t>costs between the plaintiff and the 2</w:t>
      </w:r>
      <w:r>
        <w:rPr>
          <w:sz w:val="26"/>
          <w:vertAlign w:val="superscript"/>
        </w:rPr>
        <w:t>nd</w:t>
      </w:r>
      <w:r>
        <w:rPr>
          <w:sz w:val="26"/>
        </w:rPr>
        <w:t xml:space="preserve"> defendant. </w:t>
      </w:r>
      <w:r>
        <w:rPr>
          <w:rFonts w:hint="eastAsia"/>
          <w:sz w:val="26"/>
        </w:rPr>
        <w:t xml:space="preserve"> </w:t>
      </w:r>
      <w:r>
        <w:rPr>
          <w:sz w:val="26"/>
        </w:rPr>
        <w:t>As to the costs of this application I think the defendants must pay them; there was a simple, practical way out of this matter, by following the lead given in Seagroatt J’s cases, and they did not take it.</w:t>
      </w:r>
    </w:p>
    <w:p w:rsidR="007B09C2" w:rsidRDefault="007B09C2">
      <w:pPr>
        <w:tabs>
          <w:tab w:val="left" w:pos="1440"/>
        </w:tabs>
        <w:snapToGrid w:val="0"/>
        <w:spacing w:line="480" w:lineRule="auto"/>
        <w:rPr>
          <w:sz w:val="26"/>
        </w:rPr>
      </w:pPr>
    </w:p>
    <w:p w:rsidR="007B09C2" w:rsidRDefault="007B09C2">
      <w:pPr>
        <w:tabs>
          <w:tab w:val="left" w:pos="1440"/>
        </w:tabs>
        <w:snapToGrid w:val="0"/>
        <w:spacing w:line="480" w:lineRule="auto"/>
        <w:rPr>
          <w:rFonts w:hint="eastAsia"/>
          <w:sz w:val="26"/>
        </w:rPr>
      </w:pPr>
      <w:r>
        <w:rPr>
          <w:rFonts w:hint="eastAsia"/>
          <w:sz w:val="26"/>
        </w:rPr>
        <w:t>6.</w:t>
      </w:r>
      <w:r>
        <w:rPr>
          <w:rFonts w:hint="eastAsia"/>
          <w:sz w:val="26"/>
        </w:rPr>
        <w:tab/>
      </w:r>
      <w:r>
        <w:rPr>
          <w:sz w:val="26"/>
        </w:rPr>
        <w:t>There will be an order in terms of the plaintiff’s summons as amended in para 6, to make the costs payable by both defendants.</w:t>
      </w:r>
    </w:p>
    <w:p w:rsidR="007B09C2" w:rsidRDefault="007B09C2">
      <w:pPr>
        <w:tabs>
          <w:tab w:val="left" w:pos="1440"/>
        </w:tabs>
        <w:snapToGrid w:val="0"/>
        <w:spacing w:line="480" w:lineRule="auto"/>
        <w:rPr>
          <w:rFonts w:hint="eastAsia"/>
          <w:sz w:val="26"/>
        </w:rPr>
      </w:pPr>
    </w:p>
    <w:p w:rsidR="007B09C2" w:rsidRDefault="007B09C2">
      <w:pPr>
        <w:tabs>
          <w:tab w:val="left" w:pos="1440"/>
        </w:tabs>
        <w:snapToGrid w:val="0"/>
        <w:spacing w:line="480" w:lineRule="auto"/>
        <w:rPr>
          <w:rFonts w:hint="eastAsia"/>
          <w:sz w:val="26"/>
        </w:rPr>
      </w:pPr>
    </w:p>
    <w:p w:rsidR="007B09C2" w:rsidRDefault="007B09C2">
      <w:pPr>
        <w:tabs>
          <w:tab w:val="left" w:pos="1440"/>
          <w:tab w:val="center" w:pos="6240"/>
        </w:tabs>
        <w:snapToGrid w:val="0"/>
        <w:rPr>
          <w:rFonts w:hint="eastAsia"/>
          <w:sz w:val="26"/>
        </w:rPr>
      </w:pPr>
      <w:r>
        <w:rPr>
          <w:rFonts w:hint="eastAsia"/>
          <w:sz w:val="26"/>
        </w:rPr>
        <w:tab/>
      </w:r>
      <w:r>
        <w:rPr>
          <w:rFonts w:hint="eastAsia"/>
          <w:sz w:val="26"/>
        </w:rPr>
        <w:tab/>
        <w:t>(G.P. Muttrie)</w:t>
      </w:r>
    </w:p>
    <w:p w:rsidR="007B09C2" w:rsidRDefault="007B09C2">
      <w:pPr>
        <w:tabs>
          <w:tab w:val="left" w:pos="1440"/>
          <w:tab w:val="center" w:pos="6240"/>
        </w:tabs>
        <w:snapToGrid w:val="0"/>
        <w:rPr>
          <w:rFonts w:hint="eastAsia"/>
          <w:sz w:val="26"/>
        </w:rPr>
      </w:pPr>
      <w:r>
        <w:rPr>
          <w:rFonts w:hint="eastAsia"/>
          <w:sz w:val="26"/>
        </w:rPr>
        <w:tab/>
      </w:r>
      <w:r>
        <w:rPr>
          <w:rFonts w:hint="eastAsia"/>
          <w:sz w:val="26"/>
        </w:rPr>
        <w:tab/>
        <w:t>District Judge</w:t>
      </w:r>
    </w:p>
    <w:p w:rsidR="007B09C2" w:rsidRDefault="007B09C2">
      <w:pPr>
        <w:tabs>
          <w:tab w:val="left" w:pos="1440"/>
          <w:tab w:val="center" w:pos="6240"/>
        </w:tabs>
        <w:snapToGrid w:val="0"/>
        <w:rPr>
          <w:rFonts w:hint="eastAsia"/>
          <w:sz w:val="26"/>
        </w:rPr>
      </w:pPr>
    </w:p>
    <w:p w:rsidR="007B09C2" w:rsidRDefault="007B09C2">
      <w:pPr>
        <w:tabs>
          <w:tab w:val="left" w:pos="1440"/>
          <w:tab w:val="center" w:pos="6240"/>
        </w:tabs>
        <w:snapToGrid w:val="0"/>
        <w:rPr>
          <w:rFonts w:hint="eastAsia"/>
          <w:sz w:val="26"/>
        </w:rPr>
      </w:pPr>
    </w:p>
    <w:p w:rsidR="007B09C2" w:rsidRDefault="007B09C2">
      <w:pPr>
        <w:tabs>
          <w:tab w:val="left" w:pos="1440"/>
          <w:tab w:val="center" w:pos="6240"/>
        </w:tabs>
        <w:snapToGrid w:val="0"/>
        <w:rPr>
          <w:rFonts w:hint="eastAsia"/>
          <w:sz w:val="26"/>
        </w:rPr>
      </w:pPr>
    </w:p>
    <w:p w:rsidR="007B09C2" w:rsidRDefault="007B09C2">
      <w:pPr>
        <w:tabs>
          <w:tab w:val="left" w:pos="1440"/>
          <w:tab w:val="center" w:pos="6240"/>
        </w:tabs>
        <w:snapToGrid w:val="0"/>
        <w:rPr>
          <w:rFonts w:hint="eastAsia"/>
          <w:sz w:val="26"/>
        </w:rPr>
      </w:pPr>
      <w:r>
        <w:rPr>
          <w:rFonts w:hint="eastAsia"/>
          <w:sz w:val="26"/>
        </w:rPr>
        <w:t>Mr. P.W. Fong of M/s Lau, Chan &amp; Ko for Plaintiff</w:t>
      </w:r>
    </w:p>
    <w:p w:rsidR="007B09C2" w:rsidRDefault="007B09C2">
      <w:pPr>
        <w:tabs>
          <w:tab w:val="left" w:pos="1440"/>
          <w:tab w:val="center" w:pos="6240"/>
        </w:tabs>
        <w:snapToGrid w:val="0"/>
        <w:rPr>
          <w:rFonts w:hint="eastAsia"/>
          <w:sz w:val="26"/>
        </w:rPr>
      </w:pPr>
    </w:p>
    <w:p w:rsidR="007B09C2" w:rsidRDefault="007B09C2">
      <w:pPr>
        <w:tabs>
          <w:tab w:val="left" w:pos="1440"/>
          <w:tab w:val="center" w:pos="6240"/>
        </w:tabs>
        <w:snapToGrid w:val="0"/>
        <w:rPr>
          <w:rFonts w:hint="eastAsia"/>
          <w:sz w:val="26"/>
        </w:rPr>
      </w:pPr>
      <w:r>
        <w:rPr>
          <w:rFonts w:hint="eastAsia"/>
          <w:sz w:val="26"/>
        </w:rPr>
        <w:t>Ms. M. Chak of M/s Henry H.C. Wong &amp; Co. for Defendants</w:t>
      </w:r>
    </w:p>
    <w:sectPr w:rsidR="00000000">
      <w:headerReference w:type="default" r:id="rId6"/>
      <w:pgSz w:w="11906" w:h="16838" w:code="9"/>
      <w:pgMar w:top="1800" w:right="1800" w:bottom="1440" w:left="1800" w:header="850" w:footer="994"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9C2" w:rsidRDefault="007B09C2">
      <w:r>
        <w:separator/>
      </w:r>
    </w:p>
  </w:endnote>
  <w:endnote w:type="continuationSeparator" w:id="0">
    <w:p w:rsidR="007B09C2" w:rsidRDefault="007B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
    <w:altName w:val="Arial Unicode MS"/>
    <w:panose1 w:val="020B0604020202020204"/>
    <w:charset w:val="88"/>
    <w:family w:val="auto"/>
    <w:pitch w:val="variable"/>
    <w:sig w:usb0="00000001" w:usb1="08080000" w:usb2="00000010"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9C2" w:rsidRDefault="007B09C2">
      <w:r>
        <w:separator/>
      </w:r>
    </w:p>
  </w:footnote>
  <w:footnote w:type="continuationSeparator" w:id="0">
    <w:p w:rsidR="007B09C2" w:rsidRDefault="007B0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9C2" w:rsidRDefault="007B09C2">
    <w:pPr>
      <w:pStyle w:val="Header"/>
      <w:rPr>
        <w:sz w:val="26"/>
      </w:rPr>
    </w:pPr>
    <w:r>
      <w:rPr>
        <w:rStyle w:val="PageNumber"/>
        <w:sz w:val="26"/>
      </w:rPr>
      <w:fldChar w:fldCharType="begin"/>
    </w:r>
    <w:r>
      <w:rPr>
        <w:rStyle w:val="PageNumber"/>
        <w:sz w:val="26"/>
      </w:rPr>
      <w:instrText xml:space="preserve"> PAGE </w:instrText>
    </w:r>
    <w:r>
      <w:rPr>
        <w:rStyle w:val="PageNumber"/>
        <w:sz w:val="26"/>
      </w:rPr>
      <w:fldChar w:fldCharType="separate"/>
    </w:r>
    <w:r>
      <w:rPr>
        <w:rStyle w:val="PageNumber"/>
        <w:noProof/>
        <w:sz w:val="26"/>
      </w:rPr>
      <w:t>4</w:t>
    </w:r>
    <w:r>
      <w:rPr>
        <w:rStyle w:val="PageNumber"/>
        <w:sz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9C2"/>
    <w:rsid w:val="007B0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064427A-9D19-AF40-A00B-9DF0D6C6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lang w:val="en-GB"/>
    </w:rPr>
  </w:style>
  <w:style w:type="paragraph" w:styleId="Heading1">
    <w:name w:val="heading 1"/>
    <w:basedOn w:val="Normal"/>
    <w:next w:val="Normal"/>
    <w:qFormat/>
    <w:pPr>
      <w:keepNext/>
      <w:adjustRightInd w:val="0"/>
      <w:snapToGrid w:val="0"/>
      <w:spacing w:line="480" w:lineRule="auto"/>
      <w:jc w:val="center"/>
      <w:textAlignment w:val="baseline"/>
      <w:outlineLvl w:val="0"/>
    </w:pPr>
    <w:rPr>
      <w:rFonts w:eastAsia="????"/>
      <w:kern w:val="0"/>
      <w:sz w:val="26"/>
      <w:u w:val="single"/>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center"/>
    </w:pPr>
    <w:rPr>
      <w:sz w:val="18"/>
    </w:r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Ruling DCPI 104 of 2002 </vt:lpstr>
    </vt:vector>
  </TitlesOfParts>
  <Company>Judiciary Hong Kong SAR</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Ruling DCPI 104 of 2002 </dc:title>
  <dc:subject/>
  <dc:creator>usupport</dc:creator>
  <cp:keywords/>
  <dc:description/>
  <cp:lastModifiedBy>Adrien Kwong</cp:lastModifiedBy>
  <cp:revision>2</cp:revision>
  <cp:lastPrinted>2003-01-27T08:56:00Z</cp:lastPrinted>
  <dcterms:created xsi:type="dcterms:W3CDTF">2023-10-14T01:10:00Z</dcterms:created>
  <dcterms:modified xsi:type="dcterms:W3CDTF">2023-10-14T01:10:00Z</dcterms:modified>
</cp:coreProperties>
</file>