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635C" w:rsidRDefault="0086635C">
      <w:pPr>
        <w:spacing w:before="100" w:beforeAutospacing="1" w:after="100" w:afterAutospacing="1"/>
        <w:rPr>
          <w:rFonts w:ascii="Times New Roman" w:hAnsi="Times New Roman"/>
        </w:rPr>
      </w:pPr>
      <w:r>
        <w:rPr>
          <w:rFonts w:ascii="Times New Roman" w:hAnsi="Times New Roman" w:hint="default"/>
        </w:rPr>
        <w:t>DCPI000220/2001</w:t>
      </w:r>
    </w:p>
    <w:p w:rsidR="0086635C" w:rsidRDefault="0086635C">
      <w:pPr>
        <w:spacing w:before="100" w:beforeAutospacing="1" w:after="100" w:afterAutospacing="1"/>
        <w:rPr>
          <w:rFonts w:ascii="Times New Roman" w:hAnsi="Times New Roman" w:hint="default"/>
        </w:rPr>
      </w:pPr>
      <w:r>
        <w:rPr>
          <w:rFonts w:ascii="Times New Roman" w:hAnsi="Times New Roman" w:hint="default"/>
        </w:rPr>
        <w:t> </w:t>
      </w: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6097"/>
        <w:gridCol w:w="2639"/>
      </w:tblGrid>
      <w:tr w:rsidR="00000000">
        <w:trPr>
          <w:tblCellSpacing w:w="15" w:type="dxa"/>
        </w:trPr>
        <w:tc>
          <w:tcPr>
            <w:tcW w:w="3500" w:type="pct"/>
          </w:tcPr>
          <w:p w:rsidR="0086635C" w:rsidRDefault="0086635C">
            <w:pPr>
              <w:spacing w:before="100" w:beforeAutospacing="1" w:after="100" w:afterAutospacing="1"/>
              <w:rPr>
                <w:rFonts w:ascii="Times New Roman" w:hAnsi="Times New Roman" w:hint="default"/>
              </w:rPr>
            </w:pPr>
            <w:r>
              <w:rPr>
                <w:rFonts w:ascii="Times New Roman" w:hAnsi="Times New Roman"/>
              </w:rPr>
              <w:t> </w:t>
            </w:r>
          </w:p>
        </w:tc>
        <w:tc>
          <w:tcPr>
            <w:tcW w:w="1500" w:type="pct"/>
          </w:tcPr>
          <w:p w:rsidR="0086635C" w:rsidRDefault="0086635C">
            <w:pPr>
              <w:spacing w:before="100" w:beforeAutospacing="1" w:after="100" w:afterAutospacing="1"/>
              <w:jc w:val="right"/>
              <w:rPr>
                <w:rFonts w:ascii="Times New Roman" w:hAnsi="Times New Roman" w:hint="default"/>
              </w:rPr>
            </w:pPr>
            <w:r>
              <w:rPr>
                <w:rFonts w:ascii="Times New Roman" w:hAnsi="Times New Roman"/>
              </w:rPr>
              <w:t>DCPI220/01</w:t>
            </w:r>
          </w:p>
        </w:tc>
      </w:tr>
    </w:tbl>
    <w:p w:rsidR="0086635C" w:rsidRDefault="0086635C">
      <w:pPr>
        <w:spacing w:before="100" w:beforeAutospacing="1" w:after="100" w:afterAutospacing="1"/>
        <w:rPr>
          <w:rFonts w:ascii="Times New Roman" w:hAnsi="Times New Roman" w:hint="default"/>
        </w:rPr>
      </w:pPr>
      <w:r>
        <w:rPr>
          <w:rFonts w:ascii="Times New Roman" w:hAnsi="Times New Roman" w:hint="default"/>
        </w:rPr>
        <w:t> </w:t>
      </w:r>
    </w:p>
    <w:p w:rsidR="0086635C" w:rsidRDefault="0086635C">
      <w:pPr>
        <w:spacing w:before="100" w:beforeAutospacing="1" w:after="100" w:afterAutospacing="1"/>
        <w:jc w:val="center"/>
        <w:rPr>
          <w:rFonts w:ascii="Times New Roman" w:hAnsi="Times New Roman" w:hint="default"/>
        </w:rPr>
      </w:pPr>
      <w:r>
        <w:rPr>
          <w:rFonts w:ascii="Times New Roman" w:hAnsi="Times New Roman" w:hint="default"/>
        </w:rPr>
        <w:t>IN THE DISTRICT COURT OF THE</w:t>
      </w:r>
    </w:p>
    <w:p w:rsidR="0086635C" w:rsidRDefault="0086635C">
      <w:pPr>
        <w:spacing w:before="100" w:beforeAutospacing="1" w:after="100" w:afterAutospacing="1"/>
        <w:jc w:val="center"/>
        <w:rPr>
          <w:rFonts w:ascii="Times New Roman" w:hAnsi="Times New Roman" w:hint="default"/>
        </w:rPr>
      </w:pPr>
      <w:r>
        <w:rPr>
          <w:rFonts w:ascii="Times New Roman" w:hAnsi="Times New Roman" w:hint="default"/>
        </w:rPr>
        <w:t>HONG KONG SPECIAL ADMINISTRATIVE REGION</w:t>
      </w:r>
    </w:p>
    <w:p w:rsidR="0086635C" w:rsidRDefault="0086635C">
      <w:pPr>
        <w:spacing w:before="100" w:beforeAutospacing="1" w:after="100" w:afterAutospacing="1"/>
        <w:rPr>
          <w:rFonts w:ascii="Times New Roman" w:hAnsi="Times New Roman" w:hint="default"/>
        </w:rPr>
      </w:pPr>
      <w:r>
        <w:rPr>
          <w:rFonts w:ascii="Times New Roman" w:hAnsi="Times New Roman" w:hint="default"/>
        </w:rPr>
        <w:t> </w:t>
      </w:r>
    </w:p>
    <w:p w:rsidR="0086635C" w:rsidRDefault="0086635C">
      <w:pPr>
        <w:spacing w:before="100" w:beforeAutospacing="1" w:after="100" w:afterAutospacing="1"/>
        <w:jc w:val="center"/>
        <w:rPr>
          <w:rFonts w:ascii="Times New Roman" w:hAnsi="Times New Roman" w:hint="default"/>
        </w:rPr>
      </w:pPr>
      <w:r>
        <w:rPr>
          <w:rFonts w:ascii="Times New Roman" w:hAnsi="Times New Roman" w:hint="default"/>
        </w:rPr>
        <w:t>PERSONAL INJURIES ACTION NO. 220 OF 2001</w:t>
      </w:r>
    </w:p>
    <w:p w:rsidR="0086635C" w:rsidRDefault="0086635C">
      <w:pPr>
        <w:spacing w:before="100" w:beforeAutospacing="1" w:after="100" w:afterAutospacing="1"/>
        <w:jc w:val="center"/>
        <w:rPr>
          <w:rFonts w:ascii="Times New Roman" w:hAnsi="Times New Roman" w:hint="default"/>
        </w:rPr>
      </w:pPr>
      <w:r>
        <w:rPr>
          <w:rFonts w:ascii="Times New Roman" w:hAnsi="Times New Roman" w:hint="default"/>
        </w:rPr>
        <w:t>-----------------</w:t>
      </w:r>
    </w:p>
    <w:p w:rsidR="0086635C" w:rsidRDefault="0086635C">
      <w:pPr>
        <w:spacing w:before="100" w:beforeAutospacing="1" w:after="100" w:afterAutospacing="1"/>
        <w:rPr>
          <w:rFonts w:ascii="Times New Roman" w:hAnsi="Times New Roman" w:hint="default"/>
        </w:rPr>
      </w:pPr>
      <w:r>
        <w:rPr>
          <w:rFonts w:ascii="Times New Roman" w:hAnsi="Times New Roman" w:hint="default"/>
        </w:rPr>
        <w:t> </w:t>
      </w: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2199"/>
        <w:gridCol w:w="4338"/>
        <w:gridCol w:w="2199"/>
      </w:tblGrid>
      <w:tr w:rsidR="00000000">
        <w:trPr>
          <w:tblCellSpacing w:w="15" w:type="dxa"/>
        </w:trPr>
        <w:tc>
          <w:tcPr>
            <w:tcW w:w="1250" w:type="pct"/>
          </w:tcPr>
          <w:p w:rsidR="0086635C" w:rsidRDefault="0086635C">
            <w:pPr>
              <w:spacing w:before="100" w:beforeAutospacing="1" w:after="100" w:afterAutospacing="1"/>
              <w:rPr>
                <w:rFonts w:ascii="Times New Roman" w:hAnsi="Times New Roman" w:hint="default"/>
              </w:rPr>
            </w:pPr>
            <w:r>
              <w:rPr>
                <w:rFonts w:ascii="Times New Roman" w:hAnsi="Times New Roman"/>
              </w:rPr>
              <w:t>BETWEEN</w:t>
            </w:r>
          </w:p>
        </w:tc>
        <w:tc>
          <w:tcPr>
            <w:tcW w:w="2500" w:type="pct"/>
          </w:tcPr>
          <w:p w:rsidR="0086635C" w:rsidRDefault="0086635C">
            <w:pPr>
              <w:spacing w:before="100" w:beforeAutospacing="1" w:after="100" w:afterAutospacing="1"/>
              <w:rPr>
                <w:rFonts w:ascii="Times New Roman" w:hAnsi="Times New Roman" w:hint="default"/>
              </w:rPr>
            </w:pPr>
            <w:r>
              <w:rPr>
                <w:rFonts w:ascii="Times New Roman" w:hAnsi="Times New Roman"/>
              </w:rPr>
              <w:t> </w:t>
            </w:r>
          </w:p>
        </w:tc>
        <w:tc>
          <w:tcPr>
            <w:tcW w:w="1250" w:type="pct"/>
          </w:tcPr>
          <w:p w:rsidR="0086635C" w:rsidRDefault="0086635C">
            <w:pPr>
              <w:spacing w:before="100" w:beforeAutospacing="1" w:after="100" w:afterAutospacing="1"/>
              <w:rPr>
                <w:rFonts w:ascii="Times New Roman" w:hAnsi="Times New Roman" w:hint="default"/>
              </w:rPr>
            </w:pPr>
            <w:r>
              <w:rPr>
                <w:rFonts w:ascii="Times New Roman" w:hAnsi="Times New Roman"/>
              </w:rPr>
              <w:t> </w:t>
            </w:r>
          </w:p>
        </w:tc>
      </w:tr>
      <w:tr w:rsidR="00000000">
        <w:trPr>
          <w:tblCellSpacing w:w="15" w:type="dxa"/>
        </w:trPr>
        <w:tc>
          <w:tcPr>
            <w:tcW w:w="1250" w:type="pct"/>
          </w:tcPr>
          <w:p w:rsidR="0086635C" w:rsidRDefault="0086635C">
            <w:pPr>
              <w:spacing w:before="100" w:beforeAutospacing="1" w:after="100" w:afterAutospacing="1"/>
              <w:rPr>
                <w:rFonts w:ascii="Times New Roman" w:hAnsi="Times New Roman" w:hint="default"/>
              </w:rPr>
            </w:pPr>
            <w:r>
              <w:rPr>
                <w:rFonts w:ascii="Times New Roman" w:hAnsi="Times New Roman"/>
              </w:rPr>
              <w:t> </w:t>
            </w:r>
          </w:p>
        </w:tc>
        <w:tc>
          <w:tcPr>
            <w:tcW w:w="2500" w:type="pct"/>
          </w:tcPr>
          <w:p w:rsidR="0086635C" w:rsidRDefault="0086635C">
            <w:pPr>
              <w:spacing w:before="100" w:beforeAutospacing="1" w:after="100" w:afterAutospacing="1"/>
              <w:jc w:val="center"/>
              <w:rPr>
                <w:rFonts w:ascii="Times New Roman" w:hAnsi="Times New Roman" w:hint="default"/>
              </w:rPr>
            </w:pPr>
            <w:r>
              <w:rPr>
                <w:rFonts w:ascii="Times New Roman" w:hAnsi="Times New Roman"/>
              </w:rPr>
              <w:t xml:space="preserve">Chan </w:t>
            </w:r>
            <w:proofErr w:type="spellStart"/>
            <w:r>
              <w:rPr>
                <w:rFonts w:ascii="Times New Roman" w:hAnsi="Times New Roman"/>
              </w:rPr>
              <w:t>Tsz</w:t>
            </w:r>
            <w:proofErr w:type="spellEnd"/>
            <w:r>
              <w:rPr>
                <w:rFonts w:ascii="Times New Roman" w:hAnsi="Times New Roman"/>
              </w:rPr>
              <w:t xml:space="preserve">-kit an infant suing by his mother and next friend Cheng </w:t>
            </w:r>
            <w:proofErr w:type="spellStart"/>
            <w:r>
              <w:rPr>
                <w:rFonts w:ascii="Times New Roman" w:hAnsi="Times New Roman"/>
              </w:rPr>
              <w:t>Siu-kam</w:t>
            </w:r>
            <w:proofErr w:type="spellEnd"/>
            <w:r>
              <w:rPr>
                <w:rFonts w:ascii="Times New Roman" w:hAnsi="Times New Roman"/>
              </w:rPr>
              <w:t>, Monica</w:t>
            </w:r>
          </w:p>
        </w:tc>
        <w:tc>
          <w:tcPr>
            <w:tcW w:w="1250" w:type="pct"/>
          </w:tcPr>
          <w:p w:rsidR="0086635C" w:rsidRDefault="0086635C">
            <w:pPr>
              <w:spacing w:before="100" w:beforeAutospacing="1" w:after="100" w:afterAutospacing="1"/>
              <w:jc w:val="center"/>
              <w:rPr>
                <w:rFonts w:ascii="Times New Roman" w:hAnsi="Times New Roman" w:hint="default"/>
              </w:rPr>
            </w:pPr>
            <w:r>
              <w:rPr>
                <w:rFonts w:ascii="Times New Roman" w:hAnsi="Times New Roman"/>
              </w:rPr>
              <w:t>Plaintiff</w:t>
            </w:r>
          </w:p>
        </w:tc>
      </w:tr>
      <w:tr w:rsidR="00000000">
        <w:trPr>
          <w:tblCellSpacing w:w="15" w:type="dxa"/>
        </w:trPr>
        <w:tc>
          <w:tcPr>
            <w:tcW w:w="1250" w:type="pct"/>
          </w:tcPr>
          <w:p w:rsidR="0086635C" w:rsidRDefault="0086635C">
            <w:pPr>
              <w:spacing w:before="100" w:beforeAutospacing="1" w:after="100" w:afterAutospacing="1"/>
              <w:rPr>
                <w:rFonts w:ascii="Times New Roman" w:hAnsi="Times New Roman" w:hint="default"/>
              </w:rPr>
            </w:pPr>
            <w:r>
              <w:rPr>
                <w:rFonts w:ascii="Times New Roman" w:hAnsi="Times New Roman"/>
              </w:rPr>
              <w:t> </w:t>
            </w:r>
          </w:p>
        </w:tc>
        <w:tc>
          <w:tcPr>
            <w:tcW w:w="2500" w:type="pct"/>
          </w:tcPr>
          <w:p w:rsidR="0086635C" w:rsidRDefault="0086635C">
            <w:pPr>
              <w:spacing w:before="100" w:beforeAutospacing="1" w:after="100" w:afterAutospacing="1"/>
              <w:jc w:val="center"/>
              <w:rPr>
                <w:rFonts w:ascii="Times New Roman" w:hAnsi="Times New Roman" w:hint="default"/>
              </w:rPr>
            </w:pPr>
            <w:r>
              <w:rPr>
                <w:rFonts w:ascii="Times New Roman" w:hAnsi="Times New Roman"/>
              </w:rPr>
              <w:t>and</w:t>
            </w:r>
          </w:p>
        </w:tc>
        <w:tc>
          <w:tcPr>
            <w:tcW w:w="1250" w:type="pct"/>
          </w:tcPr>
          <w:p w:rsidR="0086635C" w:rsidRDefault="0086635C">
            <w:pPr>
              <w:spacing w:before="100" w:beforeAutospacing="1" w:after="100" w:afterAutospacing="1"/>
              <w:jc w:val="center"/>
              <w:rPr>
                <w:rFonts w:ascii="Times New Roman" w:hAnsi="Times New Roman" w:hint="default"/>
              </w:rPr>
            </w:pPr>
            <w:r>
              <w:rPr>
                <w:rFonts w:ascii="Times New Roman" w:hAnsi="Times New Roman"/>
              </w:rPr>
              <w:t> </w:t>
            </w:r>
          </w:p>
        </w:tc>
      </w:tr>
      <w:tr w:rsidR="00000000">
        <w:trPr>
          <w:tblCellSpacing w:w="15" w:type="dxa"/>
        </w:trPr>
        <w:tc>
          <w:tcPr>
            <w:tcW w:w="1250" w:type="pct"/>
          </w:tcPr>
          <w:p w:rsidR="0086635C" w:rsidRDefault="0086635C">
            <w:pPr>
              <w:spacing w:before="100" w:beforeAutospacing="1" w:after="100" w:afterAutospacing="1"/>
              <w:jc w:val="center"/>
              <w:rPr>
                <w:rFonts w:ascii="Times New Roman" w:hAnsi="Times New Roman" w:hint="default"/>
              </w:rPr>
            </w:pPr>
            <w:r>
              <w:rPr>
                <w:rFonts w:ascii="Times New Roman" w:hAnsi="Times New Roman"/>
              </w:rPr>
              <w:t> </w:t>
            </w:r>
          </w:p>
        </w:tc>
        <w:tc>
          <w:tcPr>
            <w:tcW w:w="2500" w:type="pct"/>
          </w:tcPr>
          <w:p w:rsidR="0086635C" w:rsidRDefault="0086635C">
            <w:pPr>
              <w:spacing w:before="100" w:beforeAutospacing="1" w:after="100" w:afterAutospacing="1"/>
              <w:jc w:val="center"/>
              <w:rPr>
                <w:rFonts w:ascii="Times New Roman" w:hAnsi="Times New Roman" w:hint="default"/>
              </w:rPr>
            </w:pPr>
            <w:r>
              <w:rPr>
                <w:rFonts w:ascii="Times New Roman" w:hAnsi="Times New Roman"/>
              </w:rPr>
              <w:t>China Airlines Limited</w:t>
            </w:r>
          </w:p>
        </w:tc>
        <w:tc>
          <w:tcPr>
            <w:tcW w:w="1250" w:type="pct"/>
          </w:tcPr>
          <w:p w:rsidR="0086635C" w:rsidRDefault="0086635C">
            <w:pPr>
              <w:spacing w:before="100" w:beforeAutospacing="1" w:after="100" w:afterAutospacing="1"/>
              <w:jc w:val="center"/>
              <w:rPr>
                <w:rFonts w:ascii="Times New Roman" w:hAnsi="Times New Roman" w:hint="default"/>
              </w:rPr>
            </w:pPr>
            <w:r>
              <w:rPr>
                <w:rFonts w:ascii="Times New Roman" w:hAnsi="Times New Roman"/>
              </w:rPr>
              <w:t>Defendant</w:t>
            </w:r>
          </w:p>
        </w:tc>
      </w:tr>
    </w:tbl>
    <w:p w:rsidR="0086635C" w:rsidRDefault="0086635C">
      <w:pPr>
        <w:spacing w:before="100" w:beforeAutospacing="1" w:after="100" w:afterAutospacing="1"/>
        <w:jc w:val="center"/>
        <w:rPr>
          <w:rFonts w:ascii="Times New Roman" w:hAnsi="Times New Roman" w:hint="default"/>
        </w:rPr>
      </w:pPr>
      <w:r>
        <w:rPr>
          <w:rFonts w:ascii="Times New Roman" w:hAnsi="Times New Roman" w:hint="default"/>
        </w:rPr>
        <w:t>-----------------</w:t>
      </w:r>
    </w:p>
    <w:p w:rsidR="0086635C" w:rsidRDefault="0086635C">
      <w:pPr>
        <w:spacing w:before="100" w:beforeAutospacing="1" w:after="100" w:afterAutospacing="1"/>
        <w:rPr>
          <w:rFonts w:ascii="Times New Roman" w:hAnsi="Times New Roman" w:hint="default"/>
        </w:rPr>
      </w:pPr>
      <w:r>
        <w:rPr>
          <w:rFonts w:ascii="Times New Roman" w:hAnsi="Times New Roman" w:hint="default"/>
        </w:rPr>
        <w:t xml:space="preserve">Coram: H </w:t>
      </w:r>
      <w:proofErr w:type="spellStart"/>
      <w:r>
        <w:rPr>
          <w:rFonts w:ascii="Times New Roman" w:hAnsi="Times New Roman" w:hint="default"/>
        </w:rPr>
        <w:t>H</w:t>
      </w:r>
      <w:proofErr w:type="spellEnd"/>
      <w:r>
        <w:rPr>
          <w:rFonts w:ascii="Times New Roman" w:hAnsi="Times New Roman" w:hint="default"/>
        </w:rPr>
        <w:t xml:space="preserve"> Judge Carlson in Chambers</w:t>
      </w:r>
    </w:p>
    <w:p w:rsidR="0086635C" w:rsidRDefault="0086635C">
      <w:pPr>
        <w:spacing w:before="100" w:beforeAutospacing="1" w:after="100" w:afterAutospacing="1"/>
        <w:rPr>
          <w:rFonts w:ascii="Times New Roman" w:hAnsi="Times New Roman" w:hint="default"/>
        </w:rPr>
      </w:pPr>
      <w:r>
        <w:rPr>
          <w:rFonts w:ascii="Times New Roman" w:hAnsi="Times New Roman" w:hint="default"/>
        </w:rPr>
        <w:t>Date of Judgment: 26 February 2002</w:t>
      </w: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49"/>
        <w:gridCol w:w="7887"/>
      </w:tblGrid>
      <w:tr w:rsidR="00000000">
        <w:trPr>
          <w:tblCellSpacing w:w="15" w:type="dxa"/>
        </w:trPr>
        <w:tc>
          <w:tcPr>
            <w:tcW w:w="450" w:type="pct"/>
          </w:tcPr>
          <w:p w:rsidR="0086635C" w:rsidRDefault="0086635C">
            <w:pPr>
              <w:rPr>
                <w:rFonts w:ascii="Times New Roman" w:eastAsia="Arial Unicode MS" w:hAnsi="Times New Roman"/>
              </w:rPr>
            </w:pPr>
            <w:r>
              <w:rPr>
                <w:rFonts w:ascii="Times New Roman" w:hAnsi="Times New Roman"/>
              </w:rPr>
              <w:t>Present:</w:t>
            </w:r>
          </w:p>
        </w:tc>
        <w:tc>
          <w:tcPr>
            <w:tcW w:w="4550" w:type="pct"/>
          </w:tcPr>
          <w:p w:rsidR="0086635C" w:rsidRDefault="0086635C">
            <w:pPr>
              <w:rPr>
                <w:rFonts w:ascii="Times New Roman" w:eastAsia="Arial Unicode MS" w:hAnsi="Times New Roman"/>
              </w:rPr>
            </w:pPr>
            <w:r>
              <w:rPr>
                <w:rFonts w:ascii="Times New Roman" w:hAnsi="Times New Roman"/>
              </w:rPr>
              <w:t xml:space="preserve">Ms </w:t>
            </w:r>
            <w:proofErr w:type="spellStart"/>
            <w:r>
              <w:rPr>
                <w:rFonts w:ascii="Times New Roman" w:hAnsi="Times New Roman"/>
              </w:rPr>
              <w:t>Cheuk</w:t>
            </w:r>
            <w:proofErr w:type="spellEnd"/>
            <w:r>
              <w:rPr>
                <w:rFonts w:ascii="Times New Roman" w:hAnsi="Times New Roman"/>
              </w:rPr>
              <w:t xml:space="preserve"> of Messrs </w:t>
            </w:r>
            <w:proofErr w:type="spellStart"/>
            <w:r>
              <w:rPr>
                <w:rFonts w:ascii="Times New Roman" w:hAnsi="Times New Roman"/>
              </w:rPr>
              <w:t>Szwina</w:t>
            </w:r>
            <w:proofErr w:type="spellEnd"/>
            <w:r>
              <w:rPr>
                <w:rFonts w:ascii="Times New Roman" w:hAnsi="Times New Roman"/>
              </w:rPr>
              <w:t xml:space="preserve"> S K Pang &amp; Co., assigned by the Legal Aid Department, for the Plaintiff</w:t>
            </w:r>
          </w:p>
        </w:tc>
      </w:tr>
      <w:tr w:rsidR="00000000">
        <w:trPr>
          <w:tblCellSpacing w:w="15" w:type="dxa"/>
        </w:trPr>
        <w:tc>
          <w:tcPr>
            <w:tcW w:w="450" w:type="pct"/>
          </w:tcPr>
          <w:p w:rsidR="0086635C" w:rsidRDefault="0086635C">
            <w:pPr>
              <w:rPr>
                <w:rFonts w:ascii="Times New Roman" w:eastAsia="Arial Unicode MS" w:hAnsi="Times New Roman"/>
              </w:rPr>
            </w:pPr>
          </w:p>
        </w:tc>
        <w:tc>
          <w:tcPr>
            <w:tcW w:w="4550" w:type="pct"/>
          </w:tcPr>
          <w:p w:rsidR="0086635C" w:rsidRDefault="0086635C">
            <w:pPr>
              <w:rPr>
                <w:rFonts w:ascii="Times New Roman" w:eastAsia="Arial Unicode MS" w:hAnsi="Times New Roman"/>
              </w:rPr>
            </w:pPr>
            <w:proofErr w:type="spellStart"/>
            <w:r>
              <w:rPr>
                <w:rFonts w:ascii="Times New Roman" w:hAnsi="Times New Roman"/>
              </w:rPr>
              <w:t>Mr</w:t>
            </w:r>
            <w:proofErr w:type="spellEnd"/>
            <w:r>
              <w:rPr>
                <w:rFonts w:ascii="Times New Roman" w:hAnsi="Times New Roman"/>
              </w:rPr>
              <w:t xml:space="preserve"> Ronald Tang, of Stevenson, Wong &amp; Co., for the Defendant</w:t>
            </w:r>
          </w:p>
        </w:tc>
      </w:tr>
    </w:tbl>
    <w:p w:rsidR="0086635C" w:rsidRDefault="0086635C">
      <w:pPr>
        <w:spacing w:before="100" w:beforeAutospacing="1" w:after="100" w:afterAutospacing="1"/>
        <w:rPr>
          <w:rFonts w:ascii="Times New Roman" w:hAnsi="Times New Roman" w:hint="default"/>
        </w:rPr>
      </w:pPr>
      <w:r>
        <w:rPr>
          <w:rFonts w:ascii="Times New Roman" w:hAnsi="Times New Roman" w:hint="default"/>
        </w:rPr>
        <w:t> </w:t>
      </w:r>
    </w:p>
    <w:p w:rsidR="0086635C" w:rsidRDefault="0086635C">
      <w:pPr>
        <w:spacing w:before="100" w:beforeAutospacing="1" w:after="100" w:afterAutospacing="1"/>
        <w:jc w:val="center"/>
        <w:rPr>
          <w:rFonts w:ascii="Times New Roman" w:hAnsi="Times New Roman" w:hint="default"/>
        </w:rPr>
      </w:pPr>
      <w:r>
        <w:rPr>
          <w:rFonts w:ascii="Times New Roman" w:hAnsi="Times New Roman" w:hint="default"/>
        </w:rPr>
        <w:t>-----------------</w:t>
      </w:r>
    </w:p>
    <w:p w:rsidR="0086635C" w:rsidRDefault="0086635C">
      <w:pPr>
        <w:spacing w:before="100" w:beforeAutospacing="1" w:after="100" w:afterAutospacing="1"/>
        <w:jc w:val="center"/>
        <w:rPr>
          <w:rFonts w:ascii="Times New Roman" w:hAnsi="Times New Roman" w:hint="default"/>
        </w:rPr>
      </w:pPr>
      <w:r>
        <w:rPr>
          <w:rFonts w:ascii="Times New Roman" w:hAnsi="Times New Roman" w:hint="default"/>
        </w:rPr>
        <w:t>RULING</w:t>
      </w:r>
    </w:p>
    <w:p w:rsidR="0086635C" w:rsidRDefault="0086635C">
      <w:pPr>
        <w:spacing w:before="100" w:beforeAutospacing="1" w:after="100" w:afterAutospacing="1"/>
        <w:jc w:val="center"/>
        <w:rPr>
          <w:rFonts w:ascii="Times New Roman" w:hAnsi="Times New Roman" w:hint="default"/>
        </w:rPr>
      </w:pPr>
      <w:r>
        <w:rPr>
          <w:rFonts w:ascii="Times New Roman" w:hAnsi="Times New Roman" w:hint="default"/>
        </w:rPr>
        <w:t>-----------------</w:t>
      </w:r>
    </w:p>
    <w:p w:rsidR="0086635C" w:rsidRDefault="0086635C">
      <w:pPr>
        <w:spacing w:before="100" w:beforeAutospacing="1" w:after="100" w:afterAutospacing="1"/>
        <w:rPr>
          <w:rFonts w:ascii="Times New Roman" w:hAnsi="Times New Roman" w:hint="default"/>
        </w:rPr>
      </w:pPr>
      <w:r>
        <w:rPr>
          <w:rFonts w:ascii="Times New Roman" w:hAnsi="Times New Roman" w:hint="default"/>
        </w:rPr>
        <w:lastRenderedPageBreak/>
        <w:t> </w:t>
      </w:r>
    </w:p>
    <w:p w:rsidR="0086635C" w:rsidRDefault="0086635C">
      <w:pPr>
        <w:spacing w:before="100" w:beforeAutospacing="1" w:after="100" w:afterAutospacing="1"/>
        <w:rPr>
          <w:rFonts w:ascii="Times New Roman" w:hAnsi="Times New Roman" w:hint="default"/>
        </w:rPr>
      </w:pPr>
      <w:r>
        <w:rPr>
          <w:rFonts w:ascii="Times New Roman" w:hAnsi="Times New Roman" w:hint="default"/>
        </w:rPr>
        <w:t>1. The defendants, China Airlines Limited, apply under Order 12, Rule 8A of the Rules of the District Court for an order that the action be dismissed with costs by virtue of the plaintiff's failure to comply with a notice dated 28 August 2001, served by the defendants pursuant to Order 12, Rule 8A, to serve on them the writ in this action. The material parts of the</w:t>
      </w:r>
      <w:r>
        <w:rPr>
          <w:rFonts w:ascii="Times New Roman" w:hAnsi="Times New Roman" w:hint="default"/>
          <w:i/>
          <w:iCs/>
        </w:rPr>
        <w:t xml:space="preserve"> </w:t>
      </w:r>
      <w:r>
        <w:rPr>
          <w:rFonts w:ascii="Times New Roman" w:hAnsi="Times New Roman" w:hint="default"/>
        </w:rPr>
        <w:t>order are in these terms:</w:t>
      </w: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562"/>
        <w:gridCol w:w="375"/>
        <w:gridCol w:w="7799"/>
      </w:tblGrid>
      <w:tr w:rsidR="00000000">
        <w:trPr>
          <w:tblCellSpacing w:w="15" w:type="dxa"/>
        </w:trPr>
        <w:tc>
          <w:tcPr>
            <w:tcW w:w="300" w:type="pct"/>
          </w:tcPr>
          <w:p w:rsidR="0086635C" w:rsidRDefault="0086635C">
            <w:pPr>
              <w:spacing w:before="100" w:beforeAutospacing="1" w:after="100" w:afterAutospacing="1"/>
              <w:rPr>
                <w:rFonts w:ascii="Times New Roman" w:hAnsi="Times New Roman" w:hint="default"/>
              </w:rPr>
            </w:pPr>
            <w:r>
              <w:rPr>
                <w:rFonts w:ascii="Times New Roman" w:hAnsi="Times New Roman"/>
              </w:rPr>
              <w:t> </w:t>
            </w:r>
          </w:p>
        </w:tc>
        <w:tc>
          <w:tcPr>
            <w:tcW w:w="200" w:type="pct"/>
          </w:tcPr>
          <w:p w:rsidR="0086635C" w:rsidRDefault="0086635C">
            <w:pPr>
              <w:spacing w:before="100" w:beforeAutospacing="1" w:after="100" w:afterAutospacing="1"/>
              <w:rPr>
                <w:rFonts w:ascii="Times New Roman" w:hAnsi="Times New Roman" w:hint="default"/>
              </w:rPr>
            </w:pPr>
            <w:r>
              <w:rPr>
                <w:rFonts w:ascii="Times New Roman" w:hAnsi="Times New Roman"/>
              </w:rPr>
              <w:t>(1)</w:t>
            </w:r>
          </w:p>
        </w:tc>
        <w:tc>
          <w:tcPr>
            <w:tcW w:w="4500" w:type="pct"/>
          </w:tcPr>
          <w:p w:rsidR="0086635C" w:rsidRDefault="0086635C">
            <w:pPr>
              <w:spacing w:before="100" w:beforeAutospacing="1" w:after="100" w:afterAutospacing="1"/>
              <w:rPr>
                <w:rFonts w:ascii="Times New Roman" w:hAnsi="Times New Roman" w:hint="default"/>
              </w:rPr>
            </w:pPr>
            <w:r>
              <w:rPr>
                <w:rFonts w:ascii="Times New Roman" w:hAnsi="Times New Roman"/>
              </w:rPr>
              <w:t>Any person named as a defendant in a writ which has not been served on</w:t>
            </w:r>
            <w:r>
              <w:rPr>
                <w:rFonts w:ascii="Times New Roman" w:hAnsi="Times New Roman"/>
                <w:i/>
                <w:iCs/>
              </w:rPr>
              <w:t xml:space="preserve"> </w:t>
            </w:r>
            <w:r>
              <w:rPr>
                <w:rFonts w:ascii="Times New Roman" w:hAnsi="Times New Roman"/>
              </w:rPr>
              <w:t>him</w:t>
            </w:r>
            <w:r>
              <w:rPr>
                <w:rFonts w:ascii="Times New Roman" w:hAnsi="Times New Roman"/>
                <w:i/>
                <w:iCs/>
              </w:rPr>
              <w:t xml:space="preserve"> </w:t>
            </w:r>
            <w:r>
              <w:rPr>
                <w:rFonts w:ascii="Times New Roman" w:hAnsi="Times New Roman"/>
              </w:rPr>
              <w:t>may serve on the plaintiff a notice requiring him within specified period not less than 14 days after service of the notice, either to serve the writ on the defendant or to discontinue the action as against him.</w:t>
            </w:r>
          </w:p>
        </w:tc>
      </w:tr>
      <w:tr w:rsidR="00000000">
        <w:trPr>
          <w:tblCellSpacing w:w="15" w:type="dxa"/>
        </w:trPr>
        <w:tc>
          <w:tcPr>
            <w:tcW w:w="300" w:type="pct"/>
          </w:tcPr>
          <w:p w:rsidR="0086635C" w:rsidRDefault="0086635C">
            <w:pPr>
              <w:spacing w:before="100" w:beforeAutospacing="1" w:after="100" w:afterAutospacing="1"/>
              <w:rPr>
                <w:rFonts w:ascii="Times New Roman" w:hAnsi="Times New Roman" w:hint="default"/>
              </w:rPr>
            </w:pPr>
            <w:r>
              <w:rPr>
                <w:rFonts w:ascii="Times New Roman" w:hAnsi="Times New Roman"/>
              </w:rPr>
              <w:t> </w:t>
            </w:r>
          </w:p>
        </w:tc>
        <w:tc>
          <w:tcPr>
            <w:tcW w:w="200" w:type="pct"/>
          </w:tcPr>
          <w:p w:rsidR="0086635C" w:rsidRDefault="0086635C">
            <w:pPr>
              <w:spacing w:before="100" w:beforeAutospacing="1" w:after="100" w:afterAutospacing="1"/>
              <w:rPr>
                <w:rFonts w:ascii="Times New Roman" w:hAnsi="Times New Roman" w:hint="default"/>
              </w:rPr>
            </w:pPr>
            <w:r>
              <w:rPr>
                <w:rFonts w:ascii="Times New Roman" w:hAnsi="Times New Roman"/>
              </w:rPr>
              <w:t>(2)</w:t>
            </w:r>
          </w:p>
        </w:tc>
        <w:tc>
          <w:tcPr>
            <w:tcW w:w="4500" w:type="pct"/>
          </w:tcPr>
          <w:p w:rsidR="0086635C" w:rsidRDefault="0086635C">
            <w:pPr>
              <w:spacing w:before="100" w:beforeAutospacing="1" w:after="100" w:afterAutospacing="1"/>
              <w:rPr>
                <w:rFonts w:ascii="Times New Roman" w:hAnsi="Times New Roman" w:hint="default"/>
              </w:rPr>
            </w:pPr>
            <w:r>
              <w:rPr>
                <w:rFonts w:ascii="Times New Roman" w:hAnsi="Times New Roman"/>
              </w:rPr>
              <w:t>Where the plaintiff fails to comply with a notice under paragraph (1) within the time specified the court may on the application of the defendant by summons order the action to be dismissed or make such other order as it thinks fit.</w:t>
            </w:r>
          </w:p>
        </w:tc>
      </w:tr>
    </w:tbl>
    <w:p w:rsidR="0086635C" w:rsidRDefault="0086635C">
      <w:pPr>
        <w:spacing w:before="100" w:beforeAutospacing="1" w:after="100" w:afterAutospacing="1"/>
        <w:rPr>
          <w:rFonts w:ascii="Times New Roman" w:hAnsi="Times New Roman" w:hint="default"/>
        </w:rPr>
      </w:pPr>
      <w:r>
        <w:rPr>
          <w:rFonts w:ascii="Times New Roman" w:hAnsi="Times New Roman" w:hint="default"/>
        </w:rPr>
        <w:t>2. The matter comes about in this way: On 22 August 1999 a McDonnell-Douglas MD-11 aircraft, operated by the defendants, with some 300 passengers on board, crashed on landing at Hong Kong International Airport. The landing was attempted whilst a typhoon No. 8 signal was hoisted by the Hong Kong Weather Observatory. Regrettably there were fatalities and a number of passengers were injured. Both infant plaintiffs who were on board the aircraft are amongst those who had been injured, including an allegation th</w:t>
      </w:r>
      <w:r>
        <w:rPr>
          <w:rFonts w:ascii="Times New Roman" w:hAnsi="Times New Roman" w:hint="default"/>
        </w:rPr>
        <w:t>at they have suffered psychiatric problems as a direct result of the crash.</w:t>
      </w:r>
    </w:p>
    <w:p w:rsidR="0086635C" w:rsidRDefault="0086635C">
      <w:pPr>
        <w:spacing w:before="100" w:beforeAutospacing="1" w:after="100" w:afterAutospacing="1"/>
        <w:rPr>
          <w:rFonts w:ascii="Times New Roman" w:hAnsi="Times New Roman" w:hint="default"/>
        </w:rPr>
      </w:pPr>
      <w:r>
        <w:rPr>
          <w:rFonts w:ascii="Times New Roman" w:hAnsi="Times New Roman" w:hint="default"/>
        </w:rPr>
        <w:t>3. This is a matter to which the Warsaw Convention is said to apply. It provides for a two year limitation period. It also sets limits to the quantum of damages that can be recoverable by passengers in the event of an incident such as this, unless it can be proved that the crash was caused by recklessness or intentionally.</w:t>
      </w:r>
    </w:p>
    <w:p w:rsidR="0086635C" w:rsidRDefault="0086635C">
      <w:pPr>
        <w:spacing w:before="100" w:beforeAutospacing="1" w:after="100" w:afterAutospacing="1"/>
        <w:rPr>
          <w:rFonts w:ascii="Times New Roman" w:hAnsi="Times New Roman" w:hint="default"/>
        </w:rPr>
      </w:pPr>
      <w:r>
        <w:rPr>
          <w:rFonts w:ascii="Times New Roman" w:hAnsi="Times New Roman" w:hint="default"/>
        </w:rPr>
        <w:t>4. The plaintiff's solicitors do not accept that a two year limitation period applies, but in the event that they might be mistaken as to that, they have taken out a generally endorsed writ against the defendants claiming damages for personal injury which, for the time being, they do not wish to serve. The writ was issued in July 2001, which under the provisions of Order 6, Rule 8 of the Rules of the District Court is valid for 12 months in the first instance but which is renewable with leave.</w:t>
      </w:r>
    </w:p>
    <w:p w:rsidR="0086635C" w:rsidRDefault="0086635C">
      <w:pPr>
        <w:spacing w:before="100" w:beforeAutospacing="1" w:after="100" w:afterAutospacing="1"/>
        <w:rPr>
          <w:rFonts w:ascii="Times New Roman" w:hAnsi="Times New Roman" w:hint="default"/>
        </w:rPr>
      </w:pPr>
      <w:r>
        <w:rPr>
          <w:rFonts w:ascii="Times New Roman" w:hAnsi="Times New Roman" w:hint="default"/>
        </w:rPr>
        <w:t xml:space="preserve">5. I shall say more about the plaintiff's reasons for not wishing to serve the writ in a moment, but it is more convenient to indicate the defendant's position first, they being the party who have made this application. </w:t>
      </w:r>
      <w:proofErr w:type="spellStart"/>
      <w:r>
        <w:rPr>
          <w:rFonts w:ascii="Times New Roman" w:hAnsi="Times New Roman" w:hint="default"/>
        </w:rPr>
        <w:t>Mr</w:t>
      </w:r>
      <w:proofErr w:type="spellEnd"/>
      <w:r>
        <w:rPr>
          <w:rFonts w:ascii="Times New Roman" w:hAnsi="Times New Roman" w:hint="default"/>
        </w:rPr>
        <w:t xml:space="preserve"> Ronald Tang, who appears for the defendants in this matter, as he does is all the claims 200 of them - that have been brought against the defendants arising from this incident, has told me that of those 200 all have been settled save for nine, including these two, which remain, Of those nine all the plaintiffs, save for these two, have at the very least served the writ and in some cases some have gone as far as serving their statement of claim and statement of damages. </w:t>
      </w:r>
      <w:proofErr w:type="spellStart"/>
      <w:r>
        <w:rPr>
          <w:rFonts w:ascii="Times New Roman" w:hAnsi="Times New Roman" w:hint="default"/>
        </w:rPr>
        <w:t>Mr</w:t>
      </w:r>
      <w:proofErr w:type="spellEnd"/>
      <w:r>
        <w:rPr>
          <w:rFonts w:ascii="Times New Roman" w:hAnsi="Times New Roman" w:hint="default"/>
        </w:rPr>
        <w:t xml:space="preserve"> Tang submits that there is simpl</w:t>
      </w:r>
      <w:r>
        <w:rPr>
          <w:rFonts w:ascii="Times New Roman" w:hAnsi="Times New Roman" w:hint="default"/>
        </w:rPr>
        <w:t xml:space="preserve">y no valid reason why the plaintiffs should not at the very least serve the writ and </w:t>
      </w:r>
      <w:r>
        <w:rPr>
          <w:rFonts w:ascii="Times New Roman" w:hAnsi="Times New Roman" w:hint="default"/>
        </w:rPr>
        <w:lastRenderedPageBreak/>
        <w:t>he prays in aid in particular the provisions of the personal Injury Practice Direction, paragraph 10.7 which is concerned with checklist review hearings. 10.7 is in these terms:</w:t>
      </w: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564"/>
        <w:gridCol w:w="8172"/>
      </w:tblGrid>
      <w:tr w:rsidR="00000000">
        <w:trPr>
          <w:tblCellSpacing w:w="15" w:type="dxa"/>
        </w:trPr>
        <w:tc>
          <w:tcPr>
            <w:tcW w:w="300" w:type="pct"/>
          </w:tcPr>
          <w:p w:rsidR="0086635C" w:rsidRDefault="0086635C">
            <w:pPr>
              <w:spacing w:before="100" w:beforeAutospacing="1" w:after="100" w:afterAutospacing="1"/>
              <w:rPr>
                <w:rFonts w:ascii="Times New Roman" w:hAnsi="Times New Roman" w:hint="default"/>
              </w:rPr>
            </w:pPr>
            <w:r>
              <w:rPr>
                <w:rFonts w:ascii="Times New Roman" w:hAnsi="Times New Roman"/>
              </w:rPr>
              <w:t> </w:t>
            </w:r>
          </w:p>
        </w:tc>
        <w:tc>
          <w:tcPr>
            <w:tcW w:w="4700" w:type="pct"/>
          </w:tcPr>
          <w:p w:rsidR="0086635C" w:rsidRDefault="0086635C">
            <w:pPr>
              <w:spacing w:before="100" w:beforeAutospacing="1" w:after="100" w:afterAutospacing="1"/>
              <w:rPr>
                <w:rFonts w:ascii="Times New Roman" w:hAnsi="Times New Roman" w:hint="default"/>
              </w:rPr>
            </w:pPr>
            <w:r>
              <w:rPr>
                <w:rFonts w:ascii="Times New Roman" w:hAnsi="Times New Roman"/>
              </w:rPr>
              <w:t>"In the event of a plaintiff's solicitors failing to serve the writ and the checklist review notice as soon as practicable following the issue of the writ so as to give the defendants the full proper notice of the date of hearing of the checklist review, the plaintiff's solicitors will be required to justify such failure in order to avoid any order for costs wasted by any adjournment of the checklist review hearing."</w:t>
            </w:r>
          </w:p>
        </w:tc>
      </w:tr>
    </w:tbl>
    <w:p w:rsidR="0086635C" w:rsidRDefault="0086635C">
      <w:pPr>
        <w:spacing w:before="100" w:beforeAutospacing="1" w:after="100" w:afterAutospacing="1"/>
        <w:rPr>
          <w:rFonts w:ascii="Times New Roman" w:hAnsi="Times New Roman" w:hint="default"/>
        </w:rPr>
      </w:pPr>
      <w:r>
        <w:rPr>
          <w:rFonts w:ascii="Times New Roman" w:hAnsi="Times New Roman" w:hint="default"/>
        </w:rPr>
        <w:t xml:space="preserve">6. </w:t>
      </w:r>
      <w:proofErr w:type="spellStart"/>
      <w:r>
        <w:rPr>
          <w:rFonts w:ascii="Times New Roman" w:hAnsi="Times New Roman" w:hint="default"/>
        </w:rPr>
        <w:t>Mr</w:t>
      </w:r>
      <w:proofErr w:type="spellEnd"/>
      <w:r>
        <w:rPr>
          <w:rFonts w:ascii="Times New Roman" w:hAnsi="Times New Roman" w:hint="default"/>
        </w:rPr>
        <w:t xml:space="preserve"> Tang says that the conduct of personal injury litigation as envisaged by the Practice Direction is that once the pre-action protocol concerning letters before action has been adhered to, the writ should be served quickly after it has been issued and the court can then apply itself to managing the action to trial with dispatch and efficiency having regard to the exigencies of the particular case before it.</w:t>
      </w:r>
    </w:p>
    <w:p w:rsidR="0086635C" w:rsidRDefault="0086635C">
      <w:pPr>
        <w:spacing w:before="100" w:beforeAutospacing="1" w:after="100" w:afterAutospacing="1"/>
        <w:rPr>
          <w:rFonts w:ascii="Times New Roman" w:hAnsi="Times New Roman" w:hint="default"/>
        </w:rPr>
      </w:pPr>
      <w:r>
        <w:rPr>
          <w:rFonts w:ascii="Times New Roman" w:hAnsi="Times New Roman" w:hint="default"/>
        </w:rPr>
        <w:t xml:space="preserve">7. </w:t>
      </w:r>
      <w:proofErr w:type="spellStart"/>
      <w:r>
        <w:rPr>
          <w:rFonts w:ascii="Times New Roman" w:hAnsi="Times New Roman" w:hint="default"/>
        </w:rPr>
        <w:t>Mr</w:t>
      </w:r>
      <w:proofErr w:type="spellEnd"/>
      <w:r>
        <w:rPr>
          <w:rFonts w:ascii="Times New Roman" w:hAnsi="Times New Roman" w:hint="default"/>
        </w:rPr>
        <w:t xml:space="preserve"> Tang submits that it is not just for his clients, who are having to face nine identical actions, to be put in a position of having to deal with these two plaintiff's who have as yet not served their writs and who are therefore not amenable to inter </w:t>
      </w:r>
      <w:proofErr w:type="spellStart"/>
      <w:r>
        <w:rPr>
          <w:rFonts w:ascii="Times New Roman" w:hAnsi="Times New Roman" w:hint="default"/>
        </w:rPr>
        <w:t>parte</w:t>
      </w:r>
      <w:proofErr w:type="spellEnd"/>
      <w:r>
        <w:rPr>
          <w:rFonts w:ascii="Times New Roman" w:hAnsi="Times New Roman" w:hint="default"/>
        </w:rPr>
        <w:t xml:space="preserve"> procedures, save for an application such as this one. He accepts that it may be going too far to expect the court to dismiss the action in terms of the summons, but he would seek an order that the writ be served forthwith.</w:t>
      </w:r>
    </w:p>
    <w:p w:rsidR="0086635C" w:rsidRDefault="0086635C">
      <w:pPr>
        <w:spacing w:before="100" w:beforeAutospacing="1" w:after="100" w:afterAutospacing="1"/>
        <w:rPr>
          <w:rFonts w:ascii="Times New Roman" w:hAnsi="Times New Roman" w:hint="default"/>
        </w:rPr>
      </w:pPr>
      <w:r>
        <w:rPr>
          <w:rFonts w:ascii="Times New Roman" w:hAnsi="Times New Roman" w:hint="default"/>
        </w:rPr>
        <w:t xml:space="preserve">8. On behalf of the plaintiffs </w:t>
      </w:r>
      <w:r>
        <w:rPr>
          <w:rFonts w:ascii="Times New Roman" w:hAnsi="Times New Roman" w:hint="default"/>
        </w:rPr>
        <w:t xml:space="preserve">Ms </w:t>
      </w:r>
      <w:proofErr w:type="spellStart"/>
      <w:r>
        <w:rPr>
          <w:rFonts w:ascii="Times New Roman" w:hAnsi="Times New Roman" w:hint="default"/>
        </w:rPr>
        <w:t>Cheuk</w:t>
      </w:r>
      <w:proofErr w:type="spellEnd"/>
      <w:r>
        <w:rPr>
          <w:rFonts w:ascii="Times New Roman" w:hAnsi="Times New Roman" w:hint="default"/>
        </w:rPr>
        <w:t xml:space="preserve"> submits that this is no ordinary personal injury action. A writ has been issued within two years to protect the plaintiffs in case the Warsaw Convention's two year limitation period applies. The whole conduct of the plaintiffs' case will be dependent on the publication of the Civil Aviation Department's report into the accident. That report has been prepared in draft. It remains to be </w:t>
      </w:r>
      <w:proofErr w:type="spellStart"/>
      <w:r>
        <w:rPr>
          <w:rFonts w:ascii="Times New Roman" w:hAnsi="Times New Roman" w:hint="default"/>
        </w:rPr>
        <w:t>finalised</w:t>
      </w:r>
      <w:proofErr w:type="spellEnd"/>
      <w:r>
        <w:rPr>
          <w:rFonts w:ascii="Times New Roman" w:hAnsi="Times New Roman" w:hint="default"/>
        </w:rPr>
        <w:t>. It is not certain when that will be and then in</w:t>
      </w:r>
      <w:r>
        <w:rPr>
          <w:rFonts w:ascii="Times New Roman" w:hAnsi="Times New Roman" w:hint="default"/>
          <w:i/>
          <w:iCs/>
        </w:rPr>
        <w:t xml:space="preserve"> </w:t>
      </w:r>
      <w:r>
        <w:rPr>
          <w:rFonts w:ascii="Times New Roman" w:hAnsi="Times New Roman" w:hint="default"/>
        </w:rPr>
        <w:t>the Chief Executive will be approached to have the final</w:t>
      </w:r>
      <w:r>
        <w:rPr>
          <w:rFonts w:ascii="Times New Roman" w:hAnsi="Times New Roman" w:hint="default"/>
        </w:rPr>
        <w:t xml:space="preserve"> report released.</w:t>
      </w:r>
    </w:p>
    <w:p w:rsidR="0086635C" w:rsidRDefault="0086635C">
      <w:pPr>
        <w:spacing w:before="100" w:beforeAutospacing="1" w:after="100" w:afterAutospacing="1"/>
        <w:rPr>
          <w:rFonts w:ascii="Times New Roman" w:hAnsi="Times New Roman" w:hint="default"/>
        </w:rPr>
      </w:pPr>
      <w:r>
        <w:rPr>
          <w:rFonts w:ascii="Times New Roman" w:hAnsi="Times New Roman" w:hint="default"/>
        </w:rPr>
        <w:t>9. Based on the report of the investigation, which is of a most thorough kind, the plaintiffs will know whether other parties may need to be added as defendants and what further causes of actions and allegations may need to be made. This means that the writ may need to be amended in a number of respects. If the report is not available by July this year, then an application may need to be made to extend the validity of the writ. The plaintiffs say the rules permit them not to serve the writ</w:t>
      </w:r>
      <w:r>
        <w:rPr>
          <w:rFonts w:ascii="Times New Roman" w:hAnsi="Times New Roman" w:hint="default"/>
        </w:rPr>
        <w:t xml:space="preserve"> and indeed to apply to extend its validity without service. And so in these unusual circumstances concerning the crash of a commercial aircraft, they should be allowed to withhold service until the report is available and until they have put their case in proper order before service. It would be undesirable, less impressive and more expensive to have to apply for leave to make amendments after service.</w:t>
      </w:r>
    </w:p>
    <w:p w:rsidR="0086635C" w:rsidRDefault="0086635C">
      <w:pPr>
        <w:spacing w:before="100" w:beforeAutospacing="1" w:after="100" w:afterAutospacing="1"/>
        <w:rPr>
          <w:rFonts w:ascii="Times New Roman" w:hAnsi="Times New Roman" w:hint="default"/>
        </w:rPr>
      </w:pPr>
      <w:r>
        <w:rPr>
          <w:rFonts w:ascii="Times New Roman" w:hAnsi="Times New Roman" w:hint="default"/>
        </w:rPr>
        <w:t xml:space="preserve">10. </w:t>
      </w:r>
      <w:proofErr w:type="spellStart"/>
      <w:r>
        <w:rPr>
          <w:rFonts w:ascii="Times New Roman" w:hAnsi="Times New Roman" w:hint="default"/>
        </w:rPr>
        <w:t>Mr</w:t>
      </w:r>
      <w:proofErr w:type="spellEnd"/>
      <w:r>
        <w:rPr>
          <w:rFonts w:ascii="Times New Roman" w:hAnsi="Times New Roman" w:hint="default"/>
        </w:rPr>
        <w:t xml:space="preserve"> Tang's reply to that is that these considerations may well be valid in relation to not serving the statement of claim and to adjourning the checklist review hearing until after the report is available, which has happened in some of the other actions but it can be no answer to a requirement that a generally endorsed writ should now be served.</w:t>
      </w:r>
    </w:p>
    <w:p w:rsidR="0086635C" w:rsidRDefault="0086635C">
      <w:pPr>
        <w:spacing w:before="100" w:beforeAutospacing="1" w:after="100" w:afterAutospacing="1"/>
        <w:rPr>
          <w:rFonts w:ascii="Times New Roman" w:hAnsi="Times New Roman" w:hint="default"/>
        </w:rPr>
      </w:pPr>
      <w:r>
        <w:rPr>
          <w:rFonts w:ascii="Times New Roman" w:hAnsi="Times New Roman" w:hint="default"/>
        </w:rPr>
        <w:t>11. In my view, the plaintiffs' reasons for not serving the writ are perfectly valid. Where the rules allow for this course to be taken I can find no compelling reas</w:t>
      </w:r>
      <w:r>
        <w:rPr>
          <w:rFonts w:ascii="Times New Roman" w:hAnsi="Times New Roman" w:hint="default"/>
        </w:rPr>
        <w:t>ons to oblige service. Whilst I can understand that other parties in a similar situation have felt able to serve the writ, and in some cases to serve a statement of claim and a statement of damages, that of itself would not be a reason to obliged these plaintiff's to follow suit. The ethos of the Practice Direction is for a party to get on with these things after the pre-action protocol has been complied with and a writ should be served quickly following its issue. But every case is different. I can quite u</w:t>
      </w:r>
      <w:r>
        <w:rPr>
          <w:rFonts w:ascii="Times New Roman" w:hAnsi="Times New Roman" w:hint="default"/>
        </w:rPr>
        <w:t>nderstand why in litigation of this sort - and this is not, after all, a daily occur3nce - the plaintiffs want to ensure that they sue all the parties that should be joined at the outset and what the appropriate cause or causes of action are pleaded in the general endorsement. This is a perfectly proper way of proceeding and, accordingly, the summons must be dismissed, I would have thought with costs but I will hear the parties on that in a moment.</w:t>
      </w:r>
    </w:p>
    <w:p w:rsidR="0086635C" w:rsidRDefault="0086635C">
      <w:pPr>
        <w:spacing w:before="100" w:beforeAutospacing="1" w:after="100" w:afterAutospacing="1"/>
        <w:rPr>
          <w:rFonts w:ascii="Times New Roman" w:hAnsi="Times New Roman" w:hint="default"/>
        </w:rPr>
      </w:pPr>
      <w:r>
        <w:rPr>
          <w:rFonts w:ascii="Times New Roman" w:hAnsi="Times New Roman" w:hint="default"/>
        </w:rPr>
        <w:t>12. The next potential hurdle for the plaintiffs will be in</w:t>
      </w:r>
      <w:r>
        <w:rPr>
          <w:rFonts w:ascii="Times New Roman" w:hAnsi="Times New Roman" w:hint="default"/>
        </w:rPr>
        <w:t xml:space="preserve"> July when they may be required to apply to extend the validity of the writ. This must be justified in accordance with the considerations set out in Order 6, Rule 8 which apply to such applications. Today's ruling is not to be taken as an indication of the prospect of success or otherwise of such an application if it needs to be made.</w:t>
      </w:r>
    </w:p>
    <w:p w:rsidR="0086635C" w:rsidRDefault="0086635C">
      <w:pPr>
        <w:spacing w:before="100" w:beforeAutospacing="1" w:after="100" w:afterAutospacing="1"/>
        <w:rPr>
          <w:rFonts w:ascii="Times New Roman" w:hAnsi="Times New Roman" w:hint="default"/>
        </w:rPr>
      </w:pPr>
      <w:r>
        <w:rPr>
          <w:rFonts w:ascii="Times New Roman" w:hAnsi="Times New Roman" w:hint="default"/>
        </w:rPr>
        <w:t>(Discussion re costs)</w:t>
      </w:r>
    </w:p>
    <w:p w:rsidR="0086635C" w:rsidRDefault="0086635C">
      <w:pPr>
        <w:spacing w:before="100" w:beforeAutospacing="1" w:after="100" w:afterAutospacing="1"/>
        <w:rPr>
          <w:rFonts w:ascii="Times New Roman" w:hAnsi="Times New Roman" w:hint="default"/>
        </w:rPr>
      </w:pPr>
      <w:r>
        <w:rPr>
          <w:rFonts w:ascii="Times New Roman" w:hAnsi="Times New Roman" w:hint="default"/>
        </w:rPr>
        <w:t>13. The costs will follow the event.</w:t>
      </w:r>
    </w:p>
    <w:p w:rsidR="0086635C" w:rsidRDefault="0086635C">
      <w:pPr>
        <w:spacing w:before="100" w:beforeAutospacing="1" w:after="100" w:afterAutospacing="1"/>
        <w:rPr>
          <w:rFonts w:ascii="Times New Roman" w:hAnsi="Times New Roman" w:hint="default"/>
        </w:rPr>
      </w:pPr>
      <w:r>
        <w:rPr>
          <w:rFonts w:ascii="Times New Roman" w:hAnsi="Times New Roman" w:hint="default"/>
        </w:rPr>
        <w:t>14. There will be Legal Aid taxation of the plaintiffs' costs.</w:t>
      </w:r>
    </w:p>
    <w:p w:rsidR="0086635C" w:rsidRDefault="0086635C">
      <w:pPr>
        <w:spacing w:before="100" w:beforeAutospacing="1" w:after="100" w:afterAutospacing="1"/>
        <w:rPr>
          <w:rFonts w:ascii="Times New Roman" w:hAnsi="Times New Roman" w:hint="default"/>
        </w:rPr>
      </w:pPr>
      <w:r>
        <w:rPr>
          <w:rFonts w:ascii="Times New Roman" w:hAnsi="Times New Roman" w:hint="default"/>
        </w:rPr>
        <w:t> </w:t>
      </w:r>
    </w:p>
    <w:p w:rsidR="0086635C" w:rsidRDefault="0086635C">
      <w:pPr>
        <w:spacing w:before="100" w:beforeAutospacing="1" w:after="100" w:afterAutospacing="1"/>
        <w:rPr>
          <w:rFonts w:ascii="Times New Roman" w:hAnsi="Times New Roman" w:hint="default"/>
        </w:rPr>
      </w:pPr>
      <w:r>
        <w:rPr>
          <w:rFonts w:ascii="Times New Roman" w:hAnsi="Times New Roman" w:hint="default"/>
        </w:rPr>
        <w:t> </w:t>
      </w: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4368"/>
        <w:gridCol w:w="4368"/>
      </w:tblGrid>
      <w:tr w:rsidR="00000000">
        <w:trPr>
          <w:tblCellSpacing w:w="15" w:type="dxa"/>
        </w:trPr>
        <w:tc>
          <w:tcPr>
            <w:tcW w:w="2500" w:type="pct"/>
          </w:tcPr>
          <w:p w:rsidR="0086635C" w:rsidRDefault="0086635C">
            <w:pPr>
              <w:spacing w:before="100" w:beforeAutospacing="1" w:after="100" w:afterAutospacing="1"/>
              <w:rPr>
                <w:rFonts w:ascii="Times New Roman" w:hAnsi="Times New Roman" w:hint="default"/>
              </w:rPr>
            </w:pPr>
            <w:r>
              <w:rPr>
                <w:rFonts w:ascii="Times New Roman" w:hAnsi="Times New Roman"/>
              </w:rPr>
              <w:t> </w:t>
            </w:r>
          </w:p>
        </w:tc>
        <w:tc>
          <w:tcPr>
            <w:tcW w:w="2500" w:type="pct"/>
          </w:tcPr>
          <w:p w:rsidR="0086635C" w:rsidRDefault="0086635C">
            <w:pPr>
              <w:spacing w:before="100" w:beforeAutospacing="1" w:after="100" w:afterAutospacing="1"/>
              <w:jc w:val="center"/>
              <w:rPr>
                <w:rFonts w:ascii="Times New Roman" w:hAnsi="Times New Roman" w:hint="default"/>
              </w:rPr>
            </w:pPr>
            <w:r>
              <w:rPr>
                <w:rFonts w:ascii="Times New Roman" w:hAnsi="Times New Roman"/>
              </w:rPr>
              <w:t>Signed</w:t>
            </w:r>
          </w:p>
        </w:tc>
      </w:tr>
      <w:tr w:rsidR="00000000">
        <w:trPr>
          <w:tblCellSpacing w:w="15" w:type="dxa"/>
        </w:trPr>
        <w:tc>
          <w:tcPr>
            <w:tcW w:w="2500" w:type="pct"/>
          </w:tcPr>
          <w:p w:rsidR="0086635C" w:rsidRDefault="0086635C">
            <w:pPr>
              <w:spacing w:before="100" w:beforeAutospacing="1" w:after="100" w:afterAutospacing="1"/>
              <w:rPr>
                <w:rFonts w:ascii="Times New Roman" w:hAnsi="Times New Roman" w:hint="default"/>
              </w:rPr>
            </w:pPr>
            <w:r>
              <w:rPr>
                <w:rFonts w:ascii="Times New Roman" w:hAnsi="Times New Roman"/>
              </w:rPr>
              <w:t> </w:t>
            </w:r>
          </w:p>
        </w:tc>
        <w:tc>
          <w:tcPr>
            <w:tcW w:w="2500" w:type="pct"/>
          </w:tcPr>
          <w:p w:rsidR="0086635C" w:rsidRDefault="0086635C">
            <w:pPr>
              <w:spacing w:before="100" w:beforeAutospacing="1" w:after="100" w:afterAutospacing="1"/>
              <w:jc w:val="center"/>
              <w:rPr>
                <w:rFonts w:ascii="Times New Roman" w:hAnsi="Times New Roman" w:hint="default"/>
              </w:rPr>
            </w:pPr>
            <w:r>
              <w:rPr>
                <w:rFonts w:ascii="Times New Roman" w:hAnsi="Times New Roman"/>
              </w:rPr>
              <w:t>Ian Carlson</w:t>
            </w:r>
          </w:p>
        </w:tc>
      </w:tr>
      <w:tr w:rsidR="00000000">
        <w:trPr>
          <w:trHeight w:val="432"/>
          <w:tblCellSpacing w:w="15" w:type="dxa"/>
        </w:trPr>
        <w:tc>
          <w:tcPr>
            <w:tcW w:w="2500" w:type="pct"/>
          </w:tcPr>
          <w:p w:rsidR="0086635C" w:rsidRDefault="0086635C">
            <w:pPr>
              <w:spacing w:before="100" w:beforeAutospacing="1" w:after="100" w:afterAutospacing="1"/>
              <w:rPr>
                <w:rFonts w:ascii="Times New Roman" w:hAnsi="Times New Roman" w:hint="default"/>
              </w:rPr>
            </w:pPr>
            <w:r>
              <w:rPr>
                <w:rFonts w:ascii="Times New Roman" w:hAnsi="Times New Roman"/>
              </w:rPr>
              <w:t> </w:t>
            </w:r>
          </w:p>
        </w:tc>
        <w:tc>
          <w:tcPr>
            <w:tcW w:w="2500" w:type="pct"/>
          </w:tcPr>
          <w:p w:rsidR="0086635C" w:rsidRDefault="0086635C">
            <w:pPr>
              <w:spacing w:before="100" w:beforeAutospacing="1" w:after="100" w:afterAutospacing="1"/>
              <w:jc w:val="center"/>
              <w:rPr>
                <w:rFonts w:ascii="Times New Roman" w:hAnsi="Times New Roman" w:hint="default"/>
              </w:rPr>
            </w:pPr>
            <w:r>
              <w:rPr>
                <w:rFonts w:ascii="Times New Roman" w:hAnsi="Times New Roman"/>
              </w:rPr>
              <w:t>District Court Judge</w:t>
            </w:r>
          </w:p>
        </w:tc>
      </w:tr>
    </w:tbl>
    <w:p w:rsidR="0086635C" w:rsidRDefault="0086635C">
      <w:pPr>
        <w:spacing w:before="100" w:beforeAutospacing="1" w:after="100" w:afterAutospacing="1"/>
        <w:rPr>
          <w:rFonts w:ascii="Times New Roman" w:hAnsi="Times New Roman" w:hint="default"/>
        </w:rPr>
      </w:pPr>
      <w:r>
        <w:rPr>
          <w:rFonts w:ascii="Times New Roman" w:hAnsi="Times New Roman" w:hint="default"/>
        </w:rPr>
        <w:t> </w:t>
      </w:r>
    </w:p>
    <w:p w:rsidR="0086635C" w:rsidRDefault="0086635C">
      <w:pPr>
        <w:spacing w:before="100" w:beforeAutospacing="1" w:after="100" w:afterAutospacing="1"/>
        <w:rPr>
          <w:rFonts w:ascii="Times New Roman" w:hAnsi="Times New Roman" w:hint="default"/>
        </w:rPr>
      </w:pPr>
      <w:r>
        <w:rPr>
          <w:rFonts w:ascii="Times New Roman" w:hAnsi="Times New Roman" w:hint="default"/>
        </w:rPr>
        <w:t>Representation:</w:t>
      </w:r>
    </w:p>
    <w:p w:rsidR="0086635C" w:rsidRDefault="0086635C">
      <w:pPr>
        <w:spacing w:before="100" w:beforeAutospacing="1" w:after="100" w:afterAutospacing="1"/>
        <w:rPr>
          <w:rFonts w:ascii="Times New Roman" w:hAnsi="Times New Roman" w:hint="default"/>
        </w:rPr>
      </w:pPr>
      <w:r>
        <w:rPr>
          <w:rFonts w:ascii="Times New Roman" w:hAnsi="Times New Roman" w:hint="default"/>
        </w:rPr>
        <w:t xml:space="preserve">Ms </w:t>
      </w:r>
      <w:proofErr w:type="spellStart"/>
      <w:r>
        <w:rPr>
          <w:rFonts w:ascii="Times New Roman" w:hAnsi="Times New Roman" w:hint="default"/>
        </w:rPr>
        <w:t>Cheuk</w:t>
      </w:r>
      <w:proofErr w:type="spellEnd"/>
      <w:r>
        <w:rPr>
          <w:rFonts w:ascii="Times New Roman" w:hAnsi="Times New Roman" w:hint="default"/>
        </w:rPr>
        <w:t xml:space="preserve"> of Messrs </w:t>
      </w:r>
      <w:proofErr w:type="spellStart"/>
      <w:r>
        <w:rPr>
          <w:rFonts w:ascii="Times New Roman" w:hAnsi="Times New Roman" w:hint="default"/>
        </w:rPr>
        <w:t>Szwina</w:t>
      </w:r>
      <w:proofErr w:type="spellEnd"/>
      <w:r>
        <w:rPr>
          <w:rFonts w:ascii="Times New Roman" w:hAnsi="Times New Roman" w:hint="default"/>
        </w:rPr>
        <w:t xml:space="preserve"> S K Pang &amp; Co., assigned by the Legal Aid Department, for the Plaintiff </w:t>
      </w:r>
    </w:p>
    <w:p w:rsidR="0086635C" w:rsidRDefault="0086635C">
      <w:pPr>
        <w:spacing w:before="100" w:beforeAutospacing="1" w:after="100" w:afterAutospacing="1"/>
        <w:rPr>
          <w:rFonts w:ascii="Times New Roman" w:hAnsi="Times New Roman" w:hint="default"/>
        </w:rPr>
      </w:pPr>
      <w:proofErr w:type="spellStart"/>
      <w:r>
        <w:rPr>
          <w:rFonts w:ascii="Times New Roman" w:hAnsi="Times New Roman" w:hint="default"/>
        </w:rPr>
        <w:t>Mr</w:t>
      </w:r>
      <w:proofErr w:type="spellEnd"/>
      <w:r>
        <w:rPr>
          <w:rFonts w:ascii="Times New Roman" w:hAnsi="Times New Roman" w:hint="default"/>
        </w:rPr>
        <w:t xml:space="preserve"> Ronald Tang, of Stevenson, Wong &amp; Co., for the Defendant</w:t>
      </w:r>
    </w:p>
    <w:p w:rsidR="0086635C" w:rsidRDefault="0086635C">
      <w:pPr>
        <w:spacing w:before="100" w:beforeAutospacing="1" w:after="100" w:afterAutospacing="1"/>
        <w:rPr>
          <w:rFonts w:ascii="Times New Roman" w:hAnsi="Times New Roman" w:hint="default"/>
        </w:rPr>
      </w:pPr>
      <w:r>
        <w:rPr>
          <w:rFonts w:ascii="Times New Roman" w:hAnsi="Times New Roman" w:hint="default"/>
        </w:rPr>
        <w:t> </w:t>
      </w: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4368"/>
        <w:gridCol w:w="4368"/>
      </w:tblGrid>
      <w:tr w:rsidR="00000000">
        <w:trPr>
          <w:tblCellSpacing w:w="15" w:type="dxa"/>
        </w:trPr>
        <w:tc>
          <w:tcPr>
            <w:tcW w:w="2500" w:type="pct"/>
          </w:tcPr>
          <w:p w:rsidR="0086635C" w:rsidRDefault="0086635C">
            <w:pPr>
              <w:spacing w:before="100" w:beforeAutospacing="1" w:after="100" w:afterAutospacing="1"/>
              <w:rPr>
                <w:rFonts w:ascii="Times New Roman" w:hAnsi="Times New Roman" w:hint="default"/>
              </w:rPr>
            </w:pPr>
            <w:r>
              <w:rPr>
                <w:rFonts w:ascii="Times New Roman" w:hAnsi="Times New Roman"/>
              </w:rPr>
              <w:t> </w:t>
            </w:r>
          </w:p>
        </w:tc>
        <w:tc>
          <w:tcPr>
            <w:tcW w:w="2500" w:type="pct"/>
          </w:tcPr>
          <w:p w:rsidR="0086635C" w:rsidRDefault="0086635C">
            <w:pPr>
              <w:spacing w:before="100" w:beforeAutospacing="1" w:after="100" w:afterAutospacing="1"/>
              <w:rPr>
                <w:rFonts w:ascii="Times New Roman" w:hAnsi="Times New Roman" w:hint="default"/>
              </w:rPr>
            </w:pPr>
            <w:r>
              <w:rPr>
                <w:rFonts w:ascii="Times New Roman" w:hAnsi="Times New Roman"/>
              </w:rPr>
              <w:t>I/we certify that to the best of my/our ability and skill, the forgoing is a true transcript of the audio recording of the above proceedings.</w:t>
            </w:r>
          </w:p>
        </w:tc>
      </w:tr>
      <w:tr w:rsidR="00000000">
        <w:trPr>
          <w:tblCellSpacing w:w="15" w:type="dxa"/>
        </w:trPr>
        <w:tc>
          <w:tcPr>
            <w:tcW w:w="2500" w:type="pct"/>
          </w:tcPr>
          <w:p w:rsidR="0086635C" w:rsidRDefault="0086635C">
            <w:pPr>
              <w:spacing w:before="100" w:beforeAutospacing="1" w:after="100" w:afterAutospacing="1"/>
              <w:rPr>
                <w:rFonts w:ascii="Times New Roman" w:hAnsi="Times New Roman" w:hint="default"/>
              </w:rPr>
            </w:pPr>
            <w:r>
              <w:rPr>
                <w:rFonts w:ascii="Times New Roman" w:hAnsi="Times New Roman"/>
              </w:rPr>
              <w:t> </w:t>
            </w:r>
          </w:p>
        </w:tc>
        <w:tc>
          <w:tcPr>
            <w:tcW w:w="2500" w:type="pct"/>
          </w:tcPr>
          <w:p w:rsidR="0086635C" w:rsidRDefault="0086635C">
            <w:pPr>
              <w:spacing w:before="100" w:beforeAutospacing="1" w:after="100" w:afterAutospacing="1"/>
              <w:rPr>
                <w:rFonts w:ascii="Times New Roman" w:hAnsi="Times New Roman" w:hint="default"/>
              </w:rPr>
            </w:pPr>
            <w:r>
              <w:rPr>
                <w:rFonts w:ascii="Times New Roman" w:hAnsi="Times New Roman"/>
              </w:rPr>
              <w:t>..........................</w:t>
            </w:r>
          </w:p>
        </w:tc>
      </w:tr>
      <w:tr w:rsidR="00000000">
        <w:trPr>
          <w:tblCellSpacing w:w="15" w:type="dxa"/>
        </w:trPr>
        <w:tc>
          <w:tcPr>
            <w:tcW w:w="2500" w:type="pct"/>
          </w:tcPr>
          <w:p w:rsidR="0086635C" w:rsidRDefault="0086635C">
            <w:pPr>
              <w:spacing w:before="100" w:beforeAutospacing="1" w:after="100" w:afterAutospacing="1"/>
              <w:rPr>
                <w:rFonts w:ascii="Times New Roman" w:hAnsi="Times New Roman" w:hint="default"/>
              </w:rPr>
            </w:pPr>
            <w:r>
              <w:rPr>
                <w:rFonts w:ascii="Times New Roman" w:hAnsi="Times New Roman"/>
              </w:rPr>
              <w:t> </w:t>
            </w:r>
          </w:p>
        </w:tc>
        <w:tc>
          <w:tcPr>
            <w:tcW w:w="2500" w:type="pct"/>
          </w:tcPr>
          <w:p w:rsidR="0086635C" w:rsidRDefault="0086635C">
            <w:pPr>
              <w:spacing w:before="100" w:beforeAutospacing="1" w:after="100" w:afterAutospacing="1"/>
              <w:rPr>
                <w:rFonts w:ascii="Times New Roman" w:hAnsi="Times New Roman" w:hint="default"/>
              </w:rPr>
            </w:pPr>
            <w:r>
              <w:rPr>
                <w:rFonts w:ascii="Times New Roman" w:hAnsi="Times New Roman"/>
              </w:rPr>
              <w:t>Alison L McCormick</w:t>
            </w:r>
          </w:p>
        </w:tc>
      </w:tr>
      <w:tr w:rsidR="00000000">
        <w:trPr>
          <w:tblCellSpacing w:w="15" w:type="dxa"/>
        </w:trPr>
        <w:tc>
          <w:tcPr>
            <w:tcW w:w="2500" w:type="pct"/>
          </w:tcPr>
          <w:p w:rsidR="0086635C" w:rsidRDefault="0086635C">
            <w:pPr>
              <w:spacing w:before="100" w:beforeAutospacing="1" w:after="100" w:afterAutospacing="1"/>
              <w:rPr>
                <w:rFonts w:ascii="Times New Roman" w:hAnsi="Times New Roman" w:hint="default"/>
              </w:rPr>
            </w:pPr>
            <w:r>
              <w:rPr>
                <w:rFonts w:ascii="Times New Roman" w:hAnsi="Times New Roman"/>
              </w:rPr>
              <w:t> </w:t>
            </w:r>
          </w:p>
        </w:tc>
        <w:tc>
          <w:tcPr>
            <w:tcW w:w="2500" w:type="pct"/>
          </w:tcPr>
          <w:p w:rsidR="0086635C" w:rsidRDefault="0086635C">
            <w:pPr>
              <w:spacing w:before="100" w:beforeAutospacing="1" w:after="100" w:afterAutospacing="1"/>
              <w:rPr>
                <w:rFonts w:ascii="Times New Roman" w:hAnsi="Times New Roman" w:hint="default"/>
              </w:rPr>
            </w:pPr>
            <w:r>
              <w:rPr>
                <w:rFonts w:ascii="Times New Roman" w:hAnsi="Times New Roman"/>
              </w:rPr>
              <w:t>Date: 1 March 2002</w:t>
            </w:r>
          </w:p>
        </w:tc>
      </w:tr>
    </w:tbl>
    <w:p w:rsidR="0086635C" w:rsidRDefault="0086635C">
      <w:pPr>
        <w:spacing w:before="100" w:beforeAutospacing="1" w:after="100" w:afterAutospacing="1"/>
        <w:rPr>
          <w:rFonts w:ascii="Times New Roman" w:hAnsi="Times New Roman" w:hint="default"/>
        </w:rPr>
      </w:pPr>
    </w:p>
    <w:p w:rsidR="0086635C" w:rsidRDefault="0086635C">
      <w:pPr>
        <w:spacing w:before="100" w:beforeAutospacing="1" w:after="100" w:afterAutospacing="1"/>
        <w:rPr>
          <w:rFonts w:ascii="Times New Roman" w:hAnsi="Times New Roman" w:hint="default"/>
        </w:rPr>
      </w:pPr>
      <w:r>
        <w:rPr>
          <w:rFonts w:ascii="Times New Roman" w:hAnsi="Times New Roman" w:hint="default"/>
        </w:rPr>
        <w:t>Representation:</w:t>
      </w:r>
    </w:p>
    <w:p w:rsidR="0086635C" w:rsidRDefault="0086635C">
      <w:pPr>
        <w:spacing w:before="100" w:beforeAutospacing="1" w:after="100" w:afterAutospacing="1"/>
        <w:rPr>
          <w:rFonts w:ascii="Times New Roman" w:hAnsi="Times New Roman" w:hint="default"/>
        </w:rPr>
      </w:pPr>
      <w:r>
        <w:rPr>
          <w:rFonts w:ascii="Times New Roman" w:hAnsi="Times New Roman" w:hint="default"/>
        </w:rPr>
        <w:t xml:space="preserve">Ms </w:t>
      </w:r>
      <w:proofErr w:type="spellStart"/>
      <w:r>
        <w:rPr>
          <w:rFonts w:ascii="Times New Roman" w:hAnsi="Times New Roman" w:hint="default"/>
        </w:rPr>
        <w:t>Cheuk</w:t>
      </w:r>
      <w:proofErr w:type="spellEnd"/>
      <w:r>
        <w:rPr>
          <w:rFonts w:ascii="Times New Roman" w:hAnsi="Times New Roman" w:hint="default"/>
        </w:rPr>
        <w:t xml:space="preserve"> of Messrs </w:t>
      </w:r>
      <w:proofErr w:type="spellStart"/>
      <w:r>
        <w:rPr>
          <w:rFonts w:ascii="Times New Roman" w:hAnsi="Times New Roman" w:hint="default"/>
        </w:rPr>
        <w:t>Szwina</w:t>
      </w:r>
      <w:proofErr w:type="spellEnd"/>
      <w:r>
        <w:rPr>
          <w:rFonts w:ascii="Times New Roman" w:hAnsi="Times New Roman" w:hint="default"/>
        </w:rPr>
        <w:t xml:space="preserve"> S K Pang &amp; Co., assigned by the Legal Aid Department, for the Plaintiff </w:t>
      </w:r>
    </w:p>
    <w:p w:rsidR="0086635C" w:rsidRDefault="0086635C">
      <w:pPr>
        <w:spacing w:before="100" w:beforeAutospacing="1" w:after="100" w:afterAutospacing="1"/>
        <w:rPr>
          <w:rFonts w:ascii="Times New Roman" w:hAnsi="Times New Roman" w:hint="default"/>
        </w:rPr>
      </w:pPr>
      <w:proofErr w:type="spellStart"/>
      <w:r>
        <w:rPr>
          <w:rFonts w:ascii="Times New Roman" w:hAnsi="Times New Roman" w:hint="default"/>
        </w:rPr>
        <w:t>Mr</w:t>
      </w:r>
      <w:proofErr w:type="spellEnd"/>
      <w:r>
        <w:rPr>
          <w:rFonts w:ascii="Times New Roman" w:hAnsi="Times New Roman" w:hint="default"/>
        </w:rPr>
        <w:t xml:space="preserve"> Ronald Tang, of Stevenson, Wong &amp; Co., for the Defendant</w:t>
      </w:r>
    </w:p>
    <w:sectPr w:rsidR="00000000">
      <w:headerReference w:type="even" r:id="rId6"/>
      <w:headerReference w:type="default" r:id="rId7"/>
      <w:pgSz w:w="12240" w:h="15840"/>
      <w:pgMar w:top="1440" w:right="1797" w:bottom="1440" w:left="179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6635C" w:rsidRDefault="0086635C">
      <w:pPr>
        <w:rPr>
          <w:rFonts w:hint="default"/>
        </w:rPr>
      </w:pPr>
      <w:r>
        <w:separator/>
      </w:r>
    </w:p>
  </w:endnote>
  <w:endnote w:type="continuationSeparator" w:id="0">
    <w:p w:rsidR="0086635C" w:rsidRDefault="0086635C">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6635C" w:rsidRDefault="0086635C">
      <w:pPr>
        <w:rPr>
          <w:rFonts w:hint="default"/>
        </w:rPr>
      </w:pPr>
      <w:r>
        <w:separator/>
      </w:r>
    </w:p>
  </w:footnote>
  <w:footnote w:type="continuationSeparator" w:id="0">
    <w:p w:rsidR="0086635C" w:rsidRDefault="0086635C">
      <w:pPr>
        <w:rPr>
          <w:rFonts w:hint="default"/>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6635C" w:rsidRDefault="0086635C">
    <w:pPr>
      <w:pStyle w:val="Header"/>
      <w:framePr w:wrap="around" w:vAnchor="text" w:hAnchor="margin" w:xAlign="center" w:y="1"/>
      <w:rPr>
        <w:rStyle w:val="PageNumber"/>
        <w:rFonts w:hint="default"/>
      </w:rPr>
    </w:pPr>
    <w:r>
      <w:rPr>
        <w:rStyle w:val="PageNumber"/>
        <w:rFonts w:hint="default"/>
      </w:rPr>
      <w:fldChar w:fldCharType="begin"/>
    </w:r>
    <w:r>
      <w:rPr>
        <w:rStyle w:val="PageNumber"/>
        <w:rFonts w:hint="default"/>
      </w:rPr>
      <w:instrText xml:space="preserve">PAGE  </w:instrText>
    </w:r>
    <w:r>
      <w:rPr>
        <w:rStyle w:val="PageNumber"/>
        <w:rFonts w:hint="default"/>
      </w:rPr>
      <w:fldChar w:fldCharType="end"/>
    </w:r>
  </w:p>
  <w:p w:rsidR="0086635C" w:rsidRDefault="0086635C">
    <w:pPr>
      <w:pStyle w:val="Header"/>
      <w:rPr>
        <w:rFonts w:hint="defaul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6635C" w:rsidRDefault="0086635C">
    <w:pPr>
      <w:pStyle w:val="Header"/>
      <w:jc w:val="center"/>
      <w:rPr>
        <w:rFonts w:hint="default"/>
      </w:rPr>
    </w:pPr>
    <w:r>
      <w:rPr>
        <w:rFonts w:hint="default"/>
      </w:rPr>
      <w:t>-</w:t>
    </w:r>
    <w:r>
      <w:rPr>
        <w:rFonts w:hint="default"/>
      </w:rPr>
      <w:fldChar w:fldCharType="begin"/>
    </w:r>
    <w:r>
      <w:rPr>
        <w:rFonts w:hint="default"/>
      </w:rPr>
      <w:instrText xml:space="preserve"> PAGE  \* MERGEFORMAT </w:instrText>
    </w:r>
    <w:r>
      <w:rPr>
        <w:rFonts w:hint="default"/>
      </w:rPr>
      <w:fldChar w:fldCharType="separate"/>
    </w:r>
    <w:r>
      <w:rPr>
        <w:rFonts w:hint="default"/>
        <w:noProof/>
      </w:rPr>
      <w:t>1</w:t>
    </w:r>
    <w:r>
      <w:rPr>
        <w:rFonts w:hint="default"/>
      </w:rPr>
      <w:fldChar w:fldCharType="end"/>
    </w:r>
    <w:r>
      <w:rPr>
        <w:rFonts w:hint="default"/>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635C"/>
    <w:rsid w:val="0086635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EF35147F-9FE7-F04D-802E-72C347712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imSun" w:hAnsi="SimSun" w:hint="eastAsia"/>
      <w:sz w:val="24"/>
      <w:szCs w:val="24"/>
      <w:lang w:val="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1398</Words>
  <Characters>7973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DCPI000220/2001 CHAN TSZ-KIT AN INFANT SUING BY HIS MOTHER AND NEXT FRIEND CHENG SIU-KAM, MONICA v. CHINA AIRLINES LIMITED</vt:lpstr>
    </vt:vector>
  </TitlesOfParts>
  <Company>Judiciary Hong Kong SAR</Company>
  <LinksUpToDate>false</LinksUpToDate>
  <CharactersWithSpaces>9353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DCPI000220/2001 CHAN TSZ-KIT AN INFANT SUING BY HIS MOTHER AND NEXT FRIEND CHENG SIU-KAM, MONICA v. CHINA AIRLINES LIMITED</dc:title>
  <dc:subject/>
  <dc:creator>Judiciary Hong Kong SAR</dc:creator>
  <cp:keywords/>
  <dc:description/>
  <cp:lastModifiedBy>Adrien Kwong</cp:lastModifiedBy>
  <cp:revision>2</cp:revision>
  <dcterms:created xsi:type="dcterms:W3CDTF">2023-10-14T01:11:00Z</dcterms:created>
  <dcterms:modified xsi:type="dcterms:W3CDTF">2023-10-14T01:11:00Z</dcterms:modified>
</cp:coreProperties>
</file>