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09B" w:rsidRDefault="0052009B">
      <w:pPr>
        <w:spacing w:line="480" w:lineRule="auto"/>
        <w:jc w:val="right"/>
        <w:rPr>
          <w:rFonts w:ascii="Times New Roman"/>
          <w:sz w:val="26"/>
        </w:rPr>
      </w:pPr>
      <w:r>
        <w:rPr>
          <w:rFonts w:ascii="Times New Roman"/>
          <w:sz w:val="26"/>
        </w:rPr>
        <w:t>DCPI 429/2004</w:t>
      </w:r>
    </w:p>
    <w:p w:rsidR="0052009B" w:rsidRDefault="0052009B">
      <w:pPr>
        <w:spacing w:line="480" w:lineRule="auto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IN THE DISTRICT COURT OF THE</w:t>
      </w:r>
    </w:p>
    <w:p w:rsidR="0052009B" w:rsidRDefault="0052009B">
      <w:pPr>
        <w:spacing w:line="480" w:lineRule="auto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HONG KONG SPECIAL ADMINISTRATIVE REGION</w:t>
      </w:r>
    </w:p>
    <w:p w:rsidR="0052009B" w:rsidRDefault="0052009B">
      <w:pPr>
        <w:spacing w:line="480" w:lineRule="auto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PERSONAL INJURIES ACTION NO. 429 OF 2004</w:t>
      </w:r>
    </w:p>
    <w:p w:rsidR="0052009B" w:rsidRDefault="0052009B">
      <w:pPr>
        <w:spacing w:line="480" w:lineRule="auto"/>
        <w:jc w:val="center"/>
        <w:rPr>
          <w:rFonts w:ascii="Times New Roman"/>
          <w:sz w:val="26"/>
        </w:rPr>
      </w:pPr>
      <w:r>
        <w:rPr>
          <w:rFonts w:ascii="Times New Roman" w:hint="eastAsia"/>
          <w:sz w:val="26"/>
          <w:lang w:eastAsia="zh-CN"/>
        </w:rPr>
        <w:t>-----------</w:t>
      </w:r>
      <w:r>
        <w:rPr>
          <w:rFonts w:ascii="Times New Roman"/>
          <w:sz w:val="26"/>
        </w:rPr>
        <w:t>----------</w:t>
      </w:r>
    </w:p>
    <w:p w:rsidR="0052009B" w:rsidRDefault="0052009B">
      <w:pPr>
        <w:spacing w:line="48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BETWEEN</w:t>
      </w:r>
    </w:p>
    <w:p w:rsidR="0052009B" w:rsidRDefault="0052009B">
      <w:pPr>
        <w:tabs>
          <w:tab w:val="left" w:pos="2660"/>
          <w:tab w:val="left" w:pos="7000"/>
        </w:tabs>
        <w:spacing w:line="480" w:lineRule="auto"/>
        <w:rPr>
          <w:rFonts w:ascii="Times New Roman"/>
          <w:sz w:val="26"/>
        </w:rPr>
      </w:pPr>
      <w:r>
        <w:rPr>
          <w:rFonts w:ascii="Times New Roman" w:hint="eastAsia"/>
          <w:sz w:val="26"/>
          <w:lang w:eastAsia="zh-CN"/>
        </w:rPr>
        <w:tab/>
      </w:r>
      <w:r>
        <w:rPr>
          <w:rFonts w:ascii="Times New Roman"/>
          <w:sz w:val="26"/>
          <w:lang w:eastAsia="zh-CN"/>
        </w:rPr>
        <w:t>WONG HEI CHUN</w:t>
      </w:r>
      <w:r>
        <w:rPr>
          <w:rFonts w:ascii="Times New Roman" w:hint="eastAsia"/>
          <w:sz w:val="26"/>
          <w:lang w:eastAsia="zh-CN"/>
        </w:rPr>
        <w:t>（王希真）</w:t>
      </w:r>
      <w:r>
        <w:rPr>
          <w:rFonts w:ascii="Times New Roman" w:hint="eastAsia"/>
          <w:sz w:val="26"/>
          <w:lang w:eastAsia="zh-CN"/>
        </w:rPr>
        <w:tab/>
      </w:r>
      <w:r>
        <w:rPr>
          <w:rFonts w:ascii="Times New Roman"/>
          <w:sz w:val="26"/>
        </w:rPr>
        <w:t>Plaintiff</w:t>
      </w:r>
    </w:p>
    <w:p w:rsidR="0052009B" w:rsidRDefault="0052009B">
      <w:pPr>
        <w:spacing w:line="480" w:lineRule="auto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and</w:t>
      </w:r>
    </w:p>
    <w:p w:rsidR="0052009B" w:rsidRDefault="0052009B">
      <w:pPr>
        <w:tabs>
          <w:tab w:val="left" w:pos="2660"/>
          <w:tab w:val="left" w:pos="7000"/>
        </w:tabs>
        <w:spacing w:line="480" w:lineRule="auto"/>
        <w:rPr>
          <w:rFonts w:ascii="Times New Roman"/>
          <w:sz w:val="26"/>
        </w:rPr>
      </w:pPr>
      <w:r>
        <w:rPr>
          <w:rFonts w:ascii="Times New Roman" w:hint="eastAsia"/>
          <w:sz w:val="26"/>
          <w:lang w:eastAsia="zh-CN"/>
        </w:rPr>
        <w:tab/>
        <w:t>CHONG MING SHIH</w:t>
      </w:r>
      <w:r>
        <w:rPr>
          <w:rFonts w:ascii="Times New Roman" w:hint="eastAsia"/>
          <w:sz w:val="26"/>
          <w:lang w:eastAsia="zh-CN"/>
        </w:rPr>
        <w:t>（莊銘）</w:t>
      </w:r>
      <w:r>
        <w:rPr>
          <w:rFonts w:ascii="Times New Roman" w:hint="eastAsia"/>
          <w:sz w:val="26"/>
          <w:lang w:eastAsia="zh-CN"/>
        </w:rPr>
        <w:tab/>
      </w:r>
      <w:r>
        <w:rPr>
          <w:rFonts w:ascii="Times New Roman"/>
          <w:sz w:val="26"/>
        </w:rPr>
        <w:t>Defendant</w:t>
      </w:r>
    </w:p>
    <w:p w:rsidR="0052009B" w:rsidRDefault="0052009B">
      <w:pPr>
        <w:spacing w:line="480" w:lineRule="auto"/>
        <w:jc w:val="center"/>
        <w:rPr>
          <w:rFonts w:ascii="Times New Roman" w:hint="eastAsia"/>
          <w:sz w:val="26"/>
          <w:lang w:eastAsia="zh-CN"/>
        </w:rPr>
      </w:pPr>
      <w:r>
        <w:rPr>
          <w:rFonts w:ascii="Times New Roman" w:hint="eastAsia"/>
          <w:sz w:val="26"/>
          <w:lang w:eastAsia="zh-CN"/>
        </w:rPr>
        <w:t>-----------</w:t>
      </w:r>
      <w:r>
        <w:rPr>
          <w:rFonts w:ascii="Times New Roman"/>
          <w:sz w:val="26"/>
        </w:rPr>
        <w:t>----------</w:t>
      </w:r>
    </w:p>
    <w:p w:rsidR="0052009B" w:rsidRDefault="0052009B">
      <w:pPr>
        <w:spacing w:line="480" w:lineRule="auto"/>
        <w:jc w:val="both"/>
        <w:rPr>
          <w:rFonts w:ascii="Times New Roman" w:hint="eastAsia"/>
          <w:sz w:val="26"/>
          <w:lang w:eastAsia="zh-CN"/>
        </w:rPr>
      </w:pPr>
    </w:p>
    <w:p w:rsidR="0052009B" w:rsidRDefault="0052009B">
      <w:pPr>
        <w:spacing w:line="480" w:lineRule="auto"/>
        <w:jc w:val="both"/>
        <w:rPr>
          <w:rFonts w:ascii="Times New Roman" w:hint="eastAsia"/>
          <w:sz w:val="26"/>
          <w:lang w:eastAsia="zh-CN"/>
        </w:rPr>
      </w:pPr>
      <w:r>
        <w:rPr>
          <w:rFonts w:ascii="Times New Roman"/>
          <w:sz w:val="26"/>
        </w:rPr>
        <w:t>Coram: H.H. J</w:t>
      </w:r>
      <w:r>
        <w:rPr>
          <w:rFonts w:ascii="Times New Roman"/>
          <w:sz w:val="26"/>
        </w:rPr>
        <w:t xml:space="preserve">udge Wong </w:t>
      </w:r>
      <w:r>
        <w:rPr>
          <w:rFonts w:ascii="Times New Roman" w:hint="eastAsia"/>
          <w:sz w:val="26"/>
          <w:lang w:eastAsia="zh-CN"/>
        </w:rPr>
        <w:t>in Court</w:t>
      </w:r>
    </w:p>
    <w:p w:rsidR="0052009B" w:rsidRDefault="0052009B">
      <w:pPr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</w:rPr>
        <w:t>Date of Hearing:</w:t>
      </w:r>
      <w:r>
        <w:rPr>
          <w:rFonts w:ascii="Times New Roman" w:hint="eastAsia"/>
          <w:sz w:val="26"/>
          <w:lang w:eastAsia="zh-CN"/>
        </w:rPr>
        <w:t xml:space="preserve"> 10</w:t>
      </w:r>
      <w:r>
        <w:rPr>
          <w:rFonts w:ascii="Times New Roman" w:hint="eastAsia"/>
          <w:sz w:val="26"/>
          <w:vertAlign w:val="superscript"/>
          <w:lang w:eastAsia="zh-CN"/>
        </w:rPr>
        <w:t>th</w:t>
      </w:r>
      <w:r>
        <w:rPr>
          <w:rFonts w:ascii="Times New Roman" w:hint="eastAsia"/>
          <w:sz w:val="26"/>
          <w:lang w:eastAsia="zh-CN"/>
        </w:rPr>
        <w:t xml:space="preserve"> </w:t>
      </w:r>
      <w:r>
        <w:rPr>
          <w:rFonts w:ascii="Times New Roman"/>
          <w:sz w:val="26"/>
          <w:lang w:eastAsia="zh-CN"/>
        </w:rPr>
        <w:t xml:space="preserve">September </w:t>
      </w:r>
      <w:r>
        <w:rPr>
          <w:rFonts w:ascii="Times New Roman" w:hint="eastAsia"/>
          <w:sz w:val="26"/>
          <w:lang w:eastAsia="zh-CN"/>
        </w:rPr>
        <w:t>200</w:t>
      </w:r>
      <w:r>
        <w:rPr>
          <w:rFonts w:ascii="Times New Roman"/>
          <w:sz w:val="26"/>
          <w:lang w:eastAsia="zh-CN"/>
        </w:rPr>
        <w:t>4</w:t>
      </w:r>
    </w:p>
    <w:p w:rsidR="0052009B" w:rsidRDefault="0052009B">
      <w:pPr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</w:rPr>
        <w:t>Date of</w:t>
      </w:r>
      <w:r>
        <w:rPr>
          <w:rFonts w:ascii="Times New Roman" w:hint="eastAsia"/>
          <w:sz w:val="26"/>
          <w:lang w:eastAsia="zh-CN"/>
        </w:rPr>
        <w:t xml:space="preserve"> </w:t>
      </w:r>
      <w:r>
        <w:rPr>
          <w:rFonts w:ascii="Times New Roman"/>
          <w:sz w:val="26"/>
          <w:lang w:eastAsia="zh-CN"/>
        </w:rPr>
        <w:t xml:space="preserve">Delivery </w:t>
      </w:r>
      <w:r>
        <w:rPr>
          <w:rFonts w:ascii="Times New Roman" w:hint="eastAsia"/>
          <w:sz w:val="26"/>
          <w:lang w:eastAsia="zh-CN"/>
        </w:rPr>
        <w:t>of</w:t>
      </w:r>
      <w:r>
        <w:rPr>
          <w:rFonts w:ascii="Times New Roman"/>
          <w:sz w:val="26"/>
        </w:rPr>
        <w:t xml:space="preserve"> Judgment:</w:t>
      </w:r>
      <w:r>
        <w:rPr>
          <w:rFonts w:ascii="Times New Roman" w:hint="eastAsia"/>
          <w:sz w:val="26"/>
          <w:lang w:eastAsia="zh-CN"/>
        </w:rPr>
        <w:t xml:space="preserve"> </w:t>
      </w:r>
      <w:r>
        <w:rPr>
          <w:rFonts w:ascii="Times New Roman"/>
          <w:sz w:val="26"/>
          <w:lang w:eastAsia="zh-CN"/>
        </w:rPr>
        <w:t>30</w:t>
      </w:r>
      <w:r>
        <w:rPr>
          <w:rFonts w:ascii="Times New Roman"/>
          <w:sz w:val="26"/>
          <w:vertAlign w:val="superscript"/>
          <w:lang w:eastAsia="zh-CN"/>
        </w:rPr>
        <w:t>th</w:t>
      </w:r>
      <w:r>
        <w:rPr>
          <w:rFonts w:ascii="Times New Roman"/>
          <w:sz w:val="26"/>
          <w:lang w:eastAsia="zh-CN"/>
        </w:rPr>
        <w:t xml:space="preserve"> September 2004</w:t>
      </w:r>
    </w:p>
    <w:p w:rsidR="0052009B" w:rsidRDefault="0052009B">
      <w:pPr>
        <w:spacing w:line="480" w:lineRule="auto"/>
        <w:jc w:val="both"/>
        <w:rPr>
          <w:rFonts w:ascii="Times New Roman" w:hint="eastAsia"/>
          <w:sz w:val="26"/>
          <w:lang w:eastAsia="zh-CN"/>
        </w:rPr>
      </w:pPr>
    </w:p>
    <w:p w:rsidR="0052009B" w:rsidRDefault="0052009B">
      <w:pPr>
        <w:pStyle w:val="Heading1"/>
        <w:rPr>
          <w:rFonts w:hint="eastAsia"/>
          <w:bCs/>
          <w:lang w:eastAsia="zh-CN"/>
        </w:rPr>
      </w:pPr>
      <w:r>
        <w:rPr>
          <w:bCs/>
        </w:rPr>
        <w:t>JUDGMENT</w:t>
      </w:r>
    </w:p>
    <w:p w:rsidR="0052009B" w:rsidRDefault="0052009B">
      <w:pPr>
        <w:pStyle w:val="Heading2"/>
        <w:snapToGrid w:val="0"/>
        <w:rPr>
          <w:lang w:eastAsia="zh-CN"/>
        </w:rPr>
      </w:pPr>
    </w:p>
    <w:p w:rsidR="0052009B" w:rsidRDefault="0052009B">
      <w:pPr>
        <w:pStyle w:val="Heading2"/>
        <w:snapToGrid w:val="0"/>
        <w:rPr>
          <w:lang w:eastAsia="zh-CN"/>
        </w:rPr>
      </w:pPr>
      <w:r>
        <w:rPr>
          <w:lang w:eastAsia="zh-CN"/>
        </w:rPr>
        <w:t>Plaintiff’s Claim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1.</w:t>
      </w:r>
      <w:r>
        <w:rPr>
          <w:rFonts w:ascii="Times New Roman"/>
          <w:sz w:val="26"/>
          <w:lang w:eastAsia="zh-CN"/>
        </w:rPr>
        <w:tab/>
        <w:t>The Plaintiff was injured by the Defendant on 30</w:t>
      </w:r>
      <w:r>
        <w:rPr>
          <w:rFonts w:ascii="Times New Roman"/>
          <w:sz w:val="26"/>
          <w:vertAlign w:val="superscript"/>
          <w:lang w:eastAsia="zh-CN"/>
        </w:rPr>
        <w:t>th</w:t>
      </w:r>
      <w:r>
        <w:rPr>
          <w:rFonts w:ascii="Times New Roman"/>
          <w:sz w:val="26"/>
          <w:lang w:eastAsia="zh-CN"/>
        </w:rPr>
        <w:t xml:space="preserve"> January 2001 when he used a hammer to knock on the door of the Plaintiff’s room.  The hammer </w:t>
      </w:r>
      <w:r>
        <w:rPr>
          <w:rFonts w:ascii="Times New Roman"/>
          <w:sz w:val="26"/>
          <w:lang w:eastAsia="zh-CN"/>
        </w:rPr>
        <w:lastRenderedPageBreak/>
        <w:t>hit the Plaintiff’s right eye.  As a result she suffered injuries.  The Plaintiff now claims for damages arising out of this incident.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2.</w:t>
      </w:r>
      <w:r>
        <w:rPr>
          <w:rFonts w:ascii="Times New Roman"/>
          <w:sz w:val="26"/>
          <w:lang w:eastAsia="zh-CN"/>
        </w:rPr>
        <w:tab/>
        <w:t>Defendant appeared for assessment of damages.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pStyle w:val="Heading2"/>
        <w:tabs>
          <w:tab w:val="left" w:pos="1400"/>
        </w:tabs>
        <w:snapToGrid w:val="0"/>
        <w:rPr>
          <w:u w:val="none"/>
          <w:lang w:eastAsia="zh-CN"/>
        </w:rPr>
      </w:pPr>
      <w:r>
        <w:rPr>
          <w:lang w:eastAsia="zh-CN"/>
        </w:rPr>
        <w:t>Injury &amp; Disabilities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3.</w:t>
      </w:r>
      <w:r>
        <w:rPr>
          <w:rFonts w:ascii="Times New Roman"/>
          <w:sz w:val="26"/>
          <w:lang w:eastAsia="zh-CN"/>
        </w:rPr>
        <w:tab/>
        <w:t>As a result the Plaintiff suffered the following injuries:-</w:t>
      </w:r>
    </w:p>
    <w:p w:rsidR="0052009B" w:rsidRDefault="0052009B">
      <w:pPr>
        <w:numPr>
          <w:ilvl w:val="0"/>
          <w:numId w:val="5"/>
        </w:num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 xml:space="preserve">right </w:t>
      </w:r>
      <w:proofErr w:type="spellStart"/>
      <w:r>
        <w:rPr>
          <w:rFonts w:ascii="Times New Roman"/>
          <w:sz w:val="26"/>
          <w:lang w:eastAsia="zh-CN"/>
        </w:rPr>
        <w:t>peri</w:t>
      </w:r>
      <w:proofErr w:type="spellEnd"/>
      <w:r>
        <w:rPr>
          <w:rFonts w:ascii="Times New Roman"/>
          <w:sz w:val="26"/>
          <w:lang w:eastAsia="zh-CN"/>
        </w:rPr>
        <w:t>-orbital bruise;</w:t>
      </w:r>
    </w:p>
    <w:p w:rsidR="0052009B" w:rsidRDefault="0052009B">
      <w:pPr>
        <w:numPr>
          <w:ilvl w:val="0"/>
          <w:numId w:val="5"/>
        </w:numPr>
        <w:tabs>
          <w:tab w:val="clear" w:pos="2235"/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the visual acuity of the right eye was light perception;</w:t>
      </w:r>
    </w:p>
    <w:p w:rsidR="0052009B" w:rsidRDefault="0052009B">
      <w:pPr>
        <w:numPr>
          <w:ilvl w:val="0"/>
          <w:numId w:val="5"/>
        </w:numPr>
        <w:tabs>
          <w:tab w:val="clear" w:pos="2235"/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proofErr w:type="spellStart"/>
      <w:r>
        <w:rPr>
          <w:rFonts w:ascii="Times New Roman"/>
          <w:sz w:val="26"/>
          <w:lang w:eastAsia="zh-CN"/>
        </w:rPr>
        <w:t>hyphaema</w:t>
      </w:r>
      <w:proofErr w:type="spellEnd"/>
      <w:r>
        <w:rPr>
          <w:rFonts w:ascii="Times New Roman"/>
          <w:sz w:val="26"/>
          <w:lang w:eastAsia="zh-CN"/>
        </w:rPr>
        <w:t xml:space="preserve"> (blood in the anterior chamber of the eye);</w:t>
      </w:r>
    </w:p>
    <w:p w:rsidR="0052009B" w:rsidRDefault="0052009B">
      <w:pPr>
        <w:numPr>
          <w:ilvl w:val="0"/>
          <w:numId w:val="5"/>
        </w:numPr>
        <w:tabs>
          <w:tab w:val="clear" w:pos="2235"/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raised intra-ocular pressure.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4.</w:t>
      </w:r>
      <w:r>
        <w:rPr>
          <w:rFonts w:ascii="Times New Roman"/>
          <w:sz w:val="26"/>
          <w:lang w:eastAsia="zh-CN"/>
        </w:rPr>
        <w:tab/>
        <w:t>She now suffers the following disabilities:-</w:t>
      </w:r>
    </w:p>
    <w:p w:rsidR="0052009B" w:rsidRDefault="0052009B">
      <w:pPr>
        <w:numPr>
          <w:ilvl w:val="0"/>
          <w:numId w:val="6"/>
        </w:num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blurring of vision in the right eye;</w:t>
      </w:r>
    </w:p>
    <w:p w:rsidR="0052009B" w:rsidRDefault="0052009B">
      <w:pPr>
        <w:numPr>
          <w:ilvl w:val="0"/>
          <w:numId w:val="6"/>
        </w:num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photophobia (undue sensitivity to light), occasional discomfort and discharge from the right eye;</w:t>
      </w:r>
    </w:p>
    <w:p w:rsidR="0052009B" w:rsidRDefault="0052009B">
      <w:pPr>
        <w:numPr>
          <w:ilvl w:val="0"/>
          <w:numId w:val="6"/>
        </w:num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the visual acuity was 6/18 (70% of normal);</w:t>
      </w:r>
    </w:p>
    <w:p w:rsidR="0052009B" w:rsidRDefault="0052009B">
      <w:pPr>
        <w:numPr>
          <w:ilvl w:val="0"/>
          <w:numId w:val="6"/>
        </w:num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overall visual impairment of the right eye: 50%;</w:t>
      </w:r>
    </w:p>
    <w:p w:rsidR="0052009B" w:rsidRDefault="0052009B">
      <w:pPr>
        <w:numPr>
          <w:ilvl w:val="0"/>
          <w:numId w:val="6"/>
        </w:num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13% impairment of the whole visual system;</w:t>
      </w:r>
    </w:p>
    <w:p w:rsidR="0052009B" w:rsidRDefault="0052009B">
      <w:pPr>
        <w:numPr>
          <w:ilvl w:val="0"/>
          <w:numId w:val="6"/>
        </w:num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12% impairment of the whole person.</w:t>
      </w:r>
    </w:p>
    <w:p w:rsidR="0052009B" w:rsidRDefault="0052009B">
      <w:pPr>
        <w:pStyle w:val="Heading2"/>
        <w:tabs>
          <w:tab w:val="left" w:pos="1400"/>
        </w:tabs>
        <w:snapToGrid w:val="0"/>
        <w:rPr>
          <w:lang w:eastAsia="zh-CN"/>
        </w:rPr>
      </w:pPr>
    </w:p>
    <w:p w:rsidR="0052009B" w:rsidRDefault="0052009B">
      <w:pPr>
        <w:pStyle w:val="Heading2"/>
        <w:tabs>
          <w:tab w:val="left" w:pos="1400"/>
        </w:tabs>
        <w:snapToGrid w:val="0"/>
        <w:rPr>
          <w:lang w:eastAsia="zh-CN"/>
        </w:rPr>
      </w:pPr>
      <w:r>
        <w:rPr>
          <w:lang w:eastAsia="zh-CN"/>
        </w:rPr>
        <w:t>Plaintiff’s pre-injury earning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5.</w:t>
      </w:r>
      <w:r>
        <w:rPr>
          <w:rFonts w:ascii="Times New Roman"/>
          <w:sz w:val="26"/>
          <w:lang w:eastAsia="zh-CN"/>
        </w:rPr>
        <w:tab/>
        <w:t>The Plaintiff was 58 years of age at the time of the injury earning $6,550 as a cashier at Vinci Park Services HK Ltd. with $327.50 MPF.  She was granted sick leave for 2 months and 7 days and was dismissed on 30</w:t>
      </w:r>
      <w:r>
        <w:rPr>
          <w:rFonts w:ascii="Times New Roman"/>
          <w:sz w:val="26"/>
          <w:vertAlign w:val="superscript"/>
          <w:lang w:eastAsia="zh-CN"/>
        </w:rPr>
        <w:t>th</w:t>
      </w:r>
      <w:r>
        <w:rPr>
          <w:rFonts w:ascii="Times New Roman"/>
          <w:sz w:val="26"/>
          <w:lang w:eastAsia="zh-CN"/>
        </w:rPr>
        <w:t xml:space="preserve"> March 2003.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6.</w:t>
      </w:r>
      <w:r>
        <w:rPr>
          <w:rFonts w:ascii="Times New Roman"/>
          <w:sz w:val="26"/>
          <w:lang w:eastAsia="zh-CN"/>
        </w:rPr>
        <w:tab/>
        <w:t>She received $3,165.00 from Social Welfare Department since 26</w:t>
      </w:r>
      <w:r>
        <w:rPr>
          <w:rFonts w:ascii="Times New Roman"/>
          <w:sz w:val="26"/>
          <w:vertAlign w:val="superscript"/>
          <w:lang w:eastAsia="zh-CN"/>
        </w:rPr>
        <w:t>th</w:t>
      </w:r>
      <w:r>
        <w:rPr>
          <w:rFonts w:ascii="Times New Roman"/>
          <w:sz w:val="26"/>
          <w:lang w:eastAsia="zh-CN"/>
        </w:rPr>
        <w:t xml:space="preserve"> August 2003.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pStyle w:val="Heading2"/>
        <w:tabs>
          <w:tab w:val="left" w:pos="1400"/>
        </w:tabs>
        <w:snapToGrid w:val="0"/>
        <w:rPr>
          <w:u w:val="none"/>
          <w:lang w:eastAsia="zh-CN"/>
        </w:rPr>
      </w:pPr>
      <w:r>
        <w:rPr>
          <w:lang w:eastAsia="zh-CN"/>
        </w:rPr>
        <w:t>PSLA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7.</w:t>
      </w:r>
      <w:r>
        <w:rPr>
          <w:rFonts w:ascii="Times New Roman"/>
          <w:sz w:val="26"/>
          <w:lang w:eastAsia="zh-CN"/>
        </w:rPr>
        <w:tab/>
        <w:t xml:space="preserve">The nearest case similar to the Plaintiff’s present disability is Kwan </w:t>
      </w:r>
      <w:proofErr w:type="spellStart"/>
      <w:r>
        <w:rPr>
          <w:rFonts w:ascii="Times New Roman"/>
          <w:sz w:val="26"/>
          <w:lang w:eastAsia="zh-CN"/>
        </w:rPr>
        <w:t>Shek</w:t>
      </w:r>
      <w:proofErr w:type="spellEnd"/>
      <w:r>
        <w:rPr>
          <w:rFonts w:ascii="Times New Roman"/>
          <w:sz w:val="26"/>
          <w:lang w:eastAsia="zh-CN"/>
        </w:rPr>
        <w:t xml:space="preserve"> Sang v. Chan </w:t>
      </w:r>
      <w:proofErr w:type="spellStart"/>
      <w:r>
        <w:rPr>
          <w:rFonts w:ascii="Times New Roman"/>
          <w:sz w:val="26"/>
          <w:lang w:eastAsia="zh-CN"/>
        </w:rPr>
        <w:t>Kam</w:t>
      </w:r>
      <w:proofErr w:type="spellEnd"/>
      <w:r>
        <w:rPr>
          <w:rFonts w:ascii="Times New Roman"/>
          <w:sz w:val="26"/>
          <w:lang w:eastAsia="zh-CN"/>
        </w:rPr>
        <w:t xml:space="preserve"> </w:t>
      </w:r>
      <w:proofErr w:type="spellStart"/>
      <w:r>
        <w:rPr>
          <w:rFonts w:ascii="Times New Roman"/>
          <w:sz w:val="26"/>
          <w:lang w:eastAsia="zh-CN"/>
        </w:rPr>
        <w:t>Wah</w:t>
      </w:r>
      <w:proofErr w:type="spellEnd"/>
      <w:r>
        <w:rPr>
          <w:rFonts w:ascii="Times New Roman"/>
          <w:sz w:val="26"/>
          <w:lang w:eastAsia="zh-CN"/>
        </w:rPr>
        <w:t xml:space="preserve"> [2003] 2 HKLRD 967 in which the Plaintiff was found to have a metallic foreign body embedded in the left half of the right cornea.  Examination revealed a right corneal paraxial scar, and the vision of the right eye was 6/12.  The permanent visual impairment of the eye was 15%.  Further, it was noted that Plaintiff suffered a corneal opacity in the right eye.  The best corrected central vision of that eye was 2</w:t>
      </w:r>
      <w:r>
        <w:rPr>
          <w:rFonts w:ascii="Times New Roman"/>
          <w:sz w:val="26"/>
          <w:lang w:eastAsia="zh-CN"/>
        </w:rPr>
        <w:t xml:space="preserve">0/80, the impaired peripheral vision suggested that half of the left visual field was missing, and there was also impaired </w:t>
      </w:r>
      <w:proofErr w:type="spellStart"/>
      <w:r>
        <w:rPr>
          <w:rFonts w:ascii="Times New Roman"/>
          <w:sz w:val="26"/>
          <w:lang w:eastAsia="zh-CN"/>
        </w:rPr>
        <w:t>colour</w:t>
      </w:r>
      <w:proofErr w:type="spellEnd"/>
      <w:r>
        <w:rPr>
          <w:rFonts w:ascii="Times New Roman"/>
          <w:sz w:val="26"/>
          <w:lang w:eastAsia="zh-CN"/>
        </w:rPr>
        <w:t xml:space="preserve"> vision.  PSLA was fixed at $280,000.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pStyle w:val="Heading2"/>
        <w:tabs>
          <w:tab w:val="left" w:pos="1400"/>
        </w:tabs>
        <w:snapToGrid w:val="0"/>
        <w:rPr>
          <w:u w:val="none"/>
          <w:lang w:eastAsia="zh-CN"/>
        </w:rPr>
      </w:pPr>
      <w:r>
        <w:rPr>
          <w:lang w:eastAsia="zh-CN"/>
        </w:rPr>
        <w:t>Loss of Earning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8.</w:t>
      </w:r>
      <w:r>
        <w:rPr>
          <w:rFonts w:ascii="Times New Roman"/>
          <w:sz w:val="26"/>
          <w:lang w:eastAsia="zh-CN"/>
        </w:rPr>
        <w:tab/>
        <w:t>(</w:t>
      </w:r>
      <w:proofErr w:type="spellStart"/>
      <w:r>
        <w:rPr>
          <w:rFonts w:ascii="Times New Roman"/>
          <w:sz w:val="26"/>
          <w:lang w:eastAsia="zh-CN"/>
        </w:rPr>
        <w:t>i</w:t>
      </w:r>
      <w:proofErr w:type="spellEnd"/>
      <w:r>
        <w:rPr>
          <w:rFonts w:ascii="Times New Roman"/>
          <w:sz w:val="26"/>
          <w:lang w:eastAsia="zh-CN"/>
        </w:rPr>
        <w:t>)</w:t>
      </w:r>
      <w:r>
        <w:rPr>
          <w:rFonts w:ascii="Times New Roman"/>
          <w:sz w:val="26"/>
          <w:lang w:eastAsia="zh-CN"/>
        </w:rPr>
        <w:tab/>
        <w:t>Sick Leave</w:t>
      </w:r>
    </w:p>
    <w:p w:rsidR="0052009B" w:rsidRDefault="0052009B">
      <w:pPr>
        <w:pStyle w:val="BodyText"/>
        <w:tabs>
          <w:tab w:val="clear" w:pos="1400"/>
          <w:tab w:val="left" w:pos="2240"/>
        </w:tabs>
        <w:ind w:left="2240" w:hanging="2240"/>
      </w:pPr>
      <w:r>
        <w:tab/>
        <w:t>She was paid 4/5 of her salary during her sick leave of 2 months and 7 days.  Her loss during the sick leave period is therefore $(6,550 x 1/5 x 2 7/30 months) = $2,925.00.</w:t>
      </w:r>
    </w:p>
    <w:p w:rsidR="0052009B" w:rsidRDefault="0052009B">
      <w:pPr>
        <w:tabs>
          <w:tab w:val="left" w:pos="1400"/>
          <w:tab w:val="left" w:pos="2240"/>
        </w:tabs>
        <w:snapToGrid w:val="0"/>
        <w:spacing w:line="480" w:lineRule="auto"/>
        <w:ind w:left="2240" w:hanging="2240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  <w:t>(ii)</w:t>
      </w:r>
      <w:r>
        <w:rPr>
          <w:rFonts w:ascii="Times New Roman"/>
          <w:sz w:val="26"/>
          <w:lang w:eastAsia="zh-CN"/>
        </w:rPr>
        <w:tab/>
        <w:t>Loss of earning from 30</w:t>
      </w:r>
      <w:r>
        <w:rPr>
          <w:rFonts w:ascii="Times New Roman"/>
          <w:sz w:val="26"/>
          <w:vertAlign w:val="superscript"/>
          <w:lang w:eastAsia="zh-CN"/>
        </w:rPr>
        <w:t>th</w:t>
      </w:r>
      <w:r>
        <w:rPr>
          <w:rFonts w:ascii="Times New Roman"/>
          <w:sz w:val="26"/>
          <w:lang w:eastAsia="zh-CN"/>
        </w:rPr>
        <w:t xml:space="preserve"> March 2003 to date of hearing is $(6,550 x 5 months) + [(6,550 – 3,165) x 12 months] = $32,750 + 40,620 = $73,370.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The total loss of earning is therefore $(2,925 + 73,370) = $76,295.00.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pStyle w:val="Heading2"/>
        <w:tabs>
          <w:tab w:val="left" w:pos="1400"/>
        </w:tabs>
        <w:snapToGrid w:val="0"/>
        <w:rPr>
          <w:u w:val="none"/>
          <w:lang w:eastAsia="zh-CN"/>
        </w:rPr>
      </w:pPr>
      <w:r>
        <w:rPr>
          <w:lang w:eastAsia="zh-CN"/>
        </w:rPr>
        <w:t xml:space="preserve">Medical &amp; </w:t>
      </w:r>
      <w:proofErr w:type="spellStart"/>
      <w:r>
        <w:rPr>
          <w:lang w:eastAsia="zh-CN"/>
        </w:rPr>
        <w:t>Travelling</w:t>
      </w:r>
      <w:proofErr w:type="spellEnd"/>
      <w:r>
        <w:rPr>
          <w:lang w:eastAsia="zh-CN"/>
        </w:rPr>
        <w:t xml:space="preserve"> Expenses</w:t>
      </w:r>
    </w:p>
    <w:p w:rsidR="0052009B" w:rsidRDefault="0052009B">
      <w:p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9.</w:t>
      </w:r>
      <w:r>
        <w:rPr>
          <w:rFonts w:ascii="Times New Roman"/>
          <w:sz w:val="26"/>
          <w:lang w:eastAsia="zh-CN"/>
        </w:rPr>
        <w:tab/>
        <w:t>(</w:t>
      </w:r>
      <w:proofErr w:type="spellStart"/>
      <w:r>
        <w:rPr>
          <w:rFonts w:ascii="Times New Roman"/>
          <w:sz w:val="26"/>
          <w:lang w:eastAsia="zh-CN"/>
        </w:rPr>
        <w:t>i</w:t>
      </w:r>
      <w:proofErr w:type="spellEnd"/>
      <w:r>
        <w:rPr>
          <w:rFonts w:ascii="Times New Roman"/>
          <w:sz w:val="26"/>
          <w:lang w:eastAsia="zh-CN"/>
        </w:rPr>
        <w:t>)</w:t>
      </w:r>
      <w:r>
        <w:rPr>
          <w:rFonts w:ascii="Times New Roman"/>
          <w:sz w:val="26"/>
          <w:lang w:eastAsia="zh-CN"/>
        </w:rPr>
        <w:tab/>
        <w:t xml:space="preserve">medical </w:t>
      </w:r>
      <w:r>
        <w:rPr>
          <w:rFonts w:ascii="Times New Roman"/>
          <w:sz w:val="26"/>
          <w:lang w:eastAsia="zh-CN"/>
        </w:rPr>
        <w:tab/>
        <w:t>$4,000</w:t>
      </w:r>
    </w:p>
    <w:p w:rsidR="0052009B" w:rsidRDefault="0052009B">
      <w:p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  <w:t>(ii)</w:t>
      </w:r>
      <w:r>
        <w:rPr>
          <w:rFonts w:ascii="Times New Roman"/>
          <w:sz w:val="26"/>
          <w:lang w:eastAsia="zh-CN"/>
        </w:rPr>
        <w:tab/>
        <w:t>traveling</w:t>
      </w:r>
      <w:r>
        <w:rPr>
          <w:rFonts w:ascii="Times New Roman"/>
          <w:sz w:val="26"/>
          <w:lang w:eastAsia="zh-CN"/>
        </w:rPr>
        <w:tab/>
        <w:t>$1,980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  <w:t>Total</w:t>
      </w:r>
      <w:r>
        <w:rPr>
          <w:rFonts w:ascii="Times New Roman"/>
          <w:sz w:val="26"/>
          <w:lang w:eastAsia="zh-CN"/>
        </w:rPr>
        <w:tab/>
      </w:r>
      <w:r>
        <w:rPr>
          <w:rFonts w:ascii="Times New Roman"/>
          <w:sz w:val="26"/>
          <w:lang w:eastAsia="zh-CN"/>
        </w:rPr>
        <w:tab/>
      </w:r>
      <w:r>
        <w:rPr>
          <w:rFonts w:ascii="Times New Roman"/>
          <w:sz w:val="26"/>
          <w:lang w:eastAsia="zh-CN"/>
        </w:rPr>
        <w:tab/>
        <w:t>$5,980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pStyle w:val="Heading2"/>
        <w:tabs>
          <w:tab w:val="left" w:pos="1400"/>
        </w:tabs>
        <w:snapToGrid w:val="0"/>
        <w:rPr>
          <w:u w:val="none"/>
          <w:lang w:eastAsia="zh-CN"/>
        </w:rPr>
      </w:pPr>
      <w:r>
        <w:rPr>
          <w:lang w:eastAsia="zh-CN"/>
        </w:rPr>
        <w:t>Loss of F</w:t>
      </w:r>
      <w:r>
        <w:rPr>
          <w:rFonts w:hint="eastAsia"/>
          <w:lang w:eastAsia="zh-CN"/>
        </w:rPr>
        <w:t>uture</w:t>
      </w:r>
      <w:r>
        <w:rPr>
          <w:lang w:eastAsia="zh-CN"/>
        </w:rPr>
        <w:t xml:space="preserve"> Earnings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10.</w:t>
      </w:r>
      <w:r>
        <w:rPr>
          <w:rFonts w:ascii="Times New Roman"/>
          <w:sz w:val="26"/>
          <w:lang w:eastAsia="zh-CN"/>
        </w:rPr>
        <w:tab/>
        <w:t xml:space="preserve">Since she is now 61, although she said she could work until 65 I adopt a multiplier of 2.  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11.</w:t>
      </w:r>
      <w:r>
        <w:rPr>
          <w:rFonts w:ascii="Times New Roman"/>
          <w:sz w:val="26"/>
          <w:lang w:eastAsia="zh-CN"/>
        </w:rPr>
        <w:tab/>
        <w:t>The loss of future earning is therefore $[(6,550 x 1.05) – 3,165] x 24 = $89,100.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</w:p>
    <w:p w:rsidR="0052009B" w:rsidRDefault="0052009B">
      <w:pPr>
        <w:pStyle w:val="Heading2"/>
        <w:tabs>
          <w:tab w:val="left" w:pos="1400"/>
        </w:tabs>
        <w:snapToGrid w:val="0"/>
        <w:rPr>
          <w:rFonts w:hint="eastAsia"/>
          <w:u w:val="none"/>
          <w:lang w:eastAsia="zh-CN"/>
        </w:rPr>
      </w:pPr>
      <w:r>
        <w:rPr>
          <w:lang w:eastAsia="zh-CN"/>
        </w:rPr>
        <w:t>Future Medical Expenses</w:t>
      </w:r>
      <w:r>
        <w:rPr>
          <w:rFonts w:hint="eastAsia"/>
          <w:u w:val="none"/>
          <w:lang w:eastAsia="zh-CN"/>
        </w:rPr>
        <w:t xml:space="preserve">      $13,000</w:t>
      </w:r>
    </w:p>
    <w:p w:rsidR="0052009B" w:rsidRDefault="0052009B">
      <w:pPr>
        <w:tabs>
          <w:tab w:val="left" w:pos="14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12.</w:t>
      </w:r>
      <w:r>
        <w:rPr>
          <w:rFonts w:ascii="Times New Roman"/>
          <w:sz w:val="26"/>
          <w:lang w:eastAsia="zh-CN"/>
        </w:rPr>
        <w:tab/>
        <w:t>Damages for the Plaintiff is therefore assessed at:-</w:t>
      </w:r>
    </w:p>
    <w:p w:rsidR="0052009B" w:rsidRDefault="0052009B">
      <w:p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  <w:t>(</w:t>
      </w:r>
      <w:proofErr w:type="spellStart"/>
      <w:r>
        <w:rPr>
          <w:rFonts w:ascii="Times New Roman"/>
          <w:sz w:val="26"/>
          <w:lang w:eastAsia="zh-CN"/>
        </w:rPr>
        <w:t>i</w:t>
      </w:r>
      <w:proofErr w:type="spellEnd"/>
      <w:r>
        <w:rPr>
          <w:rFonts w:ascii="Times New Roman"/>
          <w:sz w:val="26"/>
          <w:lang w:eastAsia="zh-CN"/>
        </w:rPr>
        <w:t>)</w:t>
      </w:r>
      <w:r>
        <w:rPr>
          <w:rFonts w:ascii="Times New Roman"/>
          <w:sz w:val="26"/>
          <w:lang w:eastAsia="zh-CN"/>
        </w:rPr>
        <w:tab/>
        <w:t>PSLA $280,000</w:t>
      </w:r>
    </w:p>
    <w:p w:rsidR="0052009B" w:rsidRDefault="0052009B">
      <w:pPr>
        <w:tabs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  <w:t>Interests at 2% p.a. $280,000 x 2% x 10/12</w:t>
      </w:r>
    </w:p>
    <w:p w:rsidR="0052009B" w:rsidRDefault="0052009B">
      <w:pPr>
        <w:tabs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  <w:t>= $5,600 x 10/12 = $4,667.00</w:t>
      </w:r>
    </w:p>
    <w:p w:rsidR="0052009B" w:rsidRDefault="0052009B">
      <w:pPr>
        <w:pStyle w:val="BodyText"/>
        <w:tabs>
          <w:tab w:val="left" w:pos="2240"/>
        </w:tabs>
      </w:pPr>
      <w:r>
        <w:tab/>
        <w:t>(ii)</w:t>
      </w:r>
      <w:r>
        <w:tab/>
        <w:t>Loss of earnings $76,295</w:t>
      </w:r>
    </w:p>
    <w:p w:rsidR="0052009B" w:rsidRDefault="0052009B">
      <w:p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  <w:t>(iii)</w:t>
      </w:r>
      <w:r>
        <w:rPr>
          <w:rFonts w:ascii="Times New Roman"/>
          <w:sz w:val="26"/>
          <w:lang w:eastAsia="zh-CN"/>
        </w:rPr>
        <w:tab/>
        <w:t>Medical &amp; traveling $5,980</w:t>
      </w:r>
    </w:p>
    <w:p w:rsidR="0052009B" w:rsidRDefault="0052009B">
      <w:p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</w:r>
      <w:r>
        <w:rPr>
          <w:rFonts w:ascii="Times New Roman"/>
          <w:sz w:val="26"/>
          <w:lang w:eastAsia="zh-CN"/>
        </w:rPr>
        <w:tab/>
        <w:t>Interest on special damages</w:t>
      </w:r>
    </w:p>
    <w:p w:rsidR="0052009B" w:rsidRDefault="0052009B">
      <w:p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</w:r>
      <w:r>
        <w:rPr>
          <w:rFonts w:ascii="Times New Roman"/>
          <w:sz w:val="26"/>
          <w:lang w:eastAsia="zh-CN"/>
        </w:rPr>
        <w:tab/>
        <w:t>$(76,295 + 5,980) x 4% x 3 7/12 + $3,291 x 3.583</w:t>
      </w:r>
    </w:p>
    <w:p w:rsidR="0052009B" w:rsidRDefault="0052009B">
      <w:pPr>
        <w:tabs>
          <w:tab w:val="left" w:pos="1400"/>
          <w:tab w:val="left" w:pos="224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</w:r>
      <w:r>
        <w:rPr>
          <w:rFonts w:ascii="Times New Roman"/>
          <w:sz w:val="26"/>
          <w:lang w:eastAsia="zh-CN"/>
        </w:rPr>
        <w:tab/>
        <w:t>= $11,791.00</w:t>
      </w:r>
    </w:p>
    <w:p w:rsidR="0052009B" w:rsidRDefault="0052009B">
      <w:pPr>
        <w:tabs>
          <w:tab w:val="left" w:pos="1400"/>
          <w:tab w:val="left" w:pos="2240"/>
          <w:tab w:val="decimal" w:pos="70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ab/>
        <w:t>(iv)</w:t>
      </w:r>
      <w:r>
        <w:rPr>
          <w:rFonts w:ascii="Times New Roman"/>
          <w:sz w:val="26"/>
          <w:lang w:eastAsia="zh-CN"/>
        </w:rPr>
        <w:tab/>
        <w:t>Future medical $13,000</w:t>
      </w:r>
    </w:p>
    <w:p w:rsidR="0052009B" w:rsidRDefault="0052009B">
      <w:pPr>
        <w:tabs>
          <w:tab w:val="left" w:pos="1400"/>
          <w:tab w:val="left" w:pos="2240"/>
          <w:tab w:val="decimal" w:pos="7000"/>
        </w:tabs>
        <w:snapToGrid w:val="0"/>
        <w:spacing w:line="480" w:lineRule="auto"/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>Total $(280,000 + 4,667 + 76,295 + 5,980 + 11,791 + 89,100 + 13,000) = $480,833.00</w:t>
      </w:r>
    </w:p>
    <w:p w:rsidR="0052009B" w:rsidRDefault="0052009B">
      <w:pPr>
        <w:tabs>
          <w:tab w:val="left" w:pos="1400"/>
          <w:tab w:val="decimal" w:pos="7000"/>
        </w:tabs>
        <w:snapToGrid w:val="0"/>
        <w:spacing w:line="480" w:lineRule="auto"/>
        <w:jc w:val="both"/>
        <w:rPr>
          <w:rFonts w:ascii="Times New Roman" w:hint="eastAsia"/>
          <w:sz w:val="26"/>
          <w:lang w:eastAsia="zh-CN"/>
        </w:rPr>
      </w:pPr>
      <w:r>
        <w:rPr>
          <w:rFonts w:ascii="Times New Roman" w:hint="eastAsia"/>
          <w:sz w:val="26"/>
          <w:lang w:eastAsia="zh-CN"/>
        </w:rPr>
        <w:t>13.</w:t>
      </w:r>
      <w:r>
        <w:rPr>
          <w:rFonts w:ascii="Times New Roman" w:hint="eastAsia"/>
          <w:sz w:val="26"/>
          <w:lang w:eastAsia="zh-CN"/>
        </w:rPr>
        <w:tab/>
        <w:t xml:space="preserve">Costs to the Plaintiff. Certificate for Counsel. </w:t>
      </w:r>
    </w:p>
    <w:p w:rsidR="0052009B" w:rsidRDefault="0052009B">
      <w:pPr>
        <w:tabs>
          <w:tab w:val="left" w:pos="1400"/>
          <w:tab w:val="decimal" w:pos="7000"/>
        </w:tabs>
        <w:snapToGrid w:val="0"/>
        <w:spacing w:line="480" w:lineRule="auto"/>
        <w:jc w:val="both"/>
        <w:rPr>
          <w:rFonts w:ascii="Times New Roman" w:hint="eastAsia"/>
          <w:sz w:val="26"/>
          <w:lang w:eastAsia="zh-CN"/>
        </w:rPr>
      </w:pPr>
      <w:r>
        <w:rPr>
          <w:rFonts w:ascii="Times New Roman" w:hint="eastAsia"/>
          <w:sz w:val="26"/>
          <w:lang w:eastAsia="zh-CN"/>
        </w:rPr>
        <w:t>14.</w:t>
      </w:r>
      <w:r>
        <w:rPr>
          <w:rFonts w:ascii="Times New Roman" w:hint="eastAsia"/>
          <w:sz w:val="26"/>
          <w:lang w:eastAsia="zh-CN"/>
        </w:rPr>
        <w:tab/>
        <w:t>Plaintiff</w:t>
      </w:r>
      <w:r>
        <w:rPr>
          <w:rFonts w:ascii="Times New Roman"/>
          <w:sz w:val="26"/>
          <w:lang w:eastAsia="zh-CN"/>
        </w:rPr>
        <w:t>’</w:t>
      </w:r>
      <w:r>
        <w:rPr>
          <w:rFonts w:ascii="Times New Roman" w:hint="eastAsia"/>
          <w:sz w:val="26"/>
          <w:lang w:eastAsia="zh-CN"/>
        </w:rPr>
        <w:t xml:space="preserve">s own costs to be taxed </w:t>
      </w:r>
      <w:r>
        <w:rPr>
          <w:rFonts w:ascii="Times New Roman"/>
          <w:sz w:val="26"/>
          <w:lang w:eastAsia="zh-CN"/>
        </w:rPr>
        <w:t>in accordance with Legal Aid Regulations.</w:t>
      </w:r>
    </w:p>
    <w:p w:rsidR="0052009B" w:rsidRDefault="0052009B">
      <w:pPr>
        <w:tabs>
          <w:tab w:val="decimal" w:pos="7000"/>
        </w:tabs>
        <w:jc w:val="both"/>
        <w:rPr>
          <w:rFonts w:ascii="Times New Roman"/>
          <w:sz w:val="26"/>
          <w:lang w:eastAsia="zh-CN"/>
        </w:rPr>
      </w:pPr>
      <w:r>
        <w:rPr>
          <w:rFonts w:ascii="Times New Roman" w:hint="eastAsia"/>
          <w:sz w:val="26"/>
          <w:lang w:eastAsia="zh-CN"/>
        </w:rPr>
        <w:tab/>
      </w:r>
      <w:r>
        <w:rPr>
          <w:rFonts w:ascii="Times New Roman"/>
          <w:sz w:val="26"/>
          <w:lang w:eastAsia="zh-CN"/>
        </w:rPr>
        <w:t>Wesley Wong</w:t>
      </w:r>
    </w:p>
    <w:p w:rsidR="0052009B" w:rsidRDefault="0052009B">
      <w:pPr>
        <w:tabs>
          <w:tab w:val="decimal" w:pos="7000"/>
        </w:tabs>
        <w:jc w:val="both"/>
        <w:rPr>
          <w:rFonts w:ascii="Times New Roman" w:hint="eastAsia"/>
          <w:sz w:val="26"/>
          <w:lang w:eastAsia="zh-CN"/>
        </w:rPr>
      </w:pPr>
      <w:r>
        <w:rPr>
          <w:rFonts w:ascii="Times New Roman" w:hint="eastAsia"/>
          <w:sz w:val="26"/>
          <w:lang w:eastAsia="zh-CN"/>
        </w:rPr>
        <w:tab/>
        <w:t>District Judge</w:t>
      </w:r>
    </w:p>
    <w:p w:rsidR="0052009B" w:rsidRDefault="0052009B">
      <w:pPr>
        <w:tabs>
          <w:tab w:val="decimal" w:pos="6860"/>
        </w:tabs>
        <w:jc w:val="both"/>
        <w:rPr>
          <w:rFonts w:ascii="Times New Roman" w:hint="eastAsia"/>
          <w:sz w:val="26"/>
          <w:lang w:eastAsia="zh-CN"/>
        </w:rPr>
      </w:pPr>
    </w:p>
    <w:p w:rsidR="0052009B" w:rsidRDefault="0052009B">
      <w:pPr>
        <w:tabs>
          <w:tab w:val="left" w:pos="4962"/>
        </w:tabs>
        <w:jc w:val="both"/>
        <w:rPr>
          <w:rFonts w:ascii="Times New Roman" w:hint="eastAsia"/>
          <w:sz w:val="26"/>
          <w:lang w:eastAsia="zh-CN"/>
        </w:rPr>
      </w:pPr>
    </w:p>
    <w:p w:rsidR="0052009B" w:rsidRDefault="0052009B">
      <w:pPr>
        <w:tabs>
          <w:tab w:val="left" w:pos="4962"/>
        </w:tabs>
        <w:jc w:val="both"/>
        <w:rPr>
          <w:rFonts w:ascii="Times New Roman" w:hint="eastAsia"/>
          <w:sz w:val="26"/>
          <w:lang w:eastAsia="zh-CN"/>
        </w:rPr>
      </w:pPr>
      <w:r>
        <w:rPr>
          <w:rFonts w:ascii="Times New Roman"/>
          <w:sz w:val="26"/>
          <w:lang w:eastAsia="zh-CN"/>
        </w:rPr>
        <w:t xml:space="preserve">Mr. Simon H.W. Lam </w:t>
      </w:r>
      <w:r>
        <w:rPr>
          <w:rFonts w:ascii="Times New Roman" w:hint="eastAsia"/>
          <w:sz w:val="26"/>
          <w:lang w:eastAsia="zh-CN"/>
        </w:rPr>
        <w:t xml:space="preserve">instructed by </w:t>
      </w:r>
      <w:r>
        <w:rPr>
          <w:rFonts w:ascii="Times New Roman"/>
          <w:sz w:val="26"/>
          <w:lang w:eastAsia="zh-CN"/>
        </w:rPr>
        <w:t xml:space="preserve">Messrs. David </w:t>
      </w:r>
      <w:proofErr w:type="spellStart"/>
      <w:r>
        <w:rPr>
          <w:rFonts w:ascii="Times New Roman"/>
          <w:sz w:val="26"/>
          <w:lang w:eastAsia="zh-CN"/>
        </w:rPr>
        <w:t>Hui</w:t>
      </w:r>
      <w:proofErr w:type="spellEnd"/>
      <w:r>
        <w:rPr>
          <w:rFonts w:ascii="Times New Roman"/>
          <w:sz w:val="26"/>
          <w:lang w:eastAsia="zh-CN"/>
        </w:rPr>
        <w:t xml:space="preserve"> &amp; Co. assigned by D.L.A. for </w:t>
      </w:r>
      <w:r>
        <w:rPr>
          <w:rFonts w:ascii="Times New Roman" w:hint="eastAsia"/>
          <w:sz w:val="26"/>
          <w:lang w:eastAsia="zh-CN"/>
        </w:rPr>
        <w:t xml:space="preserve">the </w:t>
      </w:r>
      <w:r>
        <w:rPr>
          <w:rFonts w:ascii="Times New Roman"/>
          <w:sz w:val="26"/>
          <w:lang w:eastAsia="zh-CN"/>
        </w:rPr>
        <w:t>Plaintiff</w:t>
      </w:r>
      <w:r>
        <w:rPr>
          <w:rFonts w:ascii="Times New Roman" w:hint="eastAsia"/>
          <w:sz w:val="26"/>
          <w:lang w:eastAsia="zh-CN"/>
        </w:rPr>
        <w:t xml:space="preserve"> </w:t>
      </w:r>
    </w:p>
    <w:p w:rsidR="0052009B" w:rsidRDefault="0052009B">
      <w:pPr>
        <w:tabs>
          <w:tab w:val="left" w:pos="4962"/>
        </w:tabs>
        <w:jc w:val="both"/>
        <w:rPr>
          <w:rFonts w:ascii="Times New Roman" w:hint="eastAsia"/>
          <w:sz w:val="26"/>
          <w:lang w:eastAsia="zh-CN"/>
        </w:rPr>
      </w:pPr>
    </w:p>
    <w:p w:rsidR="0052009B" w:rsidRDefault="0052009B">
      <w:pPr>
        <w:tabs>
          <w:tab w:val="left" w:pos="4962"/>
        </w:tabs>
        <w:jc w:val="both"/>
        <w:rPr>
          <w:rFonts w:ascii="Times New Roman"/>
          <w:sz w:val="26"/>
          <w:lang w:eastAsia="zh-CN"/>
        </w:rPr>
      </w:pPr>
      <w:r>
        <w:rPr>
          <w:rFonts w:ascii="Times New Roman"/>
          <w:sz w:val="26"/>
          <w:lang w:eastAsia="zh-CN"/>
        </w:rPr>
        <w:t xml:space="preserve">Defendant: </w:t>
      </w:r>
      <w:proofErr w:type="spellStart"/>
      <w:r>
        <w:rPr>
          <w:rFonts w:ascii="Times New Roman"/>
          <w:sz w:val="26"/>
          <w:lang w:eastAsia="zh-CN"/>
        </w:rPr>
        <w:t>Chong</w:t>
      </w:r>
      <w:proofErr w:type="spellEnd"/>
      <w:r>
        <w:rPr>
          <w:rFonts w:ascii="Times New Roman"/>
          <w:sz w:val="26"/>
          <w:lang w:eastAsia="zh-CN"/>
        </w:rPr>
        <w:t xml:space="preserve"> Ming Shih</w:t>
      </w:r>
      <w:r>
        <w:rPr>
          <w:rFonts w:ascii="Times New Roman" w:hint="eastAsia"/>
          <w:sz w:val="26"/>
          <w:lang w:eastAsia="zh-CN"/>
        </w:rPr>
        <w:t>（莊銘）</w:t>
      </w:r>
      <w:r>
        <w:rPr>
          <w:rFonts w:ascii="Times New Roman"/>
          <w:sz w:val="26"/>
          <w:lang w:eastAsia="zh-CN"/>
        </w:rPr>
        <w:t>, in person, present.</w:t>
      </w:r>
    </w:p>
    <w:sectPr w:rsidR="00000000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864" w:footer="720" w:gutter="0"/>
      <w:cols w:space="720"/>
      <w:titlePg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09B" w:rsidRDefault="0052009B">
      <w:r>
        <w:separator/>
      </w:r>
    </w:p>
  </w:endnote>
  <w:endnote w:type="continuationSeparator" w:id="0">
    <w:p w:rsidR="0052009B" w:rsidRDefault="0052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009B" w:rsidRDefault="005200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2009B" w:rsidRDefault="00520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009B" w:rsidRDefault="0052009B">
    <w:pPr>
      <w:pStyle w:val="Footer"/>
      <w:framePr w:wrap="around" w:vAnchor="text" w:hAnchor="margin" w:xAlign="center" w:y="1"/>
      <w:rPr>
        <w:rStyle w:val="PageNumber"/>
      </w:rPr>
    </w:pPr>
  </w:p>
  <w:p w:rsidR="0052009B" w:rsidRDefault="00520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09B" w:rsidRDefault="0052009B">
      <w:r>
        <w:separator/>
      </w:r>
    </w:p>
  </w:footnote>
  <w:footnote w:type="continuationSeparator" w:id="0">
    <w:p w:rsidR="0052009B" w:rsidRDefault="0052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009B" w:rsidRDefault="005200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009B" w:rsidRDefault="00520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009B" w:rsidRDefault="0052009B">
    <w:pPr>
      <w:pStyle w:val="Header"/>
      <w:framePr w:wrap="around" w:vAnchor="text" w:hAnchor="margin" w:xAlign="center" w:y="1"/>
      <w:rPr>
        <w:rStyle w:val="PageNumber"/>
        <w:sz w:val="26"/>
      </w:rPr>
    </w:pPr>
    <w:r>
      <w:rPr>
        <w:rStyle w:val="PageNumber"/>
        <w:sz w:val="26"/>
      </w:rPr>
      <w:t xml:space="preserve">- </w:t>
    </w:r>
    <w:r>
      <w:rPr>
        <w:rStyle w:val="PageNumber"/>
        <w:sz w:val="26"/>
      </w:rPr>
      <w:fldChar w:fldCharType="begin"/>
    </w:r>
    <w:r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>
      <w:rPr>
        <w:rStyle w:val="PageNumber"/>
        <w:noProof/>
        <w:sz w:val="26"/>
      </w:rPr>
      <w:t>5</w:t>
    </w:r>
    <w:r>
      <w:rPr>
        <w:rStyle w:val="PageNumber"/>
        <w:sz w:val="26"/>
      </w:rPr>
      <w:fldChar w:fldCharType="end"/>
    </w:r>
    <w:r>
      <w:rPr>
        <w:rStyle w:val="PageNumber"/>
        <w:sz w:val="26"/>
      </w:rPr>
      <w:t xml:space="preserve"> -</w:t>
    </w:r>
  </w:p>
  <w:p w:rsidR="0052009B" w:rsidRDefault="00520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442"/>
    <w:multiLevelType w:val="hybridMultilevel"/>
    <w:tmpl w:val="603E9DB6"/>
    <w:lvl w:ilvl="0" w:tplc="7EC8475E">
      <w:start w:val="1"/>
      <w:numFmt w:val="decimal"/>
      <w:lvlText w:val="(%1)"/>
      <w:lvlJc w:val="left"/>
      <w:pPr>
        <w:tabs>
          <w:tab w:val="num" w:pos="2240"/>
        </w:tabs>
        <w:ind w:left="22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1" w15:restartNumberingAfterBreak="0">
    <w:nsid w:val="37A60B7F"/>
    <w:multiLevelType w:val="hybridMultilevel"/>
    <w:tmpl w:val="0E145B1A"/>
    <w:lvl w:ilvl="0" w:tplc="FEF46E7C">
      <w:start w:val="2"/>
      <w:numFmt w:val="decimal"/>
      <w:lvlText w:val="%1."/>
      <w:lvlJc w:val="left"/>
      <w:pPr>
        <w:tabs>
          <w:tab w:val="num" w:pos="1755"/>
        </w:tabs>
        <w:ind w:left="1755" w:hanging="13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BB02AA"/>
    <w:multiLevelType w:val="hybridMultilevel"/>
    <w:tmpl w:val="5D70F3DA"/>
    <w:lvl w:ilvl="0" w:tplc="36F4AA8C">
      <w:start w:val="2"/>
      <w:numFmt w:val="decimal"/>
      <w:lvlText w:val="%1."/>
      <w:lvlJc w:val="left"/>
      <w:pPr>
        <w:tabs>
          <w:tab w:val="num" w:pos="1755"/>
        </w:tabs>
        <w:ind w:left="1755" w:hanging="13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D4F72"/>
    <w:multiLevelType w:val="hybridMultilevel"/>
    <w:tmpl w:val="1102D71E"/>
    <w:lvl w:ilvl="0" w:tplc="01F2DF16">
      <w:start w:val="1"/>
      <w:numFmt w:val="decimal"/>
      <w:lvlText w:val="(%1)"/>
      <w:lvlJc w:val="left"/>
      <w:pPr>
        <w:tabs>
          <w:tab w:val="num" w:pos="2235"/>
        </w:tabs>
        <w:ind w:left="2235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75"/>
        </w:tabs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95"/>
        </w:tabs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15"/>
        </w:tabs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35"/>
        </w:tabs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55"/>
        </w:tabs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75"/>
        </w:tabs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95"/>
        </w:tabs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15"/>
        </w:tabs>
        <w:ind w:left="7515" w:hanging="180"/>
      </w:pPr>
    </w:lvl>
  </w:abstractNum>
  <w:abstractNum w:abstractNumId="4" w15:restartNumberingAfterBreak="0">
    <w:nsid w:val="6A143DD3"/>
    <w:multiLevelType w:val="hybridMultilevel"/>
    <w:tmpl w:val="992A8582"/>
    <w:lvl w:ilvl="0" w:tplc="E03288C0">
      <w:start w:val="1"/>
      <w:numFmt w:val="decimal"/>
      <w:lvlText w:val="%1."/>
      <w:lvlJc w:val="left"/>
      <w:pPr>
        <w:tabs>
          <w:tab w:val="num" w:pos="1755"/>
        </w:tabs>
        <w:ind w:left="1755" w:hanging="13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FD77EC"/>
    <w:multiLevelType w:val="singleLevel"/>
    <w:tmpl w:val="D2C8B9F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 w16cid:durableId="1830902766">
    <w:abstractNumId w:val="5"/>
  </w:num>
  <w:num w:numId="2" w16cid:durableId="2057584676">
    <w:abstractNumId w:val="4"/>
  </w:num>
  <w:num w:numId="3" w16cid:durableId="1761291765">
    <w:abstractNumId w:val="1"/>
  </w:num>
  <w:num w:numId="4" w16cid:durableId="1106344290">
    <w:abstractNumId w:val="2"/>
  </w:num>
  <w:num w:numId="5" w16cid:durableId="2127385649">
    <w:abstractNumId w:val="3"/>
  </w:num>
  <w:num w:numId="6" w16cid:durableId="83325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40"/>
  <w:drawingGridVerticalSpacing w:val="19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09B"/>
    <w:rsid w:val="005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27ED362-66B1-7E4C-90FA-E5BA5552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/>
      <w:sz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center"/>
      <w:outlineLvl w:val="0"/>
    </w:pPr>
    <w:rPr>
      <w:rFonts w:ascii="Times New Roman"/>
      <w:sz w:val="26"/>
      <w:u w:val="single"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both"/>
      <w:outlineLvl w:val="1"/>
    </w:pPr>
    <w:rPr>
      <w:rFonts w:ascii="Times New Roman"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outlineLvl w:val="2"/>
    </w:pPr>
    <w:rPr>
      <w:rFonts w:ascii="Times New Roman"/>
      <w:sz w:val="2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246"/>
    </w:pPr>
    <w:rPr>
      <w:rFonts w:ascii="Times New Roman"/>
      <w:sz w:val="26"/>
    </w:rPr>
  </w:style>
  <w:style w:type="paragraph" w:styleId="BodyTextIndent2">
    <w:name w:val="Body Text Indent 2"/>
    <w:basedOn w:val="Normal"/>
    <w:semiHidden/>
    <w:pPr>
      <w:tabs>
        <w:tab w:val="num" w:pos="1418"/>
      </w:tabs>
      <w:ind w:left="1134"/>
      <w:jc w:val="both"/>
    </w:pPr>
    <w:rPr>
      <w:rFonts w:ascii="Times New Roman"/>
      <w:sz w:val="24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BodyText">
    <w:name w:val="Body Text"/>
    <w:basedOn w:val="Normal"/>
    <w:semiHidden/>
    <w:pPr>
      <w:tabs>
        <w:tab w:val="left" w:pos="1400"/>
      </w:tabs>
      <w:snapToGrid w:val="0"/>
      <w:spacing w:line="480" w:lineRule="auto"/>
      <w:jc w:val="both"/>
    </w:pPr>
    <w:rPr>
      <w:rFonts w:ascii="Times New Roman"/>
      <w:sz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DCPI 203/2001</vt:lpstr>
    </vt:vector>
  </TitlesOfParts>
  <Company> 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DCPI 203/2001</dc:title>
  <dc:subject/>
  <dc:creator>Roy Yu</dc:creator>
  <cp:keywords/>
  <cp:lastModifiedBy>Adrien Kwong</cp:lastModifiedBy>
  <cp:revision>2</cp:revision>
  <cp:lastPrinted>2004-09-30T02:01:00Z</cp:lastPrinted>
  <dcterms:created xsi:type="dcterms:W3CDTF">2023-10-14T01:11:00Z</dcterms:created>
  <dcterms:modified xsi:type="dcterms:W3CDTF">2023-10-14T01:11:00Z</dcterms:modified>
</cp:coreProperties>
</file>