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0B8" w:rsidRPr="00EB7876" w:rsidRDefault="00F26B60" w:rsidP="00EB7876">
      <w:pPr>
        <w:pStyle w:val="Heading2"/>
        <w:tabs>
          <w:tab w:val="clear" w:pos="4320"/>
          <w:tab w:val="clear" w:pos="9072"/>
        </w:tabs>
        <w:snapToGrid w:val="0"/>
        <w:spacing w:line="360" w:lineRule="auto"/>
        <w:jc w:val="right"/>
        <w:rPr>
          <w:rFonts w:eastAsia="PMingLiU"/>
          <w:sz w:val="28"/>
          <w:szCs w:val="28"/>
        </w:rPr>
      </w:pPr>
      <w:r w:rsidRPr="00EB7876">
        <w:rPr>
          <w:rFonts w:eastAsia="PMingLiU"/>
          <w:b w:val="0"/>
          <w:bCs w:val="0"/>
          <w:sz w:val="28"/>
          <w:szCs w:val="28"/>
        </w:rPr>
        <w:t>DC</w:t>
      </w:r>
      <w:r w:rsidR="00325DC8">
        <w:rPr>
          <w:rFonts w:eastAsia="PMingLiU"/>
          <w:b w:val="0"/>
          <w:bCs w:val="0"/>
          <w:sz w:val="28"/>
          <w:szCs w:val="28"/>
        </w:rPr>
        <w:t>PI</w:t>
      </w:r>
      <w:r w:rsidRPr="00EB7876">
        <w:rPr>
          <w:rFonts w:eastAsia="PMingLiU"/>
          <w:b w:val="0"/>
          <w:bCs w:val="0"/>
          <w:sz w:val="28"/>
          <w:szCs w:val="28"/>
        </w:rPr>
        <w:t xml:space="preserve"> </w:t>
      </w:r>
      <w:r w:rsidR="00325DC8">
        <w:rPr>
          <w:rFonts w:eastAsia="PMingLiU"/>
          <w:b w:val="0"/>
          <w:bCs w:val="0"/>
          <w:sz w:val="28"/>
          <w:szCs w:val="28"/>
        </w:rPr>
        <w:t>1042</w:t>
      </w:r>
      <w:r w:rsidR="005C128A" w:rsidRPr="00EB7876">
        <w:rPr>
          <w:rFonts w:eastAsia="PMingLiU"/>
          <w:b w:val="0"/>
          <w:bCs w:val="0"/>
          <w:sz w:val="28"/>
          <w:szCs w:val="28"/>
        </w:rPr>
        <w:t>/201</w:t>
      </w:r>
      <w:r w:rsidR="004D3B04">
        <w:rPr>
          <w:rFonts w:eastAsia="PMingLiU"/>
          <w:b w:val="0"/>
          <w:bCs w:val="0"/>
          <w:sz w:val="28"/>
          <w:szCs w:val="28"/>
        </w:rPr>
        <w:t>9</w:t>
      </w:r>
    </w:p>
    <w:p w:rsidR="00A463F6" w:rsidRPr="00EB7876" w:rsidRDefault="0030504A" w:rsidP="00EB7876">
      <w:pPr>
        <w:spacing w:line="360" w:lineRule="auto"/>
        <w:jc w:val="right"/>
        <w:rPr>
          <w:rFonts w:eastAsia="PMingLiU"/>
        </w:rPr>
      </w:pPr>
      <w:r w:rsidRPr="0030504A">
        <w:rPr>
          <w:rStyle w:val="PlaceholderText"/>
          <w:rFonts w:eastAsia="PMingLiU"/>
          <w:color w:val="auto"/>
        </w:rPr>
        <w:t>[2021] HKDC 543</w:t>
      </w:r>
      <w:r w:rsidR="004D3B04">
        <w:rPr>
          <w:rStyle w:val="PlaceholderText"/>
          <w:rFonts w:eastAsia="PMingLiU"/>
          <w:color w:val="auto"/>
        </w:rPr>
        <w:t xml:space="preserve"> </w:t>
      </w:r>
    </w:p>
    <w:p w:rsidR="00F26B60" w:rsidRPr="00EB7876" w:rsidRDefault="00F26B60" w:rsidP="00EB7876">
      <w:pPr>
        <w:pStyle w:val="normal3"/>
        <w:tabs>
          <w:tab w:val="clear" w:pos="4320"/>
          <w:tab w:val="clear" w:pos="4500"/>
          <w:tab w:val="clear" w:pos="9000"/>
          <w:tab w:val="clear" w:pos="9072"/>
        </w:tabs>
        <w:overflowPunct/>
        <w:autoSpaceDE/>
        <w:autoSpaceDN/>
        <w:rPr>
          <w:rFonts w:eastAsia="PMingLiU"/>
          <w:lang w:val="en-US"/>
        </w:rPr>
      </w:pPr>
    </w:p>
    <w:p w:rsidR="005E4F81" w:rsidRPr="00EB7876" w:rsidRDefault="005E4F81" w:rsidP="00EB7876">
      <w:pPr>
        <w:pStyle w:val="normal3"/>
        <w:tabs>
          <w:tab w:val="clear" w:pos="4320"/>
          <w:tab w:val="clear" w:pos="4500"/>
          <w:tab w:val="clear" w:pos="9000"/>
          <w:tab w:val="clear" w:pos="9072"/>
        </w:tabs>
        <w:overflowPunct/>
        <w:autoSpaceDE/>
        <w:autoSpaceDN/>
        <w:rPr>
          <w:rFonts w:eastAsia="PMingLiU"/>
          <w:lang w:val="en-US"/>
        </w:rPr>
        <w:sectPr w:rsidR="005E4F81" w:rsidRPr="00EB7876"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EB7876" w:rsidRDefault="00F26B60" w:rsidP="00EB7876">
      <w:pPr>
        <w:tabs>
          <w:tab w:val="clear" w:pos="4320"/>
          <w:tab w:val="clear" w:pos="9072"/>
        </w:tabs>
        <w:spacing w:line="360" w:lineRule="auto"/>
        <w:jc w:val="center"/>
        <w:rPr>
          <w:rFonts w:eastAsia="PMingLiU"/>
          <w:b/>
        </w:rPr>
      </w:pPr>
      <w:r w:rsidRPr="00EB7876">
        <w:rPr>
          <w:rFonts w:eastAsia="PMingLiU"/>
          <w:b/>
        </w:rPr>
        <w:t>IN THE DISTRICT COURT OF THE</w:t>
      </w:r>
    </w:p>
    <w:p w:rsidR="00F26B60" w:rsidRPr="00EB7876" w:rsidRDefault="00F26B60" w:rsidP="00EB7876">
      <w:pPr>
        <w:pStyle w:val="Heading1"/>
        <w:snapToGrid w:val="0"/>
        <w:spacing w:before="0" w:after="0" w:line="360" w:lineRule="auto"/>
        <w:jc w:val="center"/>
        <w:rPr>
          <w:rFonts w:ascii="Times New Roman" w:eastAsia="PMingLiU" w:hAnsi="Times New Roman"/>
        </w:rPr>
      </w:pPr>
      <w:r w:rsidRPr="00EB7876">
        <w:rPr>
          <w:rFonts w:ascii="Times New Roman" w:eastAsia="PMingLiU" w:hAnsi="Times New Roman"/>
        </w:rPr>
        <w:t>HONG KONG SPECIAL ADMINISTRATIVE REGION</w:t>
      </w:r>
    </w:p>
    <w:p w:rsidR="00F26B60" w:rsidRPr="00EB7876" w:rsidRDefault="00325DC8" w:rsidP="00EB7876">
      <w:pPr>
        <w:tabs>
          <w:tab w:val="clear" w:pos="4320"/>
          <w:tab w:val="clear" w:pos="9072"/>
        </w:tabs>
        <w:spacing w:line="360" w:lineRule="auto"/>
        <w:jc w:val="center"/>
        <w:rPr>
          <w:rFonts w:eastAsia="PMingLiU"/>
        </w:rPr>
      </w:pPr>
      <w:r>
        <w:rPr>
          <w:rFonts w:eastAsia="PMingLiU"/>
        </w:rPr>
        <w:t xml:space="preserve">PERSONAL INJURIES </w:t>
      </w:r>
      <w:r w:rsidR="004D3B04">
        <w:rPr>
          <w:rFonts w:eastAsia="PMingLiU"/>
        </w:rPr>
        <w:t>ACTION</w:t>
      </w:r>
      <w:r w:rsidR="00A364E5" w:rsidRPr="00EB7876">
        <w:rPr>
          <w:rFonts w:eastAsia="PMingLiU"/>
        </w:rPr>
        <w:t xml:space="preserve"> NO</w:t>
      </w:r>
      <w:r w:rsidR="004D3B04">
        <w:rPr>
          <w:rFonts w:eastAsia="PMingLiU"/>
        </w:rPr>
        <w:t>.</w:t>
      </w:r>
      <w:r w:rsidR="00A364E5" w:rsidRPr="00EB7876">
        <w:rPr>
          <w:rFonts w:eastAsia="PMingLiU"/>
        </w:rPr>
        <w:t xml:space="preserve"> </w:t>
      </w:r>
      <w:r>
        <w:rPr>
          <w:rFonts w:eastAsia="PMingLiU"/>
        </w:rPr>
        <w:t>1042</w:t>
      </w:r>
      <w:r w:rsidR="00F26B60" w:rsidRPr="00EB7876">
        <w:rPr>
          <w:rFonts w:eastAsia="PMingLiU"/>
        </w:rPr>
        <w:t xml:space="preserve"> OF 20</w:t>
      </w:r>
      <w:r w:rsidR="005E4F81" w:rsidRPr="00EB7876">
        <w:rPr>
          <w:rFonts w:eastAsia="PMingLiU"/>
        </w:rPr>
        <w:t>1</w:t>
      </w:r>
      <w:r w:rsidR="004D3B04">
        <w:rPr>
          <w:rFonts w:eastAsia="PMingLiU"/>
          <w:lang w:eastAsia="zh-TW"/>
        </w:rPr>
        <w:t>9</w:t>
      </w:r>
    </w:p>
    <w:p w:rsidR="00804802" w:rsidRPr="00EB7876" w:rsidRDefault="00804802" w:rsidP="00EB7876">
      <w:pPr>
        <w:tabs>
          <w:tab w:val="clear" w:pos="1440"/>
          <w:tab w:val="clear" w:pos="4320"/>
          <w:tab w:val="clear" w:pos="9072"/>
        </w:tabs>
        <w:spacing w:line="360" w:lineRule="auto"/>
        <w:ind w:left="4140"/>
        <w:jc w:val="both"/>
        <w:rPr>
          <w:rFonts w:eastAsia="PMingLiU"/>
        </w:rPr>
      </w:pPr>
    </w:p>
    <w:p w:rsidR="00F26626" w:rsidRPr="00EB7876" w:rsidRDefault="00F26626" w:rsidP="00EB7876">
      <w:pPr>
        <w:tabs>
          <w:tab w:val="clear" w:pos="4320"/>
          <w:tab w:val="clear" w:pos="9072"/>
        </w:tabs>
        <w:spacing w:line="360" w:lineRule="auto"/>
        <w:jc w:val="center"/>
        <w:rPr>
          <w:rFonts w:eastAsia="PMingLiU"/>
        </w:rPr>
      </w:pPr>
      <w:r w:rsidRPr="00EB7876">
        <w:rPr>
          <w:rFonts w:eastAsia="PMingLiU"/>
        </w:rPr>
        <w:t>-------------------------</w:t>
      </w:r>
      <w:r w:rsidR="00257912" w:rsidRPr="00EB7876">
        <w:rPr>
          <w:rFonts w:eastAsia="PMingLiU"/>
        </w:rPr>
        <w:t>-</w:t>
      </w:r>
    </w:p>
    <w:p w:rsidR="004942AE" w:rsidRPr="00EB7876" w:rsidRDefault="004942AE" w:rsidP="008201D8">
      <w:pPr>
        <w:spacing w:line="360" w:lineRule="auto"/>
        <w:rPr>
          <w:rFonts w:eastAsia="PMingLiU"/>
          <w:bCs/>
          <w:lang w:val="en-GB"/>
        </w:rPr>
      </w:pPr>
      <w:r w:rsidRPr="00EB7876">
        <w:rPr>
          <w:rFonts w:eastAsia="PMingLiU"/>
          <w:bCs/>
          <w:lang w:val="en-GB"/>
        </w:rPr>
        <w:t>BETWEEN</w:t>
      </w:r>
    </w:p>
    <w:p w:rsidR="004942AE" w:rsidRPr="00EB7876" w:rsidRDefault="00A364E5" w:rsidP="002368DA">
      <w:pPr>
        <w:tabs>
          <w:tab w:val="clear" w:pos="9072"/>
          <w:tab w:val="right" w:pos="8280"/>
        </w:tabs>
        <w:spacing w:line="360" w:lineRule="auto"/>
        <w:rPr>
          <w:rFonts w:eastAsia="PMingLiU"/>
        </w:rPr>
      </w:pPr>
      <w:r w:rsidRPr="00EB7876">
        <w:rPr>
          <w:rFonts w:eastAsia="PMingLiU"/>
        </w:rPr>
        <w:tab/>
      </w:r>
      <w:r w:rsidR="00325DC8">
        <w:rPr>
          <w:rFonts w:eastAsia="PMingLiU"/>
        </w:rPr>
        <w:tab/>
        <w:t>TANG SIU TUNG</w:t>
      </w:r>
      <w:r w:rsidR="00325DC8">
        <w:rPr>
          <w:rFonts w:eastAsia="PMingLiU"/>
        </w:rPr>
        <w:tab/>
      </w:r>
      <w:r w:rsidR="004D3B04">
        <w:rPr>
          <w:rFonts w:eastAsia="PMingLiU"/>
        </w:rPr>
        <w:t>Plaintiff</w:t>
      </w:r>
    </w:p>
    <w:p w:rsidR="004942AE" w:rsidRPr="00EB7876" w:rsidRDefault="00325DC8" w:rsidP="00325DC8">
      <w:pPr>
        <w:tabs>
          <w:tab w:val="clear" w:pos="9072"/>
          <w:tab w:val="right" w:pos="8280"/>
        </w:tabs>
        <w:spacing w:line="360" w:lineRule="auto"/>
        <w:rPr>
          <w:rFonts w:eastAsia="PMingLiU"/>
          <w:bCs/>
          <w:lang w:val="en-GB"/>
        </w:rPr>
      </w:pPr>
      <w:r>
        <w:rPr>
          <w:rFonts w:eastAsia="PMingLiU"/>
          <w:bCs/>
          <w:lang w:val="en-GB"/>
        </w:rPr>
        <w:tab/>
      </w:r>
      <w:r>
        <w:rPr>
          <w:rFonts w:eastAsia="PMingLiU"/>
          <w:bCs/>
          <w:lang w:val="en-GB"/>
        </w:rPr>
        <w:tab/>
      </w:r>
      <w:r w:rsidR="004942AE" w:rsidRPr="00EB7876">
        <w:rPr>
          <w:rFonts w:eastAsia="PMingLiU"/>
          <w:bCs/>
          <w:lang w:val="en-GB"/>
        </w:rPr>
        <w:t>and</w:t>
      </w:r>
    </w:p>
    <w:p w:rsidR="00325DC8" w:rsidRDefault="00325DC8" w:rsidP="002368DA">
      <w:pPr>
        <w:tabs>
          <w:tab w:val="clear" w:pos="9072"/>
          <w:tab w:val="right" w:pos="8280"/>
        </w:tabs>
        <w:ind w:left="1440"/>
        <w:rPr>
          <w:rFonts w:eastAsia="PMingLiU"/>
          <w:bCs/>
          <w:lang w:val="en-GB"/>
        </w:rPr>
      </w:pPr>
      <w:r>
        <w:rPr>
          <w:rFonts w:eastAsia="PMingLiU"/>
          <w:bCs/>
          <w:lang w:val="en-GB"/>
        </w:rPr>
        <w:t>SUNBASE INTERNATIONAL PROPERTIES</w:t>
      </w:r>
      <w:r w:rsidR="004942AE" w:rsidRPr="00EB7876">
        <w:rPr>
          <w:rFonts w:eastAsia="PMingLiU"/>
          <w:bCs/>
          <w:lang w:val="en-GB"/>
        </w:rPr>
        <w:tab/>
      </w:r>
    </w:p>
    <w:p w:rsidR="00141BB5" w:rsidRPr="00EB7876" w:rsidRDefault="00325DC8" w:rsidP="002368DA">
      <w:pPr>
        <w:tabs>
          <w:tab w:val="clear" w:pos="9072"/>
          <w:tab w:val="right" w:pos="8280"/>
        </w:tabs>
        <w:ind w:left="1440"/>
        <w:rPr>
          <w:rFonts w:eastAsia="PMingLiU"/>
          <w:bCs/>
          <w:lang w:val="en-GB"/>
        </w:rPr>
      </w:pPr>
      <w:r>
        <w:rPr>
          <w:rFonts w:eastAsia="PMingLiU"/>
          <w:bCs/>
          <w:lang w:val="en-GB"/>
        </w:rPr>
        <w:tab/>
        <w:t>MANAGEMENT LIMITED</w:t>
      </w:r>
      <w:r>
        <w:rPr>
          <w:rFonts w:eastAsia="PMingLiU"/>
          <w:bCs/>
          <w:lang w:val="en-GB"/>
        </w:rPr>
        <w:tab/>
      </w:r>
      <w:r w:rsidR="004D3B04">
        <w:rPr>
          <w:rFonts w:eastAsia="PMingLiU"/>
          <w:bCs/>
          <w:lang w:val="en-GB"/>
        </w:rPr>
        <w:t>Defen</w:t>
      </w:r>
      <w:r w:rsidR="004942AE" w:rsidRPr="00EB7876">
        <w:rPr>
          <w:rFonts w:eastAsia="PMingLiU"/>
          <w:bCs/>
          <w:lang w:val="en-GB"/>
        </w:rPr>
        <w:t>d</w:t>
      </w:r>
      <w:r w:rsidR="004D3B04">
        <w:rPr>
          <w:rFonts w:eastAsia="PMingLiU"/>
          <w:bCs/>
          <w:lang w:val="en-GB"/>
        </w:rPr>
        <w:t>a</w:t>
      </w:r>
      <w:r w:rsidR="004942AE" w:rsidRPr="00EB7876">
        <w:rPr>
          <w:rFonts w:eastAsia="PMingLiU"/>
          <w:bCs/>
          <w:lang w:val="en-GB"/>
        </w:rPr>
        <w:t>nt</w:t>
      </w:r>
    </w:p>
    <w:p w:rsidR="00CF5870" w:rsidRDefault="00CF5870" w:rsidP="002368DA">
      <w:pPr>
        <w:tabs>
          <w:tab w:val="clear" w:pos="9072"/>
          <w:tab w:val="right" w:pos="8280"/>
        </w:tabs>
        <w:ind w:left="1440"/>
        <w:rPr>
          <w:bCs/>
          <w:szCs w:val="24"/>
          <w:lang w:val="en-GB"/>
        </w:rPr>
      </w:pPr>
    </w:p>
    <w:p w:rsidR="005E4F81" w:rsidRPr="00EB7876" w:rsidRDefault="005E4F81" w:rsidP="008201D8">
      <w:pPr>
        <w:tabs>
          <w:tab w:val="clear" w:pos="1440"/>
          <w:tab w:val="clear" w:pos="4320"/>
          <w:tab w:val="clear" w:pos="9072"/>
          <w:tab w:val="center" w:pos="4140"/>
          <w:tab w:val="right" w:pos="8280"/>
        </w:tabs>
        <w:spacing w:line="360" w:lineRule="auto"/>
        <w:jc w:val="center"/>
        <w:rPr>
          <w:rFonts w:eastAsia="PMingLiU"/>
        </w:rPr>
      </w:pPr>
      <w:r w:rsidRPr="00EB7876">
        <w:rPr>
          <w:rFonts w:eastAsia="PMingLiU"/>
        </w:rPr>
        <w:t>-------------------------</w:t>
      </w:r>
    </w:p>
    <w:p w:rsidR="00CF5870" w:rsidRPr="00CF5870" w:rsidRDefault="00CF5870" w:rsidP="008201D8">
      <w:pPr>
        <w:spacing w:line="360" w:lineRule="auto"/>
        <w:jc w:val="both"/>
        <w:rPr>
          <w:rFonts w:eastAsia="PMingLiU"/>
        </w:rPr>
      </w:pPr>
    </w:p>
    <w:p w:rsidR="00CF5870" w:rsidRPr="00CF5870" w:rsidRDefault="005065A5" w:rsidP="008201D8">
      <w:pPr>
        <w:spacing w:line="360" w:lineRule="auto"/>
        <w:jc w:val="both"/>
        <w:rPr>
          <w:rFonts w:eastAsia="PMingLiU"/>
        </w:rPr>
      </w:pPr>
      <w:r>
        <w:rPr>
          <w:rFonts w:eastAsia="PMingLiU"/>
        </w:rPr>
        <w:t>Coram</w:t>
      </w:r>
      <w:r w:rsidR="00CF5870" w:rsidRPr="00CF5870">
        <w:rPr>
          <w:rFonts w:eastAsia="PMingLiU"/>
        </w:rPr>
        <w:t>:</w:t>
      </w:r>
      <w:r w:rsidR="008201D8">
        <w:rPr>
          <w:rFonts w:eastAsia="PMingLiU"/>
        </w:rPr>
        <w:t xml:space="preserve">  </w:t>
      </w:r>
      <w:r w:rsidR="00CF5870" w:rsidRPr="00CF5870">
        <w:rPr>
          <w:rFonts w:eastAsia="PMingLiU"/>
        </w:rPr>
        <w:t>His Honour Judge H</w:t>
      </w:r>
      <w:r w:rsidR="00553904">
        <w:rPr>
          <w:rFonts w:eastAsia="PMingLiU"/>
        </w:rPr>
        <w:t>.</w:t>
      </w:r>
      <w:r w:rsidR="00DF2BD4">
        <w:rPr>
          <w:rFonts w:eastAsia="PMingLiU"/>
        </w:rPr>
        <w:t xml:space="preserve"> Au-Yeung in Court</w:t>
      </w:r>
    </w:p>
    <w:p w:rsidR="00CF5870" w:rsidRDefault="00CF5870" w:rsidP="008201D8">
      <w:pPr>
        <w:spacing w:line="360" w:lineRule="auto"/>
        <w:jc w:val="both"/>
        <w:rPr>
          <w:rFonts w:eastAsia="PMingLiU"/>
        </w:rPr>
      </w:pPr>
      <w:r w:rsidRPr="00CF5870">
        <w:rPr>
          <w:rFonts w:eastAsia="PMingLiU"/>
        </w:rPr>
        <w:t>Date</w:t>
      </w:r>
      <w:r w:rsidR="008201D8">
        <w:rPr>
          <w:rFonts w:eastAsia="PMingLiU"/>
        </w:rPr>
        <w:t>s</w:t>
      </w:r>
      <w:r w:rsidRPr="00CF5870">
        <w:rPr>
          <w:rFonts w:eastAsia="PMingLiU" w:hint="eastAsia"/>
        </w:rPr>
        <w:t xml:space="preserve"> of </w:t>
      </w:r>
      <w:r w:rsidR="00325DC8">
        <w:rPr>
          <w:rFonts w:eastAsia="PMingLiU"/>
        </w:rPr>
        <w:t>Hearing</w:t>
      </w:r>
      <w:r w:rsidRPr="00CF5870">
        <w:rPr>
          <w:rFonts w:eastAsia="PMingLiU"/>
        </w:rPr>
        <w:t xml:space="preserve">: </w:t>
      </w:r>
      <w:r w:rsidR="008201D8">
        <w:rPr>
          <w:rFonts w:eastAsia="PMingLiU"/>
        </w:rPr>
        <w:t xml:space="preserve"> </w:t>
      </w:r>
      <w:r w:rsidR="00325DC8">
        <w:rPr>
          <w:rFonts w:eastAsia="PMingLiU"/>
        </w:rPr>
        <w:t>12 March</w:t>
      </w:r>
      <w:r w:rsidR="005065A5">
        <w:rPr>
          <w:rFonts w:eastAsia="PMingLiU"/>
        </w:rPr>
        <w:t xml:space="preserve"> 2021</w:t>
      </w:r>
      <w:r w:rsidR="00325DC8">
        <w:rPr>
          <w:rFonts w:eastAsia="PMingLiU"/>
        </w:rPr>
        <w:t xml:space="preserve"> and 7 April</w:t>
      </w:r>
      <w:r w:rsidR="00534F20">
        <w:rPr>
          <w:rFonts w:eastAsia="PMingLiU"/>
        </w:rPr>
        <w:t xml:space="preserve"> 2021</w:t>
      </w:r>
    </w:p>
    <w:p w:rsidR="004A0ABA" w:rsidRDefault="004A0ABA" w:rsidP="008201D8">
      <w:pPr>
        <w:spacing w:line="360" w:lineRule="auto"/>
        <w:jc w:val="both"/>
        <w:rPr>
          <w:rFonts w:eastAsia="PMingLiU"/>
        </w:rPr>
      </w:pPr>
      <w:r>
        <w:rPr>
          <w:rFonts w:eastAsia="PMingLiU"/>
        </w:rPr>
        <w:t xml:space="preserve">Plaintiff’s further written final submissions: </w:t>
      </w:r>
      <w:r w:rsidR="00BD09B8">
        <w:rPr>
          <w:rFonts w:eastAsia="PMingLiU"/>
        </w:rPr>
        <w:t>23 April 2021</w:t>
      </w:r>
    </w:p>
    <w:p w:rsidR="004A0ABA" w:rsidRPr="00CF5870" w:rsidRDefault="004A0ABA" w:rsidP="008201D8">
      <w:pPr>
        <w:spacing w:line="360" w:lineRule="auto"/>
        <w:jc w:val="both"/>
        <w:rPr>
          <w:rFonts w:eastAsia="PMingLiU"/>
        </w:rPr>
      </w:pPr>
      <w:r>
        <w:rPr>
          <w:rFonts w:eastAsia="PMingLiU"/>
        </w:rPr>
        <w:t>Defendant’s written submissions on law:</w:t>
      </w:r>
      <w:r w:rsidR="009E524F">
        <w:rPr>
          <w:rFonts w:eastAsia="PMingLiU"/>
        </w:rPr>
        <w:t xml:space="preserve"> 28 April 2021</w:t>
      </w:r>
    </w:p>
    <w:p w:rsidR="00CF5870" w:rsidRPr="00CF5870" w:rsidRDefault="00CF5870" w:rsidP="008201D8">
      <w:pPr>
        <w:spacing w:line="360" w:lineRule="auto"/>
        <w:jc w:val="both"/>
        <w:rPr>
          <w:rFonts w:eastAsia="PMingLiU"/>
        </w:rPr>
      </w:pPr>
      <w:r w:rsidRPr="00CF5870">
        <w:rPr>
          <w:rFonts w:eastAsia="PMingLiU"/>
        </w:rPr>
        <w:t>Date</w:t>
      </w:r>
      <w:r w:rsidRPr="00CF5870">
        <w:rPr>
          <w:rFonts w:eastAsia="PMingLiU" w:hint="eastAsia"/>
        </w:rPr>
        <w:t xml:space="preserve"> of</w:t>
      </w:r>
      <w:r w:rsidRPr="00CF5870">
        <w:rPr>
          <w:rFonts w:eastAsia="PMingLiU"/>
        </w:rPr>
        <w:t xml:space="preserve"> Judgment:</w:t>
      </w:r>
      <w:r w:rsidR="008201D8">
        <w:rPr>
          <w:rFonts w:eastAsia="PMingLiU"/>
        </w:rPr>
        <w:t xml:space="preserve"> </w:t>
      </w:r>
      <w:r w:rsidR="003A7B7C">
        <w:rPr>
          <w:rFonts w:eastAsia="PMingLiU"/>
        </w:rPr>
        <w:t>7</w:t>
      </w:r>
      <w:r w:rsidR="008201D8">
        <w:rPr>
          <w:rFonts w:eastAsia="PMingLiU"/>
        </w:rPr>
        <w:t xml:space="preserve"> </w:t>
      </w:r>
      <w:r w:rsidR="00793EF1">
        <w:rPr>
          <w:rFonts w:eastAsia="PMingLiU"/>
        </w:rPr>
        <w:t>May</w:t>
      </w:r>
      <w:r w:rsidR="005A3DFC">
        <w:rPr>
          <w:rFonts w:eastAsia="PMingLiU"/>
        </w:rPr>
        <w:t xml:space="preserve"> 2021</w:t>
      </w:r>
    </w:p>
    <w:p w:rsidR="00A14B3D" w:rsidRPr="00EB7876" w:rsidRDefault="00A14B3D" w:rsidP="00EB7876">
      <w:pPr>
        <w:spacing w:line="360" w:lineRule="auto"/>
        <w:rPr>
          <w:rFonts w:eastAsia="PMingLiU"/>
          <w:lang w:val="en-GB"/>
        </w:rPr>
      </w:pP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5C128A" w:rsidRPr="00EB7876" w:rsidRDefault="00325DC8" w:rsidP="00EB7876">
      <w:pPr>
        <w:tabs>
          <w:tab w:val="clear" w:pos="1440"/>
          <w:tab w:val="clear" w:pos="4320"/>
          <w:tab w:val="clear" w:pos="9072"/>
        </w:tabs>
        <w:spacing w:line="360" w:lineRule="auto"/>
        <w:jc w:val="center"/>
        <w:rPr>
          <w:rFonts w:eastAsia="PMingLiU"/>
          <w:bCs/>
          <w:lang w:val="en-GB"/>
        </w:rPr>
      </w:pPr>
      <w:r>
        <w:rPr>
          <w:rFonts w:eastAsia="PMingLiU"/>
          <w:bCs/>
          <w:lang w:val="en-GB"/>
        </w:rPr>
        <w:t>JUDGMENT</w:t>
      </w:r>
    </w:p>
    <w:p w:rsidR="005C128A" w:rsidRPr="00EB7876" w:rsidRDefault="005C128A" w:rsidP="00EB7876">
      <w:pPr>
        <w:tabs>
          <w:tab w:val="clear" w:pos="1440"/>
          <w:tab w:val="clear" w:pos="4320"/>
          <w:tab w:val="clear" w:pos="9072"/>
        </w:tabs>
        <w:spacing w:line="360" w:lineRule="auto"/>
        <w:jc w:val="center"/>
        <w:rPr>
          <w:rFonts w:eastAsia="PMingLiU"/>
          <w:bCs/>
          <w:lang w:val="en-GB"/>
        </w:rPr>
      </w:pPr>
      <w:r w:rsidRPr="00EB7876">
        <w:rPr>
          <w:rFonts w:eastAsia="PMingLiU"/>
          <w:bCs/>
          <w:lang w:val="en-GB"/>
        </w:rPr>
        <w:t>--------------------------</w:t>
      </w:r>
    </w:p>
    <w:p w:rsidR="008201D8" w:rsidRDefault="008201D8" w:rsidP="008201D8">
      <w:pPr>
        <w:tabs>
          <w:tab w:val="clear" w:pos="1440"/>
          <w:tab w:val="clear" w:pos="4320"/>
          <w:tab w:val="clear" w:pos="9072"/>
        </w:tabs>
        <w:snapToGrid/>
        <w:spacing w:line="360" w:lineRule="auto"/>
        <w:rPr>
          <w:bCs/>
          <w:i/>
          <w:lang w:val="en-GB"/>
        </w:rPr>
      </w:pPr>
    </w:p>
    <w:p w:rsidR="008201D8" w:rsidRDefault="008201D8" w:rsidP="001E49C2">
      <w:pPr>
        <w:keepNext/>
        <w:keepLines/>
        <w:widowControl w:val="0"/>
        <w:tabs>
          <w:tab w:val="clear" w:pos="1440"/>
          <w:tab w:val="clear" w:pos="4320"/>
          <w:tab w:val="clear" w:pos="9072"/>
        </w:tabs>
        <w:snapToGrid/>
        <w:spacing w:line="360" w:lineRule="auto"/>
        <w:rPr>
          <w:bCs/>
          <w:i/>
          <w:lang w:val="en-GB"/>
        </w:rPr>
      </w:pPr>
      <w:r w:rsidRPr="008201D8">
        <w:rPr>
          <w:bCs/>
          <w:i/>
          <w:lang w:val="en-GB"/>
        </w:rPr>
        <w:lastRenderedPageBreak/>
        <w:t>BACKGROUND</w:t>
      </w:r>
    </w:p>
    <w:p w:rsidR="008201D8" w:rsidRPr="008201D8" w:rsidRDefault="008201D8" w:rsidP="001E49C2">
      <w:pPr>
        <w:keepNext/>
        <w:keepLines/>
        <w:widowControl w:val="0"/>
        <w:tabs>
          <w:tab w:val="clear" w:pos="1440"/>
          <w:tab w:val="clear" w:pos="4320"/>
          <w:tab w:val="clear" w:pos="9072"/>
        </w:tabs>
        <w:snapToGrid/>
        <w:spacing w:line="360" w:lineRule="auto"/>
        <w:rPr>
          <w:bCs/>
          <w:i/>
          <w:lang w:val="en-GB"/>
        </w:rPr>
      </w:pPr>
    </w:p>
    <w:p w:rsidR="008201D8" w:rsidRPr="008201D8" w:rsidRDefault="0039718E" w:rsidP="001E49C2">
      <w:pPr>
        <w:numPr>
          <w:ilvl w:val="0"/>
          <w:numId w:val="2"/>
        </w:numPr>
        <w:tabs>
          <w:tab w:val="clear" w:pos="360"/>
          <w:tab w:val="clear" w:pos="4320"/>
          <w:tab w:val="clear" w:pos="9072"/>
        </w:tabs>
        <w:spacing w:line="360" w:lineRule="auto"/>
        <w:jc w:val="both"/>
        <w:rPr>
          <w:bCs/>
          <w:lang w:val="en-GB"/>
        </w:rPr>
      </w:pPr>
      <w:r>
        <w:t>This is the trial for assessment of damages in respect of the plaintiff’s claim herein arising from an accident which happened on 8 October 2015 (</w:t>
      </w:r>
      <w:r w:rsidRPr="0039718E">
        <w:rPr>
          <w:b/>
        </w:rPr>
        <w:t>“the Accident”</w:t>
      </w:r>
      <w:r>
        <w:t xml:space="preserve">). </w:t>
      </w:r>
      <w:r w:rsidR="005065A5">
        <w:t xml:space="preserve"> </w:t>
      </w:r>
      <w:r>
        <w:t>The Writ of Summon was issued on 24 September 2018 and Interlocutory Judgment was entered by consent against the defendant on 1 November 2018</w:t>
      </w:r>
      <w:r w:rsidR="008201D8" w:rsidRPr="008201D8">
        <w:rPr>
          <w:bCs/>
          <w:lang w:val="en-GB"/>
        </w:rPr>
        <w:t xml:space="preserve">.  </w:t>
      </w:r>
    </w:p>
    <w:p w:rsidR="008201D8" w:rsidRPr="008201D8" w:rsidRDefault="008201D8" w:rsidP="001E49C2">
      <w:pPr>
        <w:tabs>
          <w:tab w:val="clear" w:pos="1440"/>
          <w:tab w:val="clear" w:pos="4320"/>
          <w:tab w:val="clear" w:pos="9072"/>
          <w:tab w:val="left" w:pos="1418"/>
        </w:tabs>
        <w:snapToGrid/>
        <w:spacing w:line="360" w:lineRule="auto"/>
        <w:jc w:val="both"/>
        <w:rPr>
          <w:bCs/>
          <w:lang w:val="en-GB"/>
        </w:rPr>
      </w:pPr>
    </w:p>
    <w:p w:rsidR="008201D8" w:rsidRPr="008201D8" w:rsidRDefault="0039718E" w:rsidP="001E49C2">
      <w:pPr>
        <w:tabs>
          <w:tab w:val="clear" w:pos="4320"/>
          <w:tab w:val="clear" w:pos="9072"/>
        </w:tabs>
        <w:spacing w:line="360" w:lineRule="auto"/>
        <w:jc w:val="both"/>
        <w:rPr>
          <w:bCs/>
          <w:lang w:val="en-GB"/>
        </w:rPr>
      </w:pPr>
      <w:r w:rsidRPr="0039718E">
        <w:rPr>
          <w:bCs/>
          <w:i/>
          <w:lang w:val="en-GB"/>
        </w:rPr>
        <w:t>THE ACCIDENT</w:t>
      </w:r>
    </w:p>
    <w:p w:rsidR="008201D8" w:rsidRPr="008201D8" w:rsidRDefault="008201D8" w:rsidP="001E49C2">
      <w:pPr>
        <w:tabs>
          <w:tab w:val="clear" w:pos="1440"/>
          <w:tab w:val="clear" w:pos="4320"/>
          <w:tab w:val="clear" w:pos="9072"/>
          <w:tab w:val="left" w:pos="1418"/>
        </w:tabs>
        <w:snapToGrid/>
        <w:spacing w:line="360" w:lineRule="auto"/>
        <w:jc w:val="both"/>
        <w:rPr>
          <w:bCs/>
          <w:lang w:val="en-GB"/>
        </w:rPr>
      </w:pPr>
    </w:p>
    <w:p w:rsidR="000E490F" w:rsidRDefault="0039718E" w:rsidP="001E49C2">
      <w:pPr>
        <w:numPr>
          <w:ilvl w:val="0"/>
          <w:numId w:val="2"/>
        </w:numPr>
        <w:tabs>
          <w:tab w:val="clear" w:pos="360"/>
          <w:tab w:val="clear" w:pos="4320"/>
          <w:tab w:val="clear" w:pos="9072"/>
        </w:tabs>
        <w:spacing w:line="360" w:lineRule="auto"/>
        <w:jc w:val="both"/>
        <w:rPr>
          <w:bCs/>
          <w:lang w:val="en-GB"/>
        </w:rPr>
      </w:pPr>
      <w:r>
        <w:rPr>
          <w:bCs/>
          <w:lang w:val="en-GB"/>
        </w:rPr>
        <w:t xml:space="preserve">It is undisputed that, at the material time, the </w:t>
      </w:r>
      <w:r w:rsidR="00843881">
        <w:rPr>
          <w:bCs/>
          <w:lang w:val="en-GB"/>
        </w:rPr>
        <w:t>plaintiff</w:t>
      </w:r>
      <w:r>
        <w:rPr>
          <w:bCs/>
          <w:lang w:val="en-GB"/>
        </w:rPr>
        <w:t xml:space="preserve"> </w:t>
      </w:r>
      <w:r w:rsidR="00C31A92">
        <w:rPr>
          <w:bCs/>
          <w:lang w:val="en-GB"/>
        </w:rPr>
        <w:t xml:space="preserve">(who was nearly 27 years old) </w:t>
      </w:r>
      <w:r w:rsidR="00087A18">
        <w:rPr>
          <w:bCs/>
          <w:lang w:val="en-GB"/>
        </w:rPr>
        <w:t>worked as a</w:t>
      </w:r>
      <w:r>
        <w:rPr>
          <w:bCs/>
          <w:lang w:val="en-GB"/>
        </w:rPr>
        <w:t xml:space="preserve"> technician for the defendant</w:t>
      </w:r>
      <w:r w:rsidR="008201D8" w:rsidRPr="008201D8">
        <w:rPr>
          <w:bCs/>
          <w:lang w:val="en-GB"/>
        </w:rPr>
        <w:t>.</w:t>
      </w:r>
      <w:r>
        <w:rPr>
          <w:bCs/>
          <w:lang w:val="en-GB"/>
        </w:rPr>
        <w:t xml:space="preserve">  </w:t>
      </w:r>
      <w:r w:rsidR="00087A18">
        <w:rPr>
          <w:bCs/>
          <w:lang w:val="en-GB"/>
        </w:rPr>
        <w:t>He was working on a</w:t>
      </w:r>
      <w:r w:rsidR="00CA0863">
        <w:rPr>
          <w:bCs/>
          <w:lang w:val="en-GB"/>
        </w:rPr>
        <w:t>n A-</w:t>
      </w:r>
      <w:r w:rsidR="00087A18">
        <w:rPr>
          <w:bCs/>
          <w:lang w:val="en-GB"/>
        </w:rPr>
        <w:t xml:space="preserve">ladder when </w:t>
      </w:r>
      <w:r w:rsidR="008F3EA1">
        <w:rPr>
          <w:bCs/>
          <w:lang w:val="en-GB"/>
        </w:rPr>
        <w:t>it</w:t>
      </w:r>
      <w:r w:rsidR="00087A18">
        <w:rPr>
          <w:bCs/>
          <w:lang w:val="en-GB"/>
        </w:rPr>
        <w:t xml:space="preserve"> suddenly collapsed, causing </w:t>
      </w:r>
      <w:r w:rsidR="005065A5">
        <w:rPr>
          <w:bCs/>
          <w:lang w:val="en-GB"/>
        </w:rPr>
        <w:t>him</w:t>
      </w:r>
      <w:r w:rsidR="00087A18">
        <w:rPr>
          <w:bCs/>
          <w:lang w:val="en-GB"/>
        </w:rPr>
        <w:t xml:space="preserve"> to lose balance and fall </w:t>
      </w:r>
      <w:r w:rsidR="006C2033">
        <w:rPr>
          <w:bCs/>
          <w:lang w:val="en-GB"/>
        </w:rPr>
        <w:t xml:space="preserve">from the height of around 1.7 metre </w:t>
      </w:r>
      <w:r w:rsidR="00087A18">
        <w:rPr>
          <w:bCs/>
          <w:lang w:val="en-GB"/>
        </w:rPr>
        <w:t>to the ground.  As a result, the plaintiff suffered personal injuries.</w:t>
      </w:r>
    </w:p>
    <w:p w:rsidR="00087A18" w:rsidRDefault="00087A18" w:rsidP="001E49C2">
      <w:pPr>
        <w:tabs>
          <w:tab w:val="clear" w:pos="4320"/>
          <w:tab w:val="clear" w:pos="9072"/>
        </w:tabs>
        <w:spacing w:line="360" w:lineRule="auto"/>
        <w:jc w:val="both"/>
        <w:rPr>
          <w:bCs/>
          <w:lang w:val="en-GB"/>
        </w:rPr>
      </w:pPr>
    </w:p>
    <w:p w:rsidR="00087A18" w:rsidRPr="00087A18" w:rsidRDefault="00087A18" w:rsidP="001E49C2">
      <w:pPr>
        <w:tabs>
          <w:tab w:val="clear" w:pos="4320"/>
          <w:tab w:val="clear" w:pos="9072"/>
        </w:tabs>
        <w:spacing w:line="360" w:lineRule="auto"/>
        <w:jc w:val="both"/>
        <w:rPr>
          <w:bCs/>
          <w:i/>
          <w:lang w:val="en-GB"/>
        </w:rPr>
      </w:pPr>
      <w:r w:rsidRPr="00087A18">
        <w:rPr>
          <w:bCs/>
          <w:i/>
          <w:lang w:val="en-GB"/>
        </w:rPr>
        <w:t>INJURIES AND TREATMENT</w:t>
      </w:r>
    </w:p>
    <w:p w:rsidR="00087A18" w:rsidRPr="008201D8" w:rsidRDefault="00087A18" w:rsidP="001E49C2">
      <w:pPr>
        <w:tabs>
          <w:tab w:val="clear" w:pos="4320"/>
          <w:tab w:val="clear" w:pos="9072"/>
        </w:tabs>
        <w:spacing w:line="360" w:lineRule="auto"/>
        <w:jc w:val="both"/>
        <w:rPr>
          <w:bCs/>
          <w:lang w:val="en-GB"/>
        </w:rPr>
      </w:pPr>
    </w:p>
    <w:p w:rsidR="008201D8" w:rsidRDefault="008201D8" w:rsidP="001E49C2">
      <w:pPr>
        <w:numPr>
          <w:ilvl w:val="0"/>
          <w:numId w:val="2"/>
        </w:numPr>
        <w:tabs>
          <w:tab w:val="clear" w:pos="360"/>
          <w:tab w:val="clear" w:pos="4320"/>
          <w:tab w:val="clear" w:pos="9072"/>
        </w:tabs>
        <w:spacing w:line="360" w:lineRule="auto"/>
        <w:jc w:val="both"/>
        <w:rPr>
          <w:bCs/>
          <w:lang w:val="en-GB"/>
        </w:rPr>
      </w:pPr>
      <w:r w:rsidRPr="008201D8">
        <w:rPr>
          <w:bCs/>
          <w:lang w:val="en-GB"/>
        </w:rPr>
        <w:t xml:space="preserve"> </w:t>
      </w:r>
      <w:r w:rsidR="00DE4E10">
        <w:rPr>
          <w:bCs/>
          <w:lang w:val="en-GB"/>
        </w:rPr>
        <w:t xml:space="preserve">After the Accident, the plaintiff sat on the floor and rested for 15 minutes before going to the Accident &amp; Emergency Department </w:t>
      </w:r>
      <w:r w:rsidR="00CD3766">
        <w:rPr>
          <w:bCs/>
          <w:lang w:val="en-GB"/>
        </w:rPr>
        <w:t>(</w:t>
      </w:r>
      <w:r w:rsidR="00CD3766" w:rsidRPr="00CD3766">
        <w:rPr>
          <w:b/>
          <w:bCs/>
          <w:lang w:val="en-GB"/>
        </w:rPr>
        <w:t>“AED”</w:t>
      </w:r>
      <w:r w:rsidR="00CD3766">
        <w:rPr>
          <w:bCs/>
          <w:lang w:val="en-GB"/>
        </w:rPr>
        <w:t xml:space="preserve">) </w:t>
      </w:r>
      <w:r w:rsidR="00DE4E10">
        <w:rPr>
          <w:bCs/>
          <w:lang w:val="en-GB"/>
        </w:rPr>
        <w:t xml:space="preserve">of Prince of Wales Hospital </w:t>
      </w:r>
      <w:r w:rsidR="00D06840">
        <w:rPr>
          <w:bCs/>
          <w:lang w:val="en-GB"/>
        </w:rPr>
        <w:t>(</w:t>
      </w:r>
      <w:r w:rsidR="00D06840" w:rsidRPr="00D06840">
        <w:rPr>
          <w:b/>
          <w:bCs/>
          <w:lang w:val="en-GB"/>
        </w:rPr>
        <w:t>“PWH”</w:t>
      </w:r>
      <w:r w:rsidR="00D06840">
        <w:rPr>
          <w:bCs/>
          <w:lang w:val="en-GB"/>
        </w:rPr>
        <w:t xml:space="preserve">) </w:t>
      </w:r>
      <w:r w:rsidR="00DE4E10">
        <w:rPr>
          <w:bCs/>
          <w:lang w:val="en-GB"/>
        </w:rPr>
        <w:t>(by riding on his own motorcycle) for treatment.</w:t>
      </w:r>
    </w:p>
    <w:p w:rsidR="00DE4E10" w:rsidRDefault="00DE4E10" w:rsidP="001E49C2">
      <w:pPr>
        <w:tabs>
          <w:tab w:val="clear" w:pos="4320"/>
          <w:tab w:val="clear" w:pos="9072"/>
        </w:tabs>
        <w:spacing w:line="360" w:lineRule="auto"/>
        <w:jc w:val="both"/>
        <w:rPr>
          <w:bCs/>
          <w:lang w:val="en-GB"/>
        </w:rPr>
      </w:pPr>
    </w:p>
    <w:p w:rsidR="00DE4E10" w:rsidRDefault="001157CC" w:rsidP="001E49C2">
      <w:pPr>
        <w:numPr>
          <w:ilvl w:val="0"/>
          <w:numId w:val="2"/>
        </w:numPr>
        <w:tabs>
          <w:tab w:val="clear" w:pos="360"/>
          <w:tab w:val="clear" w:pos="4320"/>
          <w:tab w:val="clear" w:pos="9072"/>
        </w:tabs>
        <w:spacing w:line="360" w:lineRule="auto"/>
        <w:jc w:val="both"/>
        <w:rPr>
          <w:bCs/>
          <w:lang w:val="en-GB"/>
        </w:rPr>
      </w:pPr>
      <w:r>
        <w:rPr>
          <w:bCs/>
          <w:lang w:val="en-GB"/>
        </w:rPr>
        <w:t xml:space="preserve">The plaintiff complained of low back pain at the AED.  </w:t>
      </w:r>
      <w:r w:rsidR="00DE4E10">
        <w:rPr>
          <w:bCs/>
          <w:lang w:val="en-GB"/>
        </w:rPr>
        <w:t>Physical examination</w:t>
      </w:r>
      <w:r w:rsidR="00CD3766">
        <w:rPr>
          <w:bCs/>
          <w:lang w:val="en-GB"/>
        </w:rPr>
        <w:t xml:space="preserve"> at the AED</w:t>
      </w:r>
      <w:r w:rsidR="00DE4E10">
        <w:rPr>
          <w:bCs/>
          <w:lang w:val="en-GB"/>
        </w:rPr>
        <w:t xml:space="preserve"> showed superficial wound over his left leg.  The </w:t>
      </w:r>
      <w:r w:rsidR="00CD3766">
        <w:rPr>
          <w:bCs/>
          <w:lang w:val="en-GB"/>
        </w:rPr>
        <w:t>d</w:t>
      </w:r>
      <w:r w:rsidR="00DE4E10">
        <w:rPr>
          <w:bCs/>
          <w:lang w:val="en-GB"/>
        </w:rPr>
        <w:t xml:space="preserve">iagnosis was contusion.  He </w:t>
      </w:r>
      <w:r w:rsidR="009E524F">
        <w:rPr>
          <w:bCs/>
          <w:lang w:val="en-GB"/>
        </w:rPr>
        <w:t xml:space="preserve">was discharged on the same day and </w:t>
      </w:r>
      <w:r w:rsidR="00DE4E10">
        <w:rPr>
          <w:bCs/>
          <w:lang w:val="en-GB"/>
        </w:rPr>
        <w:t xml:space="preserve">was given </w:t>
      </w:r>
      <w:r w:rsidR="003E1FCA">
        <w:rPr>
          <w:bCs/>
          <w:lang w:val="en-GB"/>
        </w:rPr>
        <w:t xml:space="preserve">sick leave for </w:t>
      </w:r>
      <w:r w:rsidR="009E524F">
        <w:rPr>
          <w:bCs/>
          <w:lang w:val="en-GB"/>
        </w:rPr>
        <w:t>3 days</w:t>
      </w:r>
      <w:r w:rsidR="00DE4E10">
        <w:rPr>
          <w:bCs/>
          <w:lang w:val="en-GB"/>
        </w:rPr>
        <w:t xml:space="preserve">.  </w:t>
      </w:r>
    </w:p>
    <w:p w:rsidR="00DD2DAF" w:rsidRDefault="00D06840" w:rsidP="001E49C2">
      <w:pPr>
        <w:pStyle w:val="ListParagraph"/>
        <w:tabs>
          <w:tab w:val="clear" w:pos="1440"/>
          <w:tab w:val="clear" w:pos="4320"/>
          <w:tab w:val="clear" w:pos="9072"/>
          <w:tab w:val="left" w:pos="5447"/>
        </w:tabs>
        <w:spacing w:line="360" w:lineRule="auto"/>
        <w:rPr>
          <w:bCs/>
          <w:lang w:val="en-GB"/>
        </w:rPr>
      </w:pPr>
      <w:r>
        <w:rPr>
          <w:bCs/>
          <w:lang w:val="en-GB"/>
        </w:rPr>
        <w:tab/>
      </w:r>
    </w:p>
    <w:p w:rsidR="00DD2DAF" w:rsidRDefault="00DD2DAF" w:rsidP="001E49C2">
      <w:pPr>
        <w:numPr>
          <w:ilvl w:val="0"/>
          <w:numId w:val="2"/>
        </w:numPr>
        <w:tabs>
          <w:tab w:val="clear" w:pos="360"/>
          <w:tab w:val="clear" w:pos="4320"/>
          <w:tab w:val="clear" w:pos="9072"/>
        </w:tabs>
        <w:spacing w:line="360" w:lineRule="auto"/>
        <w:jc w:val="both"/>
        <w:rPr>
          <w:bCs/>
          <w:lang w:val="en-GB"/>
        </w:rPr>
      </w:pPr>
      <w:r>
        <w:rPr>
          <w:bCs/>
          <w:lang w:val="en-GB"/>
        </w:rPr>
        <w:lastRenderedPageBreak/>
        <w:t xml:space="preserve">The plaintiff stated in his evidence that he had consulted a traditional Chinese medicine practitioner </w:t>
      </w:r>
      <w:r w:rsidR="00D06840" w:rsidRPr="00D06840">
        <w:rPr>
          <w:rFonts w:hint="eastAsia"/>
          <w:bCs/>
          <w:lang w:val="en-GB"/>
        </w:rPr>
        <w:t>王世平醫師</w:t>
      </w:r>
      <w:r w:rsidR="00D06840">
        <w:rPr>
          <w:rFonts w:hint="eastAsia"/>
          <w:bCs/>
          <w:lang w:val="en-GB"/>
        </w:rPr>
        <w:t xml:space="preserve"> </w:t>
      </w:r>
      <w:r w:rsidR="00D06840">
        <w:rPr>
          <w:bCs/>
          <w:lang w:val="en-GB"/>
        </w:rPr>
        <w:t xml:space="preserve">after he was discharged from the PWH </w:t>
      </w:r>
      <w:r w:rsidR="00D06840">
        <w:rPr>
          <w:rFonts w:hint="eastAsia"/>
          <w:bCs/>
          <w:lang w:val="en-GB"/>
        </w:rPr>
        <w:t xml:space="preserve">on the day of the </w:t>
      </w:r>
      <w:r w:rsidR="00CA0863">
        <w:rPr>
          <w:bCs/>
          <w:lang w:val="en-GB"/>
        </w:rPr>
        <w:t>A</w:t>
      </w:r>
      <w:r w:rsidR="00D06840">
        <w:rPr>
          <w:rFonts w:hint="eastAsia"/>
          <w:bCs/>
          <w:lang w:val="en-GB"/>
        </w:rPr>
        <w:t xml:space="preserve">ccident </w:t>
      </w:r>
      <w:r w:rsidR="00D06840">
        <w:rPr>
          <w:bCs/>
          <w:lang w:val="en-GB"/>
        </w:rPr>
        <w:t xml:space="preserve">because he still felt difficult to breathe and that he was diagnosed to be suffering from </w:t>
      </w:r>
      <w:r w:rsidR="00D06840" w:rsidRPr="00D06840">
        <w:rPr>
          <w:rFonts w:hint="eastAsia"/>
          <w:bCs/>
          <w:lang w:val="en-GB"/>
        </w:rPr>
        <w:t>胸椎骨輕微移位</w:t>
      </w:r>
      <w:r w:rsidR="00D06840">
        <w:rPr>
          <w:rFonts w:hint="eastAsia"/>
          <w:bCs/>
          <w:lang w:val="en-GB"/>
        </w:rPr>
        <w:t xml:space="preserve">. </w:t>
      </w:r>
      <w:r w:rsidR="00D06840">
        <w:rPr>
          <w:bCs/>
          <w:lang w:val="en-GB"/>
        </w:rPr>
        <w:t xml:space="preserve"> After some treatment by the said Chinese medicine practitioner, he could breathe much better, although he still felt the pain at his low back.</w:t>
      </w:r>
    </w:p>
    <w:p w:rsidR="00D06840" w:rsidRDefault="00D06840" w:rsidP="001E49C2">
      <w:pPr>
        <w:pStyle w:val="ListParagraph"/>
        <w:spacing w:line="360" w:lineRule="auto"/>
        <w:rPr>
          <w:bCs/>
          <w:lang w:val="en-GB"/>
        </w:rPr>
      </w:pPr>
    </w:p>
    <w:p w:rsidR="00D06840" w:rsidRDefault="00D06840" w:rsidP="001E49C2">
      <w:pPr>
        <w:numPr>
          <w:ilvl w:val="0"/>
          <w:numId w:val="2"/>
        </w:numPr>
        <w:tabs>
          <w:tab w:val="clear" w:pos="360"/>
          <w:tab w:val="clear" w:pos="4320"/>
          <w:tab w:val="clear" w:pos="9072"/>
        </w:tabs>
        <w:spacing w:line="360" w:lineRule="auto"/>
        <w:jc w:val="both"/>
        <w:rPr>
          <w:bCs/>
          <w:lang w:val="en-GB"/>
        </w:rPr>
      </w:pPr>
      <w:r>
        <w:rPr>
          <w:bCs/>
          <w:lang w:val="en-GB"/>
        </w:rPr>
        <w:t xml:space="preserve">Ms Kwok challenged this part of the plaintiff’s evidence </w:t>
      </w:r>
      <w:r w:rsidR="00704AF8">
        <w:rPr>
          <w:bCs/>
          <w:lang w:val="en-GB"/>
        </w:rPr>
        <w:t>on the basis that</w:t>
      </w:r>
      <w:r>
        <w:rPr>
          <w:bCs/>
          <w:lang w:val="en-GB"/>
        </w:rPr>
        <w:t xml:space="preserve"> the consultation with </w:t>
      </w:r>
      <w:r w:rsidRPr="00D06840">
        <w:rPr>
          <w:rFonts w:hint="eastAsia"/>
          <w:bCs/>
          <w:lang w:val="en-GB"/>
        </w:rPr>
        <w:t>王世平醫師</w:t>
      </w:r>
      <w:r>
        <w:rPr>
          <w:rFonts w:hint="eastAsia"/>
          <w:bCs/>
          <w:lang w:val="en-GB"/>
        </w:rPr>
        <w:t xml:space="preserve">on 8 October 2015 </w:t>
      </w:r>
      <w:r>
        <w:rPr>
          <w:bCs/>
          <w:lang w:val="en-GB"/>
        </w:rPr>
        <w:t xml:space="preserve">was totally unsupported by evidence: it was not mentioned </w:t>
      </w:r>
      <w:r w:rsidR="00704AF8">
        <w:rPr>
          <w:bCs/>
          <w:lang w:val="en-GB"/>
        </w:rPr>
        <w:t>in the plaintiff’s schedule for medical attendances; the chest x-ray which was done at the PWH on the day of the accident also showed that the plaintiff’s chest was normal.  In reply, t</w:t>
      </w:r>
      <w:r>
        <w:rPr>
          <w:bCs/>
          <w:lang w:val="en-GB"/>
        </w:rPr>
        <w:t xml:space="preserve">he plaintiff explained during cross-examination that this consultation was not referred to </w:t>
      </w:r>
      <w:r w:rsidR="00704AF8">
        <w:rPr>
          <w:bCs/>
          <w:lang w:val="en-GB"/>
        </w:rPr>
        <w:t xml:space="preserve">in the said schedule </w:t>
      </w:r>
      <w:r>
        <w:rPr>
          <w:bCs/>
          <w:lang w:val="en-GB"/>
        </w:rPr>
        <w:t>because he was not charged for this consultation session at all</w:t>
      </w:r>
      <w:r w:rsidR="00704AF8">
        <w:rPr>
          <w:bCs/>
          <w:lang w:val="en-GB"/>
        </w:rPr>
        <w:t xml:space="preserve">, and he was not given any sick leave by </w:t>
      </w:r>
      <w:r w:rsidR="00704AF8">
        <w:rPr>
          <w:rFonts w:hint="eastAsia"/>
          <w:bCs/>
          <w:lang w:val="en-GB"/>
        </w:rPr>
        <w:t>王</w:t>
      </w:r>
      <w:r w:rsidR="00704AF8" w:rsidRPr="00D06840">
        <w:rPr>
          <w:rFonts w:hint="eastAsia"/>
          <w:bCs/>
          <w:lang w:val="en-GB"/>
        </w:rPr>
        <w:t>醫師</w:t>
      </w:r>
      <w:r w:rsidR="00704AF8">
        <w:rPr>
          <w:rFonts w:hint="eastAsia"/>
          <w:bCs/>
          <w:lang w:val="en-GB"/>
        </w:rPr>
        <w:t xml:space="preserve">. </w:t>
      </w:r>
      <w:r w:rsidR="00704AF8">
        <w:rPr>
          <w:bCs/>
          <w:lang w:val="en-GB"/>
        </w:rPr>
        <w:t xml:space="preserve"> </w:t>
      </w:r>
    </w:p>
    <w:p w:rsidR="00704AF8" w:rsidRDefault="00704AF8" w:rsidP="001E49C2">
      <w:pPr>
        <w:pStyle w:val="ListParagraph"/>
        <w:spacing w:line="360" w:lineRule="auto"/>
        <w:rPr>
          <w:bCs/>
          <w:lang w:val="en-GB"/>
        </w:rPr>
      </w:pPr>
    </w:p>
    <w:p w:rsidR="00704AF8" w:rsidRDefault="00704AF8" w:rsidP="001E49C2">
      <w:pPr>
        <w:numPr>
          <w:ilvl w:val="0"/>
          <w:numId w:val="2"/>
        </w:numPr>
        <w:tabs>
          <w:tab w:val="clear" w:pos="360"/>
          <w:tab w:val="clear" w:pos="4320"/>
          <w:tab w:val="clear" w:pos="9072"/>
        </w:tabs>
        <w:spacing w:line="360" w:lineRule="auto"/>
        <w:jc w:val="both"/>
        <w:rPr>
          <w:bCs/>
          <w:lang w:val="en-GB"/>
        </w:rPr>
      </w:pPr>
      <w:r>
        <w:rPr>
          <w:bCs/>
          <w:lang w:val="en-GB"/>
        </w:rPr>
        <w:t xml:space="preserve">I accept the plaintiff’s evidence that he did consult </w:t>
      </w:r>
      <w:r>
        <w:rPr>
          <w:rFonts w:hint="eastAsia"/>
          <w:bCs/>
          <w:lang w:val="en-GB"/>
        </w:rPr>
        <w:t>王</w:t>
      </w:r>
      <w:r w:rsidRPr="00D06840">
        <w:rPr>
          <w:rFonts w:hint="eastAsia"/>
          <w:bCs/>
          <w:lang w:val="en-GB"/>
        </w:rPr>
        <w:t>醫師</w:t>
      </w:r>
      <w:r>
        <w:rPr>
          <w:rFonts w:hint="eastAsia"/>
          <w:bCs/>
          <w:lang w:val="en-GB"/>
        </w:rPr>
        <w:t xml:space="preserve"> on 8 October 2015 because it was indeed shown by the </w:t>
      </w:r>
      <w:r>
        <w:rPr>
          <w:bCs/>
          <w:lang w:val="en-GB"/>
        </w:rPr>
        <w:t>medical report dated 19 April 2018 that the plaintiff did complain about “transient sense of breathlessness”</w:t>
      </w:r>
      <w:r w:rsidR="001157CC">
        <w:rPr>
          <w:bCs/>
          <w:lang w:val="en-GB"/>
        </w:rPr>
        <w:t xml:space="preserve"> at the A</w:t>
      </w:r>
      <w:r>
        <w:rPr>
          <w:bCs/>
          <w:lang w:val="en-GB"/>
        </w:rPr>
        <w:t>E</w:t>
      </w:r>
      <w:r w:rsidR="001157CC">
        <w:rPr>
          <w:bCs/>
          <w:lang w:val="en-GB"/>
        </w:rPr>
        <w:t>D</w:t>
      </w:r>
      <w:r>
        <w:rPr>
          <w:bCs/>
          <w:lang w:val="en-GB"/>
        </w:rPr>
        <w:t xml:space="preserve"> of PWH on 8 October 2015.  Even though </w:t>
      </w:r>
      <w:r w:rsidR="00C603E0">
        <w:rPr>
          <w:bCs/>
          <w:lang w:val="en-GB"/>
        </w:rPr>
        <w:t xml:space="preserve">the </w:t>
      </w:r>
      <w:r>
        <w:rPr>
          <w:bCs/>
          <w:lang w:val="en-GB"/>
        </w:rPr>
        <w:t>x-ray</w:t>
      </w:r>
      <w:r w:rsidR="00635908">
        <w:rPr>
          <w:bCs/>
          <w:lang w:val="en-GB"/>
        </w:rPr>
        <w:t xml:space="preserve"> done on the day</w:t>
      </w:r>
      <w:r>
        <w:rPr>
          <w:bCs/>
          <w:lang w:val="en-GB"/>
        </w:rPr>
        <w:t xml:space="preserve"> showed that his chest was normal, it may well be that the </w:t>
      </w:r>
      <w:r w:rsidR="00E361FC">
        <w:rPr>
          <w:bCs/>
          <w:lang w:val="en-GB"/>
        </w:rPr>
        <w:t>“</w:t>
      </w:r>
      <w:r w:rsidRPr="00D06840">
        <w:rPr>
          <w:rFonts w:hint="eastAsia"/>
          <w:bCs/>
          <w:lang w:val="en-GB"/>
        </w:rPr>
        <w:t>胸椎骨輕微移位</w:t>
      </w:r>
      <w:r w:rsidR="00E361FC">
        <w:rPr>
          <w:bCs/>
          <w:lang w:val="en-GB"/>
        </w:rPr>
        <w:t>”</w:t>
      </w:r>
      <w:r>
        <w:rPr>
          <w:rFonts w:hint="eastAsia"/>
          <w:bCs/>
          <w:lang w:val="en-GB"/>
        </w:rPr>
        <w:t xml:space="preserve"> was so minimal that could not be seen from the x-ray. </w:t>
      </w:r>
      <w:r>
        <w:rPr>
          <w:bCs/>
          <w:lang w:val="en-GB"/>
        </w:rPr>
        <w:t xml:space="preserve"> </w:t>
      </w:r>
    </w:p>
    <w:p w:rsidR="00CD3766" w:rsidRDefault="00CD3766" w:rsidP="001E49C2">
      <w:pPr>
        <w:pStyle w:val="ListParagraph"/>
        <w:spacing w:line="360" w:lineRule="auto"/>
        <w:rPr>
          <w:bCs/>
          <w:lang w:val="en-GB"/>
        </w:rPr>
      </w:pPr>
    </w:p>
    <w:p w:rsidR="00CD3766" w:rsidRDefault="00CD3766" w:rsidP="001E49C2">
      <w:pPr>
        <w:numPr>
          <w:ilvl w:val="0"/>
          <w:numId w:val="2"/>
        </w:numPr>
        <w:tabs>
          <w:tab w:val="clear" w:pos="360"/>
          <w:tab w:val="clear" w:pos="4320"/>
          <w:tab w:val="clear" w:pos="9072"/>
        </w:tabs>
        <w:spacing w:line="360" w:lineRule="auto"/>
        <w:jc w:val="both"/>
        <w:rPr>
          <w:bCs/>
          <w:lang w:val="en-GB"/>
        </w:rPr>
      </w:pPr>
      <w:r>
        <w:rPr>
          <w:bCs/>
          <w:lang w:val="en-GB"/>
        </w:rPr>
        <w:t>In the period between 20 November 2015 and 30 March 2016, the plaintiff had attended AED 9 times.  On each and every occasion, he complained of low back pain.</w:t>
      </w:r>
    </w:p>
    <w:p w:rsidR="00CD3766" w:rsidRDefault="00CD3766" w:rsidP="001E49C2">
      <w:pPr>
        <w:pStyle w:val="ListParagraph"/>
        <w:spacing w:line="360" w:lineRule="auto"/>
        <w:rPr>
          <w:bCs/>
          <w:lang w:val="en-GB"/>
        </w:rPr>
      </w:pPr>
    </w:p>
    <w:p w:rsidR="00CD3766" w:rsidRDefault="003E1FCA" w:rsidP="001E49C2">
      <w:pPr>
        <w:numPr>
          <w:ilvl w:val="0"/>
          <w:numId w:val="2"/>
        </w:numPr>
        <w:tabs>
          <w:tab w:val="clear" w:pos="360"/>
          <w:tab w:val="clear" w:pos="4320"/>
          <w:tab w:val="clear" w:pos="9072"/>
        </w:tabs>
        <w:spacing w:line="360" w:lineRule="auto"/>
        <w:jc w:val="both"/>
        <w:rPr>
          <w:bCs/>
          <w:lang w:val="en-GB"/>
        </w:rPr>
      </w:pPr>
      <w:r>
        <w:rPr>
          <w:bCs/>
          <w:lang w:val="en-GB"/>
        </w:rPr>
        <w:t>The plaintiff was treated by Dr Peter Tio, an orthopaedic specialist, since 16 December</w:t>
      </w:r>
      <w:r w:rsidR="00365C06">
        <w:rPr>
          <w:bCs/>
          <w:lang w:val="en-GB"/>
        </w:rPr>
        <w:t xml:space="preserve"> 2015 until 4 May 2016, for the main complaint of back pain, more on his right side.  </w:t>
      </w:r>
      <w:r w:rsidR="00267CD7">
        <w:rPr>
          <w:bCs/>
          <w:lang w:val="en-GB"/>
        </w:rPr>
        <w:t>He attended follow-up sessions once every month.  It is noted that on every occasion, Dr Tio assessed the plaintiff to have full range of motion (except that</w:t>
      </w:r>
      <w:r w:rsidR="005065A5">
        <w:rPr>
          <w:bCs/>
          <w:lang w:val="en-GB"/>
        </w:rPr>
        <w:t xml:space="preserve"> the</w:t>
      </w:r>
      <w:r w:rsidR="00267CD7">
        <w:rPr>
          <w:bCs/>
          <w:lang w:val="en-GB"/>
        </w:rPr>
        <w:t xml:space="preserve"> range of motion was</w:t>
      </w:r>
      <w:r w:rsidR="005065A5">
        <w:rPr>
          <w:bCs/>
          <w:lang w:val="en-GB"/>
        </w:rPr>
        <w:t xml:space="preserve"> just</w:t>
      </w:r>
      <w:r w:rsidR="00267CD7">
        <w:rPr>
          <w:bCs/>
          <w:lang w:val="en-GB"/>
        </w:rPr>
        <w:t xml:space="preserve"> “almost full” on 4 May 2016).</w:t>
      </w:r>
      <w:r w:rsidR="00390062">
        <w:rPr>
          <w:bCs/>
          <w:lang w:val="en-GB"/>
        </w:rPr>
        <w:t xml:space="preserve">   On 8 March 2016, Dr Tio considered that the plaintiff had reached maximum medical improvement, and that the plaintiff was fit to resume pre-injury duty starting from 10 March 2016.</w:t>
      </w:r>
      <w:r w:rsidR="00023D32">
        <w:rPr>
          <w:bCs/>
          <w:lang w:val="en-GB"/>
        </w:rPr>
        <w:t xml:space="preserve">  The plaintiff said he did try to resume work</w:t>
      </w:r>
      <w:r w:rsidR="00021647">
        <w:rPr>
          <w:bCs/>
          <w:lang w:val="en-GB"/>
        </w:rPr>
        <w:t>ing</w:t>
      </w:r>
      <w:r w:rsidR="00023D32">
        <w:rPr>
          <w:bCs/>
          <w:lang w:val="en-GB"/>
        </w:rPr>
        <w:t>, but he was in such a pain while working that he could not continue.  As a result, he had only gone back to work for 2 days on 10 March 2016 and 15 March 2016 respectively.</w:t>
      </w:r>
      <w:r w:rsidR="00DF13B4">
        <w:rPr>
          <w:bCs/>
          <w:lang w:val="en-GB"/>
        </w:rPr>
        <w:t xml:space="preserve">  On 13 April 2016 and 4 May 2016, he attended two further consultation sessions with Dr Tio, who gave him further sick leave until 20 May 2016.</w:t>
      </w:r>
    </w:p>
    <w:p w:rsidR="00534693" w:rsidRDefault="00534693" w:rsidP="001E49C2">
      <w:pPr>
        <w:pStyle w:val="ListParagraph"/>
        <w:spacing w:line="360" w:lineRule="auto"/>
        <w:rPr>
          <w:bCs/>
          <w:lang w:val="en-GB"/>
        </w:rPr>
      </w:pPr>
    </w:p>
    <w:p w:rsidR="00534693" w:rsidRDefault="00534693" w:rsidP="001E49C2">
      <w:pPr>
        <w:numPr>
          <w:ilvl w:val="0"/>
          <w:numId w:val="2"/>
        </w:numPr>
        <w:tabs>
          <w:tab w:val="clear" w:pos="360"/>
          <w:tab w:val="clear" w:pos="4320"/>
          <w:tab w:val="clear" w:pos="9072"/>
        </w:tabs>
        <w:spacing w:line="360" w:lineRule="auto"/>
        <w:jc w:val="both"/>
        <w:rPr>
          <w:bCs/>
          <w:lang w:val="en-GB"/>
        </w:rPr>
      </w:pPr>
      <w:r>
        <w:rPr>
          <w:bCs/>
          <w:lang w:val="en-GB"/>
        </w:rPr>
        <w:t>According to the Physiotherapy Report of Mr Edwin Ng, a physiotherapist at the PWH, the plaintiff reported in the initial assessment done on 22 December 2015 of moderate stretching pain over the right side of his back</w:t>
      </w:r>
      <w:r w:rsidR="00390062">
        <w:rPr>
          <w:bCs/>
          <w:lang w:val="en-GB"/>
        </w:rPr>
        <w:t xml:space="preserve">.  While the range of motion of his back was found to be reduced, his lower limb muscle power was full.   After </w:t>
      </w:r>
      <w:r w:rsidR="00C31A92">
        <w:rPr>
          <w:bCs/>
          <w:lang w:val="en-GB"/>
        </w:rPr>
        <w:t>around 4</w:t>
      </w:r>
      <w:r w:rsidR="00390062">
        <w:rPr>
          <w:bCs/>
          <w:lang w:val="en-GB"/>
        </w:rPr>
        <w:t xml:space="preserve"> months of physiotherapy treatment, the plaintiff reported that there was 30% improvement</w:t>
      </w:r>
      <w:r w:rsidR="00262577">
        <w:rPr>
          <w:bCs/>
          <w:lang w:val="en-GB"/>
        </w:rPr>
        <w:t xml:space="preserve"> and that the pain severity and </w:t>
      </w:r>
      <w:r w:rsidR="00743CAD">
        <w:rPr>
          <w:bCs/>
          <w:lang w:val="en-GB"/>
        </w:rPr>
        <w:t>range of motion of his back were similar</w:t>
      </w:r>
      <w:r w:rsidR="00390062">
        <w:rPr>
          <w:bCs/>
          <w:lang w:val="en-GB"/>
        </w:rPr>
        <w:t>.</w:t>
      </w:r>
      <w:r w:rsidR="00743CAD">
        <w:rPr>
          <w:bCs/>
          <w:lang w:val="en-GB"/>
        </w:rPr>
        <w:t xml:space="preserve">  The treatment sessions were stopped on 20 April 2016.  While the plaintiff was referred to PWH for physiotherapy again on 12 April 2017, he did not attend treatment.</w:t>
      </w:r>
      <w:r w:rsidR="00390062">
        <w:rPr>
          <w:bCs/>
          <w:lang w:val="en-GB"/>
        </w:rPr>
        <w:t xml:space="preserve"> </w:t>
      </w:r>
    </w:p>
    <w:p w:rsidR="00365C06" w:rsidRDefault="00365C06" w:rsidP="001E49C2">
      <w:pPr>
        <w:pStyle w:val="ListParagraph"/>
        <w:spacing w:line="360" w:lineRule="auto"/>
        <w:rPr>
          <w:bCs/>
          <w:lang w:val="en-GB"/>
        </w:rPr>
      </w:pPr>
    </w:p>
    <w:p w:rsidR="00365C06" w:rsidRDefault="00B6759E" w:rsidP="001E49C2">
      <w:pPr>
        <w:numPr>
          <w:ilvl w:val="0"/>
          <w:numId w:val="2"/>
        </w:numPr>
        <w:tabs>
          <w:tab w:val="clear" w:pos="360"/>
          <w:tab w:val="clear" w:pos="4320"/>
          <w:tab w:val="clear" w:pos="9072"/>
        </w:tabs>
        <w:spacing w:line="360" w:lineRule="auto"/>
        <w:jc w:val="both"/>
        <w:rPr>
          <w:bCs/>
          <w:lang w:val="en-GB"/>
        </w:rPr>
      </w:pPr>
      <w:r>
        <w:rPr>
          <w:bCs/>
          <w:lang w:val="en-GB"/>
        </w:rPr>
        <w:t xml:space="preserve">The plaintiff had also received physiotherapy treatment in the private section once </w:t>
      </w:r>
      <w:r w:rsidR="00C31A92">
        <w:rPr>
          <w:bCs/>
          <w:lang w:val="en-GB"/>
        </w:rPr>
        <w:t>t</w:t>
      </w:r>
      <w:r>
        <w:rPr>
          <w:bCs/>
          <w:lang w:val="en-GB"/>
        </w:rPr>
        <w:t xml:space="preserve">o twice every week from December 2015 to April 2016.    </w:t>
      </w:r>
    </w:p>
    <w:p w:rsidR="003C21E4" w:rsidRDefault="003C21E4" w:rsidP="001E49C2">
      <w:pPr>
        <w:pStyle w:val="ListParagraph"/>
        <w:spacing w:line="360" w:lineRule="auto"/>
        <w:rPr>
          <w:bCs/>
          <w:lang w:val="en-GB"/>
        </w:rPr>
      </w:pPr>
    </w:p>
    <w:p w:rsidR="003C21E4" w:rsidRDefault="003C21E4" w:rsidP="001E49C2">
      <w:pPr>
        <w:numPr>
          <w:ilvl w:val="0"/>
          <w:numId w:val="2"/>
        </w:numPr>
        <w:tabs>
          <w:tab w:val="clear" w:pos="360"/>
          <w:tab w:val="clear" w:pos="4320"/>
          <w:tab w:val="clear" w:pos="9072"/>
        </w:tabs>
        <w:spacing w:line="360" w:lineRule="auto"/>
        <w:jc w:val="both"/>
        <w:rPr>
          <w:bCs/>
          <w:lang w:val="en-GB"/>
        </w:rPr>
      </w:pPr>
      <w:r>
        <w:rPr>
          <w:bCs/>
          <w:lang w:val="en-GB"/>
        </w:rPr>
        <w:t xml:space="preserve">The plaintiff had also consulted </w:t>
      </w:r>
      <w:r w:rsidR="00587117">
        <w:rPr>
          <w:bCs/>
          <w:lang w:val="en-GB"/>
        </w:rPr>
        <w:t>some other orthopaedic experts in late 2016.</w:t>
      </w:r>
    </w:p>
    <w:p w:rsidR="00587117" w:rsidRDefault="00587117" w:rsidP="001E49C2">
      <w:pPr>
        <w:pStyle w:val="ListParagraph"/>
        <w:spacing w:line="360" w:lineRule="auto"/>
        <w:rPr>
          <w:bCs/>
          <w:lang w:val="en-GB"/>
        </w:rPr>
      </w:pPr>
    </w:p>
    <w:p w:rsidR="00587117" w:rsidRDefault="00587117" w:rsidP="001E49C2">
      <w:pPr>
        <w:numPr>
          <w:ilvl w:val="0"/>
          <w:numId w:val="2"/>
        </w:numPr>
        <w:tabs>
          <w:tab w:val="clear" w:pos="360"/>
          <w:tab w:val="clear" w:pos="4320"/>
          <w:tab w:val="clear" w:pos="9072"/>
        </w:tabs>
        <w:spacing w:line="360" w:lineRule="auto"/>
        <w:jc w:val="both"/>
        <w:rPr>
          <w:bCs/>
          <w:lang w:val="en-GB"/>
        </w:rPr>
      </w:pPr>
      <w:r>
        <w:rPr>
          <w:bCs/>
          <w:lang w:val="en-GB"/>
        </w:rPr>
        <w:t xml:space="preserve">In addition, the plaintiff had sought treatment from </w:t>
      </w:r>
      <w:r>
        <w:rPr>
          <w:rFonts w:hint="eastAsia"/>
          <w:bCs/>
          <w:lang w:val="en-GB"/>
        </w:rPr>
        <w:t>王</w:t>
      </w:r>
      <w:r w:rsidRPr="00D06840">
        <w:rPr>
          <w:rFonts w:hint="eastAsia"/>
          <w:bCs/>
          <w:lang w:val="en-GB"/>
        </w:rPr>
        <w:t>醫師</w:t>
      </w:r>
      <w:r>
        <w:rPr>
          <w:rFonts w:hint="eastAsia"/>
          <w:bCs/>
          <w:lang w:val="en-GB"/>
        </w:rPr>
        <w:t xml:space="preserve"> and </w:t>
      </w:r>
      <w:r w:rsidR="00823D8E">
        <w:rPr>
          <w:bCs/>
          <w:lang w:val="en-GB"/>
        </w:rPr>
        <w:t>Yan Chai Hospital Tsang Churk-ming Traditional Chinese Medicine (TCM) Pain Treatment Centre from August 2016 to May 2020.</w:t>
      </w:r>
    </w:p>
    <w:p w:rsidR="00EE1795" w:rsidRDefault="00EE1795" w:rsidP="001E49C2">
      <w:pPr>
        <w:pStyle w:val="ListParagraph"/>
        <w:spacing w:line="360" w:lineRule="auto"/>
        <w:rPr>
          <w:bCs/>
          <w:lang w:val="en-GB"/>
        </w:rPr>
      </w:pPr>
    </w:p>
    <w:p w:rsidR="00C27D70" w:rsidRDefault="00C27D70" w:rsidP="001E49C2">
      <w:pPr>
        <w:numPr>
          <w:ilvl w:val="0"/>
          <w:numId w:val="2"/>
        </w:numPr>
        <w:tabs>
          <w:tab w:val="clear" w:pos="360"/>
          <w:tab w:val="clear" w:pos="4320"/>
          <w:tab w:val="clear" w:pos="9072"/>
        </w:tabs>
        <w:spacing w:line="360" w:lineRule="auto"/>
        <w:jc w:val="both"/>
        <w:rPr>
          <w:bCs/>
          <w:lang w:val="en-GB"/>
        </w:rPr>
      </w:pPr>
      <w:r>
        <w:rPr>
          <w:bCs/>
          <w:lang w:val="en-GB"/>
        </w:rPr>
        <w:t xml:space="preserve">An MRI of the plaintiff’s lumbar spine was done on 23 April 2016.  It was found that: </w:t>
      </w:r>
    </w:p>
    <w:p w:rsidR="00C27D70" w:rsidRDefault="00C27D70" w:rsidP="00C27D70">
      <w:pPr>
        <w:pStyle w:val="ListParagraph"/>
        <w:rPr>
          <w:bCs/>
          <w:lang w:val="en-GB"/>
        </w:rPr>
      </w:pPr>
    </w:p>
    <w:p w:rsidR="00C27D70" w:rsidRPr="00C27D70" w:rsidRDefault="00C27D70" w:rsidP="00C27D70">
      <w:pPr>
        <w:tabs>
          <w:tab w:val="clear" w:pos="4320"/>
          <w:tab w:val="clear" w:pos="9072"/>
        </w:tabs>
        <w:ind w:left="1440" w:right="746"/>
        <w:jc w:val="both"/>
        <w:rPr>
          <w:bCs/>
          <w:sz w:val="24"/>
          <w:szCs w:val="24"/>
          <w:lang w:val="en-GB"/>
        </w:rPr>
      </w:pPr>
      <w:r w:rsidRPr="00C27D70">
        <w:rPr>
          <w:bCs/>
          <w:sz w:val="24"/>
          <w:szCs w:val="24"/>
          <w:lang w:val="en-GB"/>
        </w:rPr>
        <w:t>“Bilateral L5 spondylolysis and degeneration, narrowing and posterior prolapse of the L4/5 disc with mild inferior migration and posterior annulus tear and minimal anterior marginal osteophytes adjacent to the L4/5 disc are seen but no nerve impingement, cauda equine lesion or bony lesion is noted in the lumbar spine.”</w:t>
      </w:r>
    </w:p>
    <w:p w:rsidR="00C27D70" w:rsidRDefault="00C27D70" w:rsidP="00A32368">
      <w:pPr>
        <w:pStyle w:val="ListParagraph"/>
        <w:spacing w:line="360" w:lineRule="auto"/>
        <w:rPr>
          <w:bCs/>
          <w:lang w:val="en-GB"/>
        </w:rPr>
      </w:pPr>
    </w:p>
    <w:p w:rsidR="00C27D70" w:rsidRDefault="00C27D70" w:rsidP="001E49C2">
      <w:pPr>
        <w:numPr>
          <w:ilvl w:val="0"/>
          <w:numId w:val="2"/>
        </w:numPr>
        <w:tabs>
          <w:tab w:val="clear" w:pos="360"/>
          <w:tab w:val="clear" w:pos="4320"/>
          <w:tab w:val="clear" w:pos="9072"/>
        </w:tabs>
        <w:spacing w:line="360" w:lineRule="auto"/>
        <w:jc w:val="both"/>
        <w:rPr>
          <w:bCs/>
          <w:lang w:val="en-GB"/>
        </w:rPr>
      </w:pPr>
      <w:r>
        <w:rPr>
          <w:bCs/>
          <w:lang w:val="en-GB"/>
        </w:rPr>
        <w:t>The plaintiff was given a total of 1,199 days of sick leave intermittently from 8 October 2015 to 10 February 2019</w:t>
      </w:r>
      <w:r w:rsidR="00935B43">
        <w:rPr>
          <w:bCs/>
          <w:lang w:val="en-GB"/>
        </w:rPr>
        <w:t>.</w:t>
      </w:r>
    </w:p>
    <w:p w:rsidR="00A27040" w:rsidRDefault="00A27040" w:rsidP="001E49C2">
      <w:pPr>
        <w:tabs>
          <w:tab w:val="clear" w:pos="4320"/>
          <w:tab w:val="clear" w:pos="9072"/>
        </w:tabs>
        <w:spacing w:line="360" w:lineRule="auto"/>
        <w:jc w:val="both"/>
        <w:rPr>
          <w:bCs/>
          <w:lang w:val="en-GB"/>
        </w:rPr>
      </w:pPr>
    </w:p>
    <w:p w:rsidR="00A27040" w:rsidRPr="00A27040" w:rsidRDefault="00A27040" w:rsidP="001E49C2">
      <w:pPr>
        <w:tabs>
          <w:tab w:val="clear" w:pos="4320"/>
          <w:tab w:val="clear" w:pos="9072"/>
        </w:tabs>
        <w:spacing w:line="360" w:lineRule="auto"/>
        <w:jc w:val="both"/>
        <w:rPr>
          <w:bCs/>
          <w:i/>
          <w:lang w:val="en-GB"/>
        </w:rPr>
      </w:pPr>
      <w:r w:rsidRPr="00A27040">
        <w:rPr>
          <w:bCs/>
          <w:i/>
          <w:lang w:val="en-GB"/>
        </w:rPr>
        <w:t>EXPERT EVIDENCE</w:t>
      </w:r>
    </w:p>
    <w:p w:rsidR="00A27040" w:rsidRDefault="00A27040" w:rsidP="001E49C2">
      <w:pPr>
        <w:tabs>
          <w:tab w:val="clear" w:pos="4320"/>
          <w:tab w:val="clear" w:pos="9072"/>
        </w:tabs>
        <w:spacing w:line="360" w:lineRule="auto"/>
        <w:jc w:val="both"/>
        <w:rPr>
          <w:bCs/>
          <w:lang w:val="en-GB"/>
        </w:rPr>
      </w:pPr>
    </w:p>
    <w:p w:rsidR="00A27040" w:rsidRDefault="00A27040" w:rsidP="001E49C2">
      <w:pPr>
        <w:numPr>
          <w:ilvl w:val="0"/>
          <w:numId w:val="2"/>
        </w:numPr>
        <w:tabs>
          <w:tab w:val="clear" w:pos="360"/>
          <w:tab w:val="clear" w:pos="4320"/>
          <w:tab w:val="clear" w:pos="9072"/>
        </w:tabs>
        <w:spacing w:line="360" w:lineRule="auto"/>
        <w:jc w:val="both"/>
        <w:rPr>
          <w:bCs/>
          <w:lang w:val="en-GB"/>
        </w:rPr>
      </w:pPr>
      <w:r>
        <w:rPr>
          <w:bCs/>
          <w:lang w:val="en-GB"/>
        </w:rPr>
        <w:t>The plaintiff had been examined by Dr Chun Siu Yeung (who was instructed by the defendant) on 20 May 2016.</w:t>
      </w:r>
      <w:r w:rsidR="007E48D1">
        <w:rPr>
          <w:bCs/>
          <w:lang w:val="en-GB"/>
        </w:rPr>
        <w:t xml:space="preserve">  In his expert report dated 15 July 2016</w:t>
      </w:r>
      <w:r w:rsidR="00CF27C5">
        <w:rPr>
          <w:bCs/>
          <w:lang w:val="en-GB"/>
        </w:rPr>
        <w:t xml:space="preserve"> (</w:t>
      </w:r>
      <w:r w:rsidR="00CF27C5" w:rsidRPr="00CF27C5">
        <w:rPr>
          <w:b/>
          <w:bCs/>
          <w:lang w:val="en-GB"/>
        </w:rPr>
        <w:t>“Dr Chun’s Report”</w:t>
      </w:r>
      <w:r w:rsidR="00CF27C5">
        <w:rPr>
          <w:bCs/>
          <w:lang w:val="en-GB"/>
        </w:rPr>
        <w:t>)</w:t>
      </w:r>
      <w:r w:rsidR="007E48D1">
        <w:rPr>
          <w:bCs/>
          <w:lang w:val="en-GB"/>
        </w:rPr>
        <w:t>, Dr Chun opined, among other things, that:</w:t>
      </w:r>
    </w:p>
    <w:p w:rsidR="009C40A3" w:rsidRDefault="009C40A3" w:rsidP="001E49C2">
      <w:pPr>
        <w:tabs>
          <w:tab w:val="clear" w:pos="1440"/>
          <w:tab w:val="clear" w:pos="4320"/>
          <w:tab w:val="clear" w:pos="9072"/>
          <w:tab w:val="left" w:pos="2160"/>
        </w:tabs>
        <w:spacing w:line="360" w:lineRule="auto"/>
        <w:ind w:left="2160"/>
        <w:jc w:val="both"/>
        <w:rPr>
          <w:bCs/>
          <w:lang w:val="en-GB"/>
        </w:rPr>
      </w:pPr>
    </w:p>
    <w:p w:rsidR="007E48D1" w:rsidRDefault="007E48D1"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diagnoses for the injury are:</w:t>
      </w:r>
    </w:p>
    <w:p w:rsidR="002C27C2" w:rsidRDefault="002C27C2" w:rsidP="001E49C2">
      <w:pPr>
        <w:tabs>
          <w:tab w:val="clear" w:pos="1440"/>
          <w:tab w:val="clear" w:pos="4320"/>
          <w:tab w:val="clear" w:pos="9072"/>
          <w:tab w:val="left" w:pos="2880"/>
        </w:tabs>
        <w:spacing w:line="360" w:lineRule="auto"/>
        <w:ind w:left="2880"/>
        <w:jc w:val="both"/>
        <w:rPr>
          <w:bCs/>
          <w:lang w:val="en-GB"/>
        </w:rPr>
      </w:pPr>
    </w:p>
    <w:p w:rsidR="007E48D1" w:rsidRDefault="007E48D1" w:rsidP="001E49C2">
      <w:pPr>
        <w:numPr>
          <w:ilvl w:val="3"/>
          <w:numId w:val="2"/>
        </w:numPr>
        <w:tabs>
          <w:tab w:val="clear" w:pos="1440"/>
          <w:tab w:val="clear" w:pos="4320"/>
          <w:tab w:val="clear" w:pos="9072"/>
          <w:tab w:val="left" w:pos="2880"/>
        </w:tabs>
        <w:spacing w:line="360" w:lineRule="auto"/>
        <w:ind w:left="2880"/>
        <w:jc w:val="both"/>
        <w:rPr>
          <w:bCs/>
          <w:lang w:val="en-GB"/>
        </w:rPr>
      </w:pPr>
      <w:r>
        <w:rPr>
          <w:bCs/>
          <w:lang w:val="en-GB"/>
        </w:rPr>
        <w:t xml:space="preserve">Superficial </w:t>
      </w:r>
      <w:r w:rsidR="002C27C2">
        <w:rPr>
          <w:bCs/>
          <w:lang w:val="en-GB"/>
        </w:rPr>
        <w:t>abrasion woun</w:t>
      </w:r>
      <w:r>
        <w:rPr>
          <w:bCs/>
          <w:lang w:val="en-GB"/>
        </w:rPr>
        <w:t>d and contusion of medial left knee;</w:t>
      </w:r>
    </w:p>
    <w:p w:rsidR="002C27C2" w:rsidRDefault="002C27C2" w:rsidP="001E49C2">
      <w:pPr>
        <w:tabs>
          <w:tab w:val="clear" w:pos="1440"/>
          <w:tab w:val="clear" w:pos="4320"/>
          <w:tab w:val="clear" w:pos="9072"/>
          <w:tab w:val="left" w:pos="2880"/>
        </w:tabs>
        <w:spacing w:line="360" w:lineRule="auto"/>
        <w:ind w:left="2880"/>
        <w:jc w:val="both"/>
        <w:rPr>
          <w:bCs/>
          <w:lang w:val="en-GB"/>
        </w:rPr>
      </w:pPr>
    </w:p>
    <w:p w:rsidR="007E48D1" w:rsidRDefault="007E48D1" w:rsidP="001E49C2">
      <w:pPr>
        <w:numPr>
          <w:ilvl w:val="3"/>
          <w:numId w:val="2"/>
        </w:numPr>
        <w:tabs>
          <w:tab w:val="clear" w:pos="1440"/>
          <w:tab w:val="clear" w:pos="4320"/>
          <w:tab w:val="clear" w:pos="9072"/>
          <w:tab w:val="left" w:pos="2880"/>
        </w:tabs>
        <w:spacing w:line="360" w:lineRule="auto"/>
        <w:ind w:left="2880"/>
        <w:jc w:val="both"/>
        <w:rPr>
          <w:bCs/>
          <w:lang w:val="en-GB"/>
        </w:rPr>
      </w:pPr>
      <w:r>
        <w:rPr>
          <w:bCs/>
          <w:lang w:val="en-GB"/>
        </w:rPr>
        <w:t>Contusion of the low back with no fracture, no neurological deficit.</w:t>
      </w:r>
      <w:r w:rsidR="00CF27C5">
        <w:rPr>
          <w:bCs/>
          <w:lang w:val="en-GB"/>
        </w:rPr>
        <w:t>”</w:t>
      </w:r>
      <w:r w:rsidR="00CF27C5">
        <w:rPr>
          <w:rStyle w:val="FootnoteReference"/>
          <w:bCs/>
          <w:lang w:val="en-GB"/>
        </w:rPr>
        <w:footnoteReference w:id="1"/>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7E48D1" w:rsidRDefault="00CF27C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MRI showing pars defect at L5 bilaterally should be pre-existing condition which might be asymptomatic or symptomatic intermittently.”</w:t>
      </w:r>
      <w:r>
        <w:rPr>
          <w:rStyle w:val="FootnoteReference"/>
          <w:bCs/>
          <w:lang w:val="en-GB"/>
        </w:rPr>
        <w:footnoteReference w:id="2"/>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CF27C5" w:rsidRDefault="00CF27C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MRI showing L4-5 disc desiccation, narrowing and shallow disc protrusion with annular tear most probably were pre-existing degenerative changes, which could be symptomatic intermittently or asymptomatic before the fall from ladder.”</w:t>
      </w:r>
      <w:r>
        <w:rPr>
          <w:rStyle w:val="FootnoteReference"/>
          <w:bCs/>
          <w:lang w:val="en-GB"/>
        </w:rPr>
        <w:footnoteReference w:id="3"/>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CF27C5" w:rsidRDefault="00CF27C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“If indeed he did not have prior low back pain before then the fall from the ladder could be said to have triggered the symptoms of the degenerative changes.”</w:t>
      </w:r>
      <w:r>
        <w:rPr>
          <w:rStyle w:val="FootnoteReference"/>
          <w:bCs/>
          <w:lang w:val="en-GB"/>
        </w:rPr>
        <w:footnoteReference w:id="4"/>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5666C6" w:rsidRDefault="005666C6"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“Physical examination showed inappropriate features such as diffused tenderness of the whole low back, strongly positive Waddell’s simulation tests, inconsistency between the supine straight leg raising test and the flip test.  There is no objective neurological deficit.  There are residual abrasions scars at the left knee some old and one related to this injury.”</w:t>
      </w:r>
      <w:r>
        <w:rPr>
          <w:rStyle w:val="FootnoteReference"/>
          <w:bCs/>
          <w:lang w:val="en-GB"/>
        </w:rPr>
        <w:footnoteReference w:id="5"/>
      </w:r>
      <w:r>
        <w:rPr>
          <w:bCs/>
          <w:lang w:val="en-GB"/>
        </w:rPr>
        <w:t xml:space="preserve"> </w:t>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5666C6" w:rsidRDefault="005666C6"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“His condition had long reached maximal medical improvement.  No further treatment is required.”</w:t>
      </w:r>
      <w:r>
        <w:rPr>
          <w:rStyle w:val="FootnoteReference"/>
          <w:bCs/>
          <w:lang w:val="en-GB"/>
        </w:rPr>
        <w:footnoteReference w:id="6"/>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5666C6" w:rsidRDefault="005666C6"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prognosis is good from the contusion back injury.  But he will have recurrent intermittent low back pain in relation to the pre-existing degenerative changes and the spondylolysis of the L5.”</w:t>
      </w:r>
      <w:r w:rsidR="007E3C89">
        <w:rPr>
          <w:rStyle w:val="FootnoteReference"/>
          <w:bCs/>
          <w:lang w:val="en-GB"/>
        </w:rPr>
        <w:footnoteReference w:id="7"/>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7E3C89" w:rsidRDefault="007E3C89"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“With the degenerative lumbar spine as shown on the MRI and the plain x-ray examination, in the absence of the fall from the ladder, there is a strong possibility that either as a natural progression of the degenerative </w:t>
      </w:r>
      <w:r w:rsidR="000E4239">
        <w:rPr>
          <w:bCs/>
          <w:lang w:val="en-GB"/>
        </w:rPr>
        <w:t>process or some other events in his life, the degeneration will become symptomatic as his presentation at this examination.”</w:t>
      </w:r>
      <w:r w:rsidR="000E4239">
        <w:rPr>
          <w:rStyle w:val="FootnoteReference"/>
          <w:bCs/>
          <w:lang w:val="en-GB"/>
        </w:rPr>
        <w:footnoteReference w:id="8"/>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0E4239" w:rsidRDefault="000E4239"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“He is independent with his activities of daily living.  He is able to return to work as property repair and maintenance worker doing the jobs he described</w:t>
      </w:r>
      <w:r w:rsidR="00A55FD5">
        <w:rPr>
          <w:rStyle w:val="FootnoteReference"/>
          <w:bCs/>
          <w:lang w:val="en-GB"/>
        </w:rPr>
        <w:footnoteReference w:id="9"/>
      </w:r>
      <w:r>
        <w:rPr>
          <w:bCs/>
          <w:lang w:val="en-GB"/>
        </w:rPr>
        <w:t>.  With reference to the USA Social Security Ruling on Work Restriction, his degenerated L4-5 disc and spondylosis of the L5, he is able to do occasional lifting of 50</w:t>
      </w:r>
      <w:r w:rsidR="0025260C">
        <w:rPr>
          <w:bCs/>
          <w:lang w:val="en-GB"/>
        </w:rPr>
        <w:t xml:space="preserve"> </w:t>
      </w:r>
      <w:r>
        <w:rPr>
          <w:bCs/>
          <w:lang w:val="en-GB"/>
        </w:rPr>
        <w:t>lbs and frequent lifting of 25 lbs.  He is able to climb ladders.  He is able to go back to his sports.”</w:t>
      </w:r>
      <w:r>
        <w:rPr>
          <w:rStyle w:val="FootnoteReference"/>
          <w:bCs/>
          <w:lang w:val="en-GB"/>
        </w:rPr>
        <w:footnoteReference w:id="10"/>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A55FD5" w:rsidRDefault="00A55FD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“There is 5% whole person impairment.  4% is attributable to the alleged </w:t>
      </w:r>
      <w:r w:rsidR="004D0A89">
        <w:rPr>
          <w:bCs/>
          <w:lang w:val="en-GB"/>
        </w:rPr>
        <w:t>injury and the pre-existing degeneration is apportioned at 1%.  The loss of earning capacity in relation to the alleged injury is 4%.”</w:t>
      </w:r>
      <w:r w:rsidR="004D0A89">
        <w:rPr>
          <w:rStyle w:val="FootnoteReference"/>
          <w:bCs/>
          <w:lang w:val="en-GB"/>
        </w:rPr>
        <w:footnoteReference w:id="11"/>
      </w:r>
    </w:p>
    <w:p w:rsidR="002C27C2" w:rsidRDefault="002C27C2" w:rsidP="001E49C2">
      <w:pPr>
        <w:tabs>
          <w:tab w:val="clear" w:pos="1440"/>
          <w:tab w:val="clear" w:pos="4320"/>
          <w:tab w:val="clear" w:pos="9072"/>
          <w:tab w:val="left" w:pos="2160"/>
        </w:tabs>
        <w:spacing w:line="360" w:lineRule="auto"/>
        <w:ind w:left="2160"/>
        <w:jc w:val="both"/>
        <w:rPr>
          <w:bCs/>
          <w:lang w:val="en-GB"/>
        </w:rPr>
      </w:pPr>
    </w:p>
    <w:p w:rsidR="004D0A89" w:rsidRDefault="004D0A89"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“He had adequate SL.  Further SL is not warranted.”</w:t>
      </w:r>
      <w:r>
        <w:rPr>
          <w:rStyle w:val="FootnoteReference"/>
          <w:bCs/>
          <w:lang w:val="en-GB"/>
        </w:rPr>
        <w:footnoteReference w:id="12"/>
      </w:r>
    </w:p>
    <w:p w:rsidR="00935B43" w:rsidRDefault="00935B43" w:rsidP="001E49C2">
      <w:pPr>
        <w:tabs>
          <w:tab w:val="clear" w:pos="4320"/>
          <w:tab w:val="clear" w:pos="9072"/>
        </w:tabs>
        <w:spacing w:line="360" w:lineRule="auto"/>
        <w:jc w:val="both"/>
        <w:rPr>
          <w:bCs/>
          <w:lang w:val="en-GB"/>
        </w:rPr>
      </w:pPr>
    </w:p>
    <w:p w:rsidR="0059384F" w:rsidRDefault="00935B43" w:rsidP="001E49C2">
      <w:pPr>
        <w:numPr>
          <w:ilvl w:val="0"/>
          <w:numId w:val="2"/>
        </w:numPr>
        <w:tabs>
          <w:tab w:val="clear" w:pos="360"/>
          <w:tab w:val="clear" w:pos="4320"/>
          <w:tab w:val="clear" w:pos="9072"/>
        </w:tabs>
        <w:spacing w:line="360" w:lineRule="auto"/>
        <w:jc w:val="both"/>
        <w:rPr>
          <w:bCs/>
          <w:lang w:val="en-GB"/>
        </w:rPr>
      </w:pPr>
      <w:r>
        <w:rPr>
          <w:bCs/>
          <w:lang w:val="en-GB"/>
        </w:rPr>
        <w:t xml:space="preserve">The plaintiff was </w:t>
      </w:r>
      <w:r w:rsidR="002C27C2">
        <w:rPr>
          <w:bCs/>
          <w:lang w:val="en-GB"/>
        </w:rPr>
        <w:t xml:space="preserve">then </w:t>
      </w:r>
      <w:r>
        <w:rPr>
          <w:bCs/>
          <w:lang w:val="en-GB"/>
        </w:rPr>
        <w:t xml:space="preserve">examined and assessed by Dr Kong Kam Fu James </w:t>
      </w:r>
      <w:r w:rsidR="002C27C2">
        <w:rPr>
          <w:bCs/>
          <w:lang w:val="en-GB"/>
        </w:rPr>
        <w:t>(his own expert) together with</w:t>
      </w:r>
      <w:r>
        <w:rPr>
          <w:bCs/>
          <w:lang w:val="en-GB"/>
        </w:rPr>
        <w:t xml:space="preserve"> Dr Chun on 19 June 2018. </w:t>
      </w:r>
      <w:r w:rsidR="0059384F">
        <w:rPr>
          <w:bCs/>
          <w:lang w:val="en-GB"/>
        </w:rPr>
        <w:t xml:space="preserve"> According to the joint expert report dated 9 August 2018 (</w:t>
      </w:r>
      <w:r w:rsidR="0059384F" w:rsidRPr="0059384F">
        <w:rPr>
          <w:b/>
          <w:bCs/>
          <w:lang w:val="en-GB"/>
        </w:rPr>
        <w:t>“the Joint Expert Report”</w:t>
      </w:r>
      <w:r w:rsidR="0059384F">
        <w:rPr>
          <w:bCs/>
          <w:lang w:val="en-GB"/>
        </w:rPr>
        <w:t>)</w:t>
      </w:r>
      <w:r w:rsidR="00212EE2">
        <w:rPr>
          <w:bCs/>
          <w:lang w:val="en-GB"/>
        </w:rPr>
        <w:t>, Dr Chun opined, among other things, that</w:t>
      </w:r>
      <w:r w:rsidR="0059384F">
        <w:rPr>
          <w:bCs/>
          <w:lang w:val="en-GB"/>
        </w:rPr>
        <w:t>:</w:t>
      </w:r>
    </w:p>
    <w:p w:rsidR="00CD3127" w:rsidRDefault="00CD3127" w:rsidP="001E49C2">
      <w:pPr>
        <w:tabs>
          <w:tab w:val="clear" w:pos="1440"/>
          <w:tab w:val="clear" w:pos="4320"/>
          <w:tab w:val="clear" w:pos="9072"/>
          <w:tab w:val="left" w:pos="2160"/>
        </w:tabs>
        <w:spacing w:line="360" w:lineRule="auto"/>
        <w:ind w:left="2160"/>
        <w:jc w:val="both"/>
        <w:rPr>
          <w:bCs/>
          <w:lang w:val="en-GB"/>
        </w:rPr>
      </w:pPr>
    </w:p>
    <w:p w:rsidR="00935B43" w:rsidRDefault="009E6F0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diagnoses for the said injury of 8/10/2015 should be contusion of </w:t>
      </w:r>
      <w:r w:rsidR="00935B43">
        <w:rPr>
          <w:bCs/>
          <w:lang w:val="en-GB"/>
        </w:rPr>
        <w:t xml:space="preserve">left knee </w:t>
      </w:r>
      <w:r>
        <w:rPr>
          <w:bCs/>
          <w:lang w:val="en-GB"/>
        </w:rPr>
        <w:t>with superficial abrasion upon previous abrasion scar and possible minor contusion and sprain of the low back</w:t>
      </w:r>
      <w:r w:rsidR="00935B43">
        <w:rPr>
          <w:bCs/>
          <w:lang w:val="en-GB"/>
        </w:rPr>
        <w:t>.</w:t>
      </w:r>
      <w:r>
        <w:rPr>
          <w:bCs/>
          <w:lang w:val="en-GB"/>
        </w:rPr>
        <w:t>”</w:t>
      </w:r>
      <w:r>
        <w:rPr>
          <w:rStyle w:val="FootnoteReference"/>
          <w:bCs/>
          <w:lang w:val="en-GB"/>
        </w:rPr>
        <w:footnoteReference w:id="13"/>
      </w:r>
      <w:r w:rsidR="00935B43">
        <w:rPr>
          <w:bCs/>
          <w:lang w:val="en-GB"/>
        </w:rPr>
        <w:t xml:space="preserve">  </w:t>
      </w:r>
    </w:p>
    <w:p w:rsidR="00CD3127" w:rsidRDefault="00CD3127" w:rsidP="001E49C2">
      <w:pPr>
        <w:tabs>
          <w:tab w:val="clear" w:pos="1440"/>
          <w:tab w:val="clear" w:pos="4320"/>
          <w:tab w:val="clear" w:pos="9072"/>
          <w:tab w:val="left" w:pos="2160"/>
        </w:tabs>
        <w:spacing w:line="360" w:lineRule="auto"/>
        <w:ind w:left="2160"/>
        <w:jc w:val="both"/>
        <w:rPr>
          <w:bCs/>
          <w:lang w:val="en-GB"/>
        </w:rPr>
      </w:pPr>
    </w:p>
    <w:p w:rsidR="009E6F05" w:rsidRDefault="009E6F0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“At this examination Mr. Tang complained of continuous nonstop low back pain is inappropriate in the absence of cancer or injection.  Any pain at the low back in relation to the spondylolysis/degenerative changes should be of mechanical in nature, namely, absence of rest pain but being triggered by factors such as movement, loading, exertion.  His complaints of calf cramps, left posterior heel pain, arm pain, mid back pain and right knee pain should be totally unrelated to the alleged injury of 8/10/2015.”</w:t>
      </w:r>
      <w:r>
        <w:rPr>
          <w:rStyle w:val="FootnoteReference"/>
          <w:bCs/>
          <w:lang w:val="en-GB"/>
        </w:rPr>
        <w:footnoteReference w:id="14"/>
      </w:r>
    </w:p>
    <w:p w:rsidR="00CD3127" w:rsidRDefault="00CD3127" w:rsidP="001E49C2">
      <w:pPr>
        <w:tabs>
          <w:tab w:val="clear" w:pos="1440"/>
          <w:tab w:val="clear" w:pos="4320"/>
          <w:tab w:val="clear" w:pos="9072"/>
          <w:tab w:val="left" w:pos="2160"/>
        </w:tabs>
        <w:spacing w:line="360" w:lineRule="auto"/>
        <w:ind w:left="2160"/>
        <w:jc w:val="both"/>
        <w:rPr>
          <w:bCs/>
          <w:lang w:val="en-GB"/>
        </w:rPr>
      </w:pPr>
    </w:p>
    <w:p w:rsidR="00316A4C" w:rsidRDefault="00316A4C"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“On physical examination the widespread tenderness of the back from mid-thoracic down to coccyx is not consistent with the initially documented tenderness and such widespread tenderness is inappropriate.  There is no nerve root tension sign, the distraction test and the Waddell’s</w:t>
      </w:r>
      <w:r w:rsidR="009C40A3">
        <w:rPr>
          <w:bCs/>
          <w:lang w:val="en-GB"/>
        </w:rPr>
        <w:t xml:space="preserve"> simulation tests are positive…”</w:t>
      </w:r>
      <w:r w:rsidR="009C40A3">
        <w:rPr>
          <w:rStyle w:val="FootnoteReference"/>
          <w:bCs/>
          <w:lang w:val="en-GB"/>
        </w:rPr>
        <w:footnoteReference w:id="15"/>
      </w:r>
    </w:p>
    <w:p w:rsidR="00963B7B" w:rsidRDefault="00963B7B" w:rsidP="001E49C2">
      <w:pPr>
        <w:pStyle w:val="ListParagraph"/>
        <w:spacing w:line="360" w:lineRule="auto"/>
        <w:rPr>
          <w:bCs/>
          <w:lang w:val="en-GB"/>
        </w:rPr>
      </w:pPr>
    </w:p>
    <w:p w:rsidR="00963B7B" w:rsidRDefault="009C40A3"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“In short he had grossly exaggerated and expanded his symptoms and disability at this examination.  His condition had long reached maximal medical improvement.  No further treatment is required or will be effective in dealing with symptoms and signs that are exaggerated and inappropriate.”</w:t>
      </w:r>
      <w:r>
        <w:rPr>
          <w:rStyle w:val="FootnoteReference"/>
          <w:bCs/>
          <w:lang w:val="en-GB"/>
        </w:rPr>
        <w:footnoteReference w:id="16"/>
      </w:r>
      <w:r>
        <w:rPr>
          <w:bCs/>
          <w:lang w:val="en-GB"/>
        </w:rPr>
        <w:t xml:space="preserve">  </w:t>
      </w:r>
    </w:p>
    <w:p w:rsidR="00963B7B" w:rsidRDefault="00963B7B" w:rsidP="001E49C2">
      <w:pPr>
        <w:tabs>
          <w:tab w:val="clear" w:pos="1440"/>
          <w:tab w:val="clear" w:pos="4320"/>
          <w:tab w:val="clear" w:pos="9072"/>
          <w:tab w:val="left" w:pos="2160"/>
        </w:tabs>
        <w:spacing w:line="360" w:lineRule="auto"/>
        <w:ind w:left="2160"/>
        <w:jc w:val="both"/>
        <w:rPr>
          <w:bCs/>
          <w:lang w:val="en-GB"/>
        </w:rPr>
      </w:pPr>
    </w:p>
    <w:p w:rsidR="009C40A3" w:rsidRDefault="00963B7B"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“…there is 5% whole person impairment which should be pre-existing.  I apportion 3% whole person impairment to the fall on 8/10/2015 in triggering/aggravating the pre-existing condition.  Likewise the loss of earning capacity for the parties’ reference is 3%.”</w:t>
      </w:r>
      <w:r>
        <w:rPr>
          <w:rStyle w:val="FootnoteReference"/>
          <w:bCs/>
          <w:lang w:val="en-GB"/>
        </w:rPr>
        <w:footnoteReference w:id="17"/>
      </w:r>
    </w:p>
    <w:p w:rsidR="009C40A3" w:rsidRDefault="009C40A3" w:rsidP="001E49C2">
      <w:pPr>
        <w:tabs>
          <w:tab w:val="clear" w:pos="4320"/>
          <w:tab w:val="clear" w:pos="9072"/>
        </w:tabs>
        <w:spacing w:line="360" w:lineRule="auto"/>
        <w:jc w:val="both"/>
        <w:rPr>
          <w:bCs/>
          <w:lang w:val="en-GB"/>
        </w:rPr>
      </w:pPr>
    </w:p>
    <w:p w:rsidR="0059384F" w:rsidRDefault="009E6F05" w:rsidP="001E49C2">
      <w:pPr>
        <w:numPr>
          <w:ilvl w:val="0"/>
          <w:numId w:val="2"/>
        </w:numPr>
        <w:tabs>
          <w:tab w:val="clear" w:pos="360"/>
          <w:tab w:val="clear" w:pos="4320"/>
          <w:tab w:val="clear" w:pos="9072"/>
        </w:tabs>
        <w:spacing w:line="360" w:lineRule="auto"/>
        <w:jc w:val="both"/>
        <w:rPr>
          <w:bCs/>
          <w:lang w:val="en-GB"/>
        </w:rPr>
      </w:pPr>
      <w:r>
        <w:rPr>
          <w:bCs/>
          <w:lang w:val="en-GB"/>
        </w:rPr>
        <w:t>On the other hand, Dr Kong opined, among other things, that:</w:t>
      </w:r>
    </w:p>
    <w:p w:rsidR="009C40A3" w:rsidRDefault="009C40A3" w:rsidP="001E49C2">
      <w:pPr>
        <w:tabs>
          <w:tab w:val="clear" w:pos="1440"/>
          <w:tab w:val="clear" w:pos="4320"/>
          <w:tab w:val="clear" w:pos="9072"/>
          <w:tab w:val="left" w:pos="2160"/>
        </w:tabs>
        <w:spacing w:line="360" w:lineRule="auto"/>
        <w:ind w:left="2160"/>
        <w:jc w:val="both"/>
        <w:rPr>
          <w:bCs/>
          <w:lang w:val="en-GB"/>
        </w:rPr>
      </w:pPr>
    </w:p>
    <w:p w:rsidR="009E6F05" w:rsidRDefault="009E6F05"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“From review of medical records and documents, the medical diagnoses of Mr. Tang are:</w:t>
      </w:r>
    </w:p>
    <w:p w:rsidR="00CD3127" w:rsidRDefault="00CD3127" w:rsidP="001E49C2">
      <w:pPr>
        <w:tabs>
          <w:tab w:val="clear" w:pos="1440"/>
          <w:tab w:val="clear" w:pos="4320"/>
          <w:tab w:val="clear" w:pos="9072"/>
          <w:tab w:val="left" w:pos="2880"/>
        </w:tabs>
        <w:spacing w:line="360" w:lineRule="auto"/>
        <w:ind w:left="2880"/>
        <w:jc w:val="both"/>
        <w:rPr>
          <w:bCs/>
          <w:lang w:val="en-GB"/>
        </w:rPr>
      </w:pPr>
    </w:p>
    <w:p w:rsidR="009E6F05" w:rsidRDefault="00FD1756" w:rsidP="001E49C2">
      <w:pPr>
        <w:numPr>
          <w:ilvl w:val="4"/>
          <w:numId w:val="2"/>
        </w:numPr>
        <w:tabs>
          <w:tab w:val="clear" w:pos="1440"/>
          <w:tab w:val="clear" w:pos="4320"/>
          <w:tab w:val="clear" w:pos="9072"/>
          <w:tab w:val="left" w:pos="2880"/>
        </w:tabs>
        <w:spacing w:line="360" w:lineRule="auto"/>
        <w:ind w:left="2880" w:hanging="720"/>
        <w:jc w:val="both"/>
        <w:rPr>
          <w:bCs/>
          <w:lang w:val="en-GB"/>
        </w:rPr>
      </w:pPr>
      <w:r>
        <w:rPr>
          <w:bCs/>
          <w:lang w:val="en-GB"/>
        </w:rPr>
        <w:t>Left knee contusion; and</w:t>
      </w:r>
    </w:p>
    <w:p w:rsidR="00FD1756" w:rsidRDefault="00FD1756" w:rsidP="001E49C2">
      <w:pPr>
        <w:numPr>
          <w:ilvl w:val="4"/>
          <w:numId w:val="2"/>
        </w:numPr>
        <w:tabs>
          <w:tab w:val="clear" w:pos="1440"/>
          <w:tab w:val="clear" w:pos="4320"/>
          <w:tab w:val="clear" w:pos="9072"/>
          <w:tab w:val="left" w:pos="2880"/>
        </w:tabs>
        <w:spacing w:line="360" w:lineRule="auto"/>
        <w:ind w:left="2880" w:hanging="720"/>
        <w:jc w:val="both"/>
        <w:rPr>
          <w:bCs/>
          <w:lang w:val="en-GB"/>
        </w:rPr>
      </w:pPr>
      <w:r>
        <w:rPr>
          <w:bCs/>
          <w:lang w:val="en-GB"/>
        </w:rPr>
        <w:t>Soft tissue back contusion</w:t>
      </w:r>
      <w:r w:rsidR="00316A4C">
        <w:rPr>
          <w:bCs/>
          <w:lang w:val="en-GB"/>
        </w:rPr>
        <w:t>.</w:t>
      </w:r>
    </w:p>
    <w:p w:rsidR="00316A4C" w:rsidRDefault="00316A4C" w:rsidP="001E49C2">
      <w:pPr>
        <w:tabs>
          <w:tab w:val="clear" w:pos="1440"/>
          <w:tab w:val="clear" w:pos="4320"/>
          <w:tab w:val="clear" w:pos="9072"/>
          <w:tab w:val="left" w:pos="2880"/>
        </w:tabs>
        <w:spacing w:line="360" w:lineRule="auto"/>
        <w:ind w:left="2160"/>
        <w:jc w:val="both"/>
        <w:rPr>
          <w:bCs/>
          <w:lang w:val="en-GB"/>
        </w:rPr>
      </w:pPr>
    </w:p>
    <w:p w:rsidR="00316A4C" w:rsidRDefault="00316A4C" w:rsidP="001E49C2">
      <w:pPr>
        <w:tabs>
          <w:tab w:val="clear" w:pos="1440"/>
          <w:tab w:val="clear" w:pos="4320"/>
          <w:tab w:val="clear" w:pos="9072"/>
          <w:tab w:val="left" w:pos="2880"/>
        </w:tabs>
        <w:spacing w:line="360" w:lineRule="auto"/>
        <w:ind w:left="2160"/>
        <w:jc w:val="both"/>
        <w:rPr>
          <w:bCs/>
          <w:lang w:val="en-GB"/>
        </w:rPr>
      </w:pPr>
      <w:r>
        <w:rPr>
          <w:bCs/>
          <w:lang w:val="en-GB"/>
        </w:rPr>
        <w:t>He has pre-existing conditions of:</w:t>
      </w:r>
    </w:p>
    <w:p w:rsidR="00CD3127" w:rsidRDefault="00CD3127" w:rsidP="001E49C2">
      <w:pPr>
        <w:tabs>
          <w:tab w:val="clear" w:pos="1440"/>
          <w:tab w:val="clear" w:pos="4320"/>
          <w:tab w:val="clear" w:pos="9072"/>
          <w:tab w:val="left" w:pos="2880"/>
        </w:tabs>
        <w:spacing w:line="360" w:lineRule="auto"/>
        <w:ind w:left="2160"/>
        <w:jc w:val="both"/>
        <w:rPr>
          <w:bCs/>
          <w:lang w:val="en-GB"/>
        </w:rPr>
      </w:pPr>
    </w:p>
    <w:p w:rsidR="00316A4C" w:rsidRDefault="00316A4C" w:rsidP="001E49C2">
      <w:pPr>
        <w:tabs>
          <w:tab w:val="clear" w:pos="1440"/>
          <w:tab w:val="clear" w:pos="4320"/>
          <w:tab w:val="clear" w:pos="9072"/>
          <w:tab w:val="left" w:pos="2880"/>
        </w:tabs>
        <w:spacing w:line="360" w:lineRule="auto"/>
        <w:ind w:left="2160"/>
        <w:jc w:val="both"/>
        <w:rPr>
          <w:bCs/>
          <w:lang w:val="en-GB"/>
        </w:rPr>
      </w:pPr>
      <w:r>
        <w:rPr>
          <w:bCs/>
          <w:lang w:val="en-GB"/>
        </w:rPr>
        <w:t xml:space="preserve">(i) </w:t>
      </w:r>
      <w:r>
        <w:rPr>
          <w:bCs/>
          <w:lang w:val="en-GB"/>
        </w:rPr>
        <w:tab/>
        <w:t>Bilateral L5 pars defect;</w:t>
      </w:r>
    </w:p>
    <w:p w:rsidR="00316A4C" w:rsidRDefault="00316A4C" w:rsidP="001E49C2">
      <w:pPr>
        <w:tabs>
          <w:tab w:val="clear" w:pos="1440"/>
          <w:tab w:val="clear" w:pos="4320"/>
          <w:tab w:val="clear" w:pos="9072"/>
          <w:tab w:val="left" w:pos="2880"/>
        </w:tabs>
        <w:spacing w:line="360" w:lineRule="auto"/>
        <w:ind w:left="2160"/>
        <w:jc w:val="both"/>
        <w:rPr>
          <w:bCs/>
          <w:lang w:val="en-GB"/>
        </w:rPr>
      </w:pPr>
      <w:r>
        <w:rPr>
          <w:bCs/>
          <w:lang w:val="en-GB"/>
        </w:rPr>
        <w:t xml:space="preserve">(ii) </w:t>
      </w:r>
      <w:r>
        <w:rPr>
          <w:bCs/>
          <w:lang w:val="en-GB"/>
        </w:rPr>
        <w:tab/>
        <w:t>Minimal lumbar spondylosis;</w:t>
      </w:r>
    </w:p>
    <w:p w:rsidR="00316A4C" w:rsidRDefault="00316A4C" w:rsidP="001E49C2">
      <w:pPr>
        <w:tabs>
          <w:tab w:val="clear" w:pos="1440"/>
          <w:tab w:val="clear" w:pos="4320"/>
          <w:tab w:val="clear" w:pos="9072"/>
          <w:tab w:val="left" w:pos="2880"/>
        </w:tabs>
        <w:spacing w:line="360" w:lineRule="auto"/>
        <w:ind w:left="2160"/>
        <w:jc w:val="both"/>
        <w:rPr>
          <w:bCs/>
          <w:lang w:val="en-GB"/>
        </w:rPr>
      </w:pPr>
      <w:r>
        <w:rPr>
          <w:bCs/>
          <w:lang w:val="en-GB"/>
        </w:rPr>
        <w:t xml:space="preserve">(iii) </w:t>
      </w:r>
      <w:r>
        <w:rPr>
          <w:bCs/>
          <w:lang w:val="en-GB"/>
        </w:rPr>
        <w:tab/>
        <w:t>Mild PID L4/5 with annulus tear.</w:t>
      </w:r>
    </w:p>
    <w:p w:rsidR="00316A4C" w:rsidRDefault="00316A4C" w:rsidP="001E49C2">
      <w:pPr>
        <w:tabs>
          <w:tab w:val="clear" w:pos="1440"/>
          <w:tab w:val="clear" w:pos="4320"/>
          <w:tab w:val="clear" w:pos="9072"/>
          <w:tab w:val="left" w:pos="2880"/>
        </w:tabs>
        <w:spacing w:line="360" w:lineRule="auto"/>
        <w:ind w:left="2160"/>
        <w:jc w:val="both"/>
        <w:rPr>
          <w:bCs/>
          <w:lang w:val="en-GB"/>
        </w:rPr>
      </w:pPr>
    </w:p>
    <w:p w:rsidR="00316A4C" w:rsidRDefault="00316A4C" w:rsidP="001E49C2">
      <w:pPr>
        <w:tabs>
          <w:tab w:val="clear" w:pos="1440"/>
          <w:tab w:val="clear" w:pos="4320"/>
          <w:tab w:val="clear" w:pos="9072"/>
          <w:tab w:val="left" w:pos="2880"/>
        </w:tabs>
        <w:spacing w:line="360" w:lineRule="auto"/>
        <w:ind w:left="2160"/>
        <w:jc w:val="both"/>
        <w:rPr>
          <w:bCs/>
          <w:lang w:val="en-GB"/>
        </w:rPr>
      </w:pPr>
      <w:r>
        <w:rPr>
          <w:bCs/>
          <w:lang w:val="en-GB"/>
        </w:rPr>
        <w:t>His pre-existing conditions may or may not be symptomatic.  They are not related to the subject injury.</w:t>
      </w:r>
    </w:p>
    <w:p w:rsidR="00316A4C" w:rsidRDefault="00316A4C" w:rsidP="001E49C2">
      <w:pPr>
        <w:tabs>
          <w:tab w:val="clear" w:pos="1440"/>
          <w:tab w:val="clear" w:pos="4320"/>
          <w:tab w:val="clear" w:pos="9072"/>
          <w:tab w:val="left" w:pos="2880"/>
        </w:tabs>
        <w:spacing w:line="360" w:lineRule="auto"/>
        <w:ind w:left="2160"/>
        <w:jc w:val="both"/>
        <w:rPr>
          <w:bCs/>
          <w:lang w:val="en-GB"/>
        </w:rPr>
      </w:pPr>
    </w:p>
    <w:p w:rsidR="00316A4C" w:rsidRDefault="00316A4C" w:rsidP="001E49C2">
      <w:pPr>
        <w:tabs>
          <w:tab w:val="clear" w:pos="1440"/>
          <w:tab w:val="clear" w:pos="4320"/>
          <w:tab w:val="clear" w:pos="9072"/>
          <w:tab w:val="left" w:pos="2880"/>
        </w:tabs>
        <w:spacing w:line="360" w:lineRule="auto"/>
        <w:ind w:left="2160"/>
        <w:jc w:val="both"/>
        <w:rPr>
          <w:bCs/>
          <w:lang w:val="en-GB"/>
        </w:rPr>
      </w:pPr>
      <w:r>
        <w:rPr>
          <w:bCs/>
          <w:lang w:val="en-GB"/>
        </w:rPr>
        <w:t>Mr. Tang is relatively young at age 30.  He is asymptomatic before the subject injury.  The subject accident has likely aggravated his pre-existing conditions, causing an increase in soft tissue residue of back pain and stiffness.”</w:t>
      </w:r>
      <w:r>
        <w:rPr>
          <w:rStyle w:val="FootnoteReference"/>
          <w:bCs/>
          <w:lang w:val="en-GB"/>
        </w:rPr>
        <w:footnoteReference w:id="18"/>
      </w:r>
    </w:p>
    <w:p w:rsidR="009C40A3" w:rsidRDefault="009C40A3" w:rsidP="001E49C2">
      <w:pPr>
        <w:tabs>
          <w:tab w:val="clear" w:pos="1440"/>
          <w:tab w:val="clear" w:pos="4320"/>
          <w:tab w:val="clear" w:pos="9072"/>
          <w:tab w:val="left" w:pos="2160"/>
        </w:tabs>
        <w:spacing w:line="360" w:lineRule="auto"/>
        <w:ind w:left="2160"/>
        <w:jc w:val="both"/>
        <w:rPr>
          <w:bCs/>
          <w:lang w:val="en-GB"/>
        </w:rPr>
      </w:pPr>
    </w:p>
    <w:p w:rsidR="009C40A3" w:rsidRDefault="009C40A3"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subject injury occurred more than 2.5 years ago.  He complained of residual soft tissue back pain and bilateral thighs pulling sensation.  Physical examination revealed that tenderness over midline and bilateral paralumbar muscles.  Range of motion of lumbar spine was satisfactory.  There was no neurological deficit.  Waddell’s signs score 3/5, which suggest psychosocial factors may play a role in the aetiology of his low back symptoms.  They are also part of the body language signs that Mr. Tang tries to convey to the examiners that he still suffers from modest soft tissue residue back pain.</w:t>
      </w:r>
    </w:p>
    <w:p w:rsidR="009C40A3" w:rsidRDefault="009C40A3" w:rsidP="001E49C2">
      <w:pPr>
        <w:tabs>
          <w:tab w:val="clear" w:pos="1440"/>
          <w:tab w:val="clear" w:pos="4320"/>
          <w:tab w:val="clear" w:pos="9072"/>
          <w:tab w:val="left" w:pos="2160"/>
        </w:tabs>
        <w:spacing w:line="360" w:lineRule="auto"/>
        <w:ind w:left="2160"/>
        <w:jc w:val="both"/>
        <w:rPr>
          <w:bCs/>
          <w:lang w:val="en-GB"/>
        </w:rPr>
      </w:pPr>
    </w:p>
    <w:p w:rsidR="009C40A3" w:rsidRDefault="009C40A3" w:rsidP="001E49C2">
      <w:pPr>
        <w:tabs>
          <w:tab w:val="clear" w:pos="1440"/>
          <w:tab w:val="clear" w:pos="4320"/>
          <w:tab w:val="clear" w:pos="9072"/>
          <w:tab w:val="left" w:pos="2160"/>
        </w:tabs>
        <w:spacing w:line="360" w:lineRule="auto"/>
        <w:ind w:left="2160"/>
        <w:jc w:val="both"/>
        <w:rPr>
          <w:bCs/>
          <w:lang w:val="en-GB"/>
        </w:rPr>
      </w:pPr>
      <w:r>
        <w:rPr>
          <w:bCs/>
          <w:lang w:val="en-GB"/>
        </w:rPr>
        <w:t>XRs of lumbar spine confirm presence of pre-existing bilateral pars defect, with disc spaces preserved and minimal pre-existing lumbar spondylosis.</w:t>
      </w:r>
    </w:p>
    <w:p w:rsidR="009C40A3" w:rsidRDefault="009C40A3" w:rsidP="001E49C2">
      <w:pPr>
        <w:tabs>
          <w:tab w:val="clear" w:pos="1440"/>
          <w:tab w:val="clear" w:pos="4320"/>
          <w:tab w:val="clear" w:pos="9072"/>
          <w:tab w:val="left" w:pos="2160"/>
        </w:tabs>
        <w:spacing w:line="360" w:lineRule="auto"/>
        <w:ind w:left="2160"/>
        <w:jc w:val="both"/>
        <w:rPr>
          <w:bCs/>
          <w:lang w:val="en-GB"/>
        </w:rPr>
      </w:pPr>
    </w:p>
    <w:p w:rsidR="009E6F05" w:rsidRDefault="009C40A3" w:rsidP="001E49C2">
      <w:pPr>
        <w:tabs>
          <w:tab w:val="clear" w:pos="1440"/>
          <w:tab w:val="clear" w:pos="4320"/>
          <w:tab w:val="clear" w:pos="9072"/>
          <w:tab w:val="left" w:pos="2160"/>
        </w:tabs>
        <w:spacing w:line="360" w:lineRule="auto"/>
        <w:ind w:left="2160"/>
        <w:jc w:val="both"/>
        <w:rPr>
          <w:bCs/>
          <w:lang w:val="en-GB"/>
        </w:rPr>
      </w:pPr>
      <w:r>
        <w:rPr>
          <w:bCs/>
          <w:lang w:val="en-GB"/>
        </w:rPr>
        <w:t xml:space="preserve">From </w:t>
      </w:r>
      <w:r w:rsidR="00C21BB2">
        <w:rPr>
          <w:bCs/>
          <w:lang w:val="en-GB"/>
        </w:rPr>
        <w:t>the medical point of view, Mr. T</w:t>
      </w:r>
      <w:r>
        <w:rPr>
          <w:bCs/>
          <w:lang w:val="en-GB"/>
        </w:rPr>
        <w:t>ang has attained a relative satisfactory recovery with modest soft tissue residue back pain, back stiffness and thigh pulling sensation.”</w:t>
      </w:r>
      <w:r>
        <w:rPr>
          <w:rStyle w:val="FootnoteReference"/>
          <w:bCs/>
          <w:lang w:val="en-GB"/>
        </w:rPr>
        <w:footnoteReference w:id="19"/>
      </w:r>
      <w:r>
        <w:rPr>
          <w:bCs/>
          <w:lang w:val="en-GB"/>
        </w:rPr>
        <w:t xml:space="preserve"> </w:t>
      </w:r>
    </w:p>
    <w:p w:rsidR="00963B7B" w:rsidRDefault="00963B7B" w:rsidP="001E49C2">
      <w:pPr>
        <w:tabs>
          <w:tab w:val="clear" w:pos="1440"/>
          <w:tab w:val="clear" w:pos="4320"/>
          <w:tab w:val="clear" w:pos="9072"/>
          <w:tab w:val="left" w:pos="2160"/>
        </w:tabs>
        <w:spacing w:line="360" w:lineRule="auto"/>
        <w:ind w:left="2160"/>
        <w:jc w:val="both"/>
        <w:rPr>
          <w:bCs/>
          <w:lang w:val="en-GB"/>
        </w:rPr>
      </w:pPr>
    </w:p>
    <w:p w:rsidR="00963B7B" w:rsidRDefault="00963B7B"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From the medical point of view, with passage of time and further work training and rehabilitation, Mr. Tang should be able to resume his previous occupation as a mechanic and maintenance worker with modest degree of reasonable deduction of working efficiency and endurance because of his soft tissue residue back pain.  He may experience mild back discomfort in full squatting and prolonged standing and walking.”</w:t>
      </w:r>
      <w:r>
        <w:rPr>
          <w:rStyle w:val="FootnoteReference"/>
          <w:bCs/>
          <w:lang w:val="en-GB"/>
        </w:rPr>
        <w:footnoteReference w:id="20"/>
      </w:r>
      <w:r>
        <w:rPr>
          <w:bCs/>
          <w:lang w:val="en-GB"/>
        </w:rPr>
        <w:t xml:space="preserve">  </w:t>
      </w:r>
    </w:p>
    <w:p w:rsidR="00963B7B" w:rsidRDefault="00963B7B" w:rsidP="001E49C2">
      <w:pPr>
        <w:pStyle w:val="ListParagraph"/>
        <w:spacing w:line="360" w:lineRule="auto"/>
        <w:rPr>
          <w:bCs/>
          <w:lang w:val="en-GB"/>
        </w:rPr>
      </w:pPr>
    </w:p>
    <w:p w:rsidR="00963B7B" w:rsidRDefault="00963B7B"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“For the subject injury, Dr Kong suggests 3-5% whole person impairment and 3-5% loss of earning capacity.”</w:t>
      </w:r>
      <w:r>
        <w:rPr>
          <w:rStyle w:val="FootnoteReference"/>
          <w:bCs/>
          <w:lang w:val="en-GB"/>
        </w:rPr>
        <w:footnoteReference w:id="21"/>
      </w:r>
    </w:p>
    <w:p w:rsidR="00963B7B" w:rsidRDefault="00963B7B" w:rsidP="001E49C2">
      <w:pPr>
        <w:pStyle w:val="ListParagraph"/>
        <w:spacing w:line="360" w:lineRule="auto"/>
        <w:rPr>
          <w:bCs/>
          <w:lang w:val="en-GB"/>
        </w:rPr>
      </w:pPr>
    </w:p>
    <w:p w:rsidR="00963B7B" w:rsidRDefault="00963B7B"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“Mr. Tang received lengthy courses of physiotherapy and occupational therapy for rehabilitation.  He also sought treatments from a number of private orthopaedic surgeons as well as bone setters for his residual back pain.  From the medical point of view, the intermittent sick leaves granted by his treating doctors up to 14.01.2018 are within reasonable limits.”</w:t>
      </w:r>
      <w:r>
        <w:rPr>
          <w:rStyle w:val="FootnoteReference"/>
          <w:bCs/>
          <w:lang w:val="en-GB"/>
        </w:rPr>
        <w:footnoteReference w:id="22"/>
      </w:r>
    </w:p>
    <w:p w:rsidR="009C40A3" w:rsidRDefault="009C40A3" w:rsidP="001E49C2">
      <w:pPr>
        <w:tabs>
          <w:tab w:val="clear" w:pos="1440"/>
          <w:tab w:val="clear" w:pos="4320"/>
          <w:tab w:val="clear" w:pos="9072"/>
          <w:tab w:val="left" w:pos="2160"/>
        </w:tabs>
        <w:spacing w:line="360" w:lineRule="auto"/>
        <w:ind w:left="2160"/>
        <w:jc w:val="both"/>
        <w:rPr>
          <w:bCs/>
          <w:lang w:val="en-GB"/>
        </w:rPr>
      </w:pPr>
    </w:p>
    <w:p w:rsidR="009E6F05" w:rsidRDefault="00CD3127" w:rsidP="001E49C2">
      <w:pPr>
        <w:numPr>
          <w:ilvl w:val="0"/>
          <w:numId w:val="2"/>
        </w:numPr>
        <w:tabs>
          <w:tab w:val="clear" w:pos="360"/>
          <w:tab w:val="clear" w:pos="4320"/>
          <w:tab w:val="clear" w:pos="9072"/>
        </w:tabs>
        <w:spacing w:line="360" w:lineRule="auto"/>
        <w:jc w:val="both"/>
        <w:rPr>
          <w:bCs/>
          <w:lang w:val="en-GB"/>
        </w:rPr>
      </w:pPr>
      <w:r>
        <w:rPr>
          <w:bCs/>
          <w:lang w:val="en-GB"/>
        </w:rPr>
        <w:t>On prognosis, Dr Chun opined that even in the absence of the accident on 8 October 2015, there is a strong possibility that the plaintiff would have mechanical type of low back pain at any time in any event.  Dr Kong did not</w:t>
      </w:r>
      <w:r w:rsidR="004A1D88">
        <w:rPr>
          <w:bCs/>
          <w:lang w:val="en-GB"/>
        </w:rPr>
        <w:t xml:space="preserve"> say that he</w:t>
      </w:r>
      <w:r>
        <w:rPr>
          <w:bCs/>
          <w:lang w:val="en-GB"/>
        </w:rPr>
        <w:t xml:space="preserve"> disagree</w:t>
      </w:r>
      <w:r w:rsidR="004A1D88">
        <w:rPr>
          <w:bCs/>
          <w:lang w:val="en-GB"/>
        </w:rPr>
        <w:t>d</w:t>
      </w:r>
      <w:r w:rsidR="00FB72C3">
        <w:rPr>
          <w:bCs/>
          <w:lang w:val="en-GB"/>
        </w:rPr>
        <w:t>.  He</w:t>
      </w:r>
      <w:r>
        <w:rPr>
          <w:bCs/>
          <w:lang w:val="en-GB"/>
        </w:rPr>
        <w:t xml:space="preserve"> commented that the plaintiff’s medical prognosis should be good.</w:t>
      </w:r>
      <w:r w:rsidR="0013266F">
        <w:rPr>
          <w:rStyle w:val="FootnoteReference"/>
          <w:bCs/>
          <w:lang w:val="en-GB"/>
        </w:rPr>
        <w:footnoteReference w:id="23"/>
      </w:r>
      <w:r>
        <w:rPr>
          <w:bCs/>
          <w:lang w:val="en-GB"/>
        </w:rPr>
        <w:t xml:space="preserve"> </w:t>
      </w:r>
    </w:p>
    <w:p w:rsidR="0013266F" w:rsidRDefault="0013266F" w:rsidP="001E49C2">
      <w:pPr>
        <w:tabs>
          <w:tab w:val="clear" w:pos="4320"/>
          <w:tab w:val="clear" w:pos="9072"/>
        </w:tabs>
        <w:spacing w:line="360" w:lineRule="auto"/>
        <w:jc w:val="both"/>
        <w:rPr>
          <w:bCs/>
          <w:lang w:val="en-GB"/>
        </w:rPr>
      </w:pPr>
    </w:p>
    <w:p w:rsidR="0013266F" w:rsidRDefault="0013266F" w:rsidP="001E49C2">
      <w:pPr>
        <w:numPr>
          <w:ilvl w:val="0"/>
          <w:numId w:val="2"/>
        </w:numPr>
        <w:tabs>
          <w:tab w:val="clear" w:pos="360"/>
          <w:tab w:val="clear" w:pos="4320"/>
          <w:tab w:val="clear" w:pos="9072"/>
        </w:tabs>
        <w:spacing w:line="360" w:lineRule="auto"/>
        <w:jc w:val="both"/>
        <w:rPr>
          <w:bCs/>
          <w:lang w:val="en-GB"/>
        </w:rPr>
      </w:pPr>
      <w:r>
        <w:rPr>
          <w:bCs/>
          <w:lang w:val="en-GB"/>
        </w:rPr>
        <w:t>It can be seen that as far as the aforesaid quoted opinions are concerned, the experts are more or less in agreement:  the plaintiff suffered from left knee contusion and soft tissue back contusion</w:t>
      </w:r>
      <w:r w:rsidR="000C2522">
        <w:rPr>
          <w:bCs/>
          <w:lang w:val="en-GB"/>
        </w:rPr>
        <w:t xml:space="preserve"> in the accident</w:t>
      </w:r>
      <w:r>
        <w:rPr>
          <w:bCs/>
          <w:lang w:val="en-GB"/>
        </w:rPr>
        <w:t>.  He had pre-existing conditions which were a</w:t>
      </w:r>
      <w:r w:rsidR="000C2522">
        <w:rPr>
          <w:bCs/>
          <w:lang w:val="en-GB"/>
        </w:rPr>
        <w:t xml:space="preserve">symptomatic </w:t>
      </w:r>
      <w:r>
        <w:rPr>
          <w:bCs/>
          <w:lang w:val="en-GB"/>
        </w:rPr>
        <w:t xml:space="preserve">and which became symptomatic by reason of the accident.  His prognosis is good.  </w:t>
      </w:r>
    </w:p>
    <w:p w:rsidR="0013266F" w:rsidRDefault="0013266F" w:rsidP="001E49C2">
      <w:pPr>
        <w:pStyle w:val="ListParagraph"/>
        <w:spacing w:line="360" w:lineRule="auto"/>
        <w:rPr>
          <w:bCs/>
          <w:lang w:val="en-GB"/>
        </w:rPr>
      </w:pPr>
    </w:p>
    <w:p w:rsidR="0013266F" w:rsidRDefault="0013266F" w:rsidP="001E49C2">
      <w:pPr>
        <w:numPr>
          <w:ilvl w:val="0"/>
          <w:numId w:val="2"/>
        </w:numPr>
        <w:tabs>
          <w:tab w:val="clear" w:pos="360"/>
          <w:tab w:val="clear" w:pos="4320"/>
          <w:tab w:val="clear" w:pos="9072"/>
        </w:tabs>
        <w:spacing w:line="360" w:lineRule="auto"/>
        <w:jc w:val="both"/>
        <w:rPr>
          <w:bCs/>
          <w:lang w:val="en-GB"/>
        </w:rPr>
      </w:pPr>
      <w:r>
        <w:rPr>
          <w:bCs/>
          <w:lang w:val="en-GB"/>
        </w:rPr>
        <w:t xml:space="preserve">The only material difference </w:t>
      </w:r>
      <w:r w:rsidR="0091740B">
        <w:rPr>
          <w:bCs/>
          <w:lang w:val="en-GB"/>
        </w:rPr>
        <w:t xml:space="preserve">between the experts is on the issue of whether the plaintiff had exaggerated his symptoms.  Dr Chun opined that the plaintiff did grossly exaggerate his symptoms and disability.  On the other hand, while Dr Kong recognised that there were positive Waddell’s signs, he took the view that it suggests that psychosocial factors may play a role in the aetiology of the plaintiff’s low back problems, and that these are body language signs that the plaintiff </w:t>
      </w:r>
      <w:r w:rsidR="00333520">
        <w:rPr>
          <w:bCs/>
          <w:lang w:val="en-GB"/>
        </w:rPr>
        <w:t>was trying</w:t>
      </w:r>
      <w:r w:rsidR="0091740B">
        <w:rPr>
          <w:bCs/>
          <w:lang w:val="en-GB"/>
        </w:rPr>
        <w:t xml:space="preserve"> to convey to the experts that he still suffered from modest soft tissue residue back pain.</w:t>
      </w:r>
    </w:p>
    <w:p w:rsidR="0091740B" w:rsidRDefault="0091740B" w:rsidP="001E49C2">
      <w:pPr>
        <w:pStyle w:val="ListParagraph"/>
        <w:spacing w:line="360" w:lineRule="auto"/>
        <w:rPr>
          <w:bCs/>
          <w:lang w:val="en-GB"/>
        </w:rPr>
      </w:pPr>
    </w:p>
    <w:p w:rsidR="00F90F3D" w:rsidRDefault="0091740B" w:rsidP="001E49C2">
      <w:pPr>
        <w:numPr>
          <w:ilvl w:val="0"/>
          <w:numId w:val="2"/>
        </w:numPr>
        <w:tabs>
          <w:tab w:val="clear" w:pos="360"/>
          <w:tab w:val="clear" w:pos="4320"/>
          <w:tab w:val="clear" w:pos="9072"/>
        </w:tabs>
        <w:spacing w:line="360" w:lineRule="auto"/>
        <w:jc w:val="both"/>
        <w:rPr>
          <w:bCs/>
          <w:lang w:val="en-GB"/>
        </w:rPr>
      </w:pPr>
      <w:r>
        <w:rPr>
          <w:bCs/>
          <w:lang w:val="en-GB"/>
        </w:rPr>
        <w:t>With respect, I cannot accept Dr Kong’s opinion that there is any “psychosocial factor” as such in the plaintiff’s case</w:t>
      </w:r>
      <w:r w:rsidR="005F28D0">
        <w:rPr>
          <w:bCs/>
          <w:lang w:val="en-GB"/>
        </w:rPr>
        <w:t xml:space="preserve">.  If there is really such a factor, Dr Kong would have advised the plaintiff to be examined further by, for example, a psychologist.  However, he did not do so. </w:t>
      </w:r>
      <w:r w:rsidR="000C2522">
        <w:rPr>
          <w:bCs/>
          <w:lang w:val="en-GB"/>
        </w:rPr>
        <w:t xml:space="preserve"> To the contrary, he</w:t>
      </w:r>
      <w:r w:rsidR="005F28D0">
        <w:rPr>
          <w:bCs/>
          <w:lang w:val="en-GB"/>
        </w:rPr>
        <w:t xml:space="preserve"> opined</w:t>
      </w:r>
      <w:r w:rsidR="00F90F3D">
        <w:rPr>
          <w:bCs/>
          <w:lang w:val="en-GB"/>
        </w:rPr>
        <w:t xml:space="preserve"> that “examination by other specialist is not required”</w:t>
      </w:r>
      <w:r w:rsidR="00F90F3D">
        <w:rPr>
          <w:rStyle w:val="FootnoteReference"/>
          <w:bCs/>
          <w:lang w:val="en-GB"/>
        </w:rPr>
        <w:footnoteReference w:id="24"/>
      </w:r>
      <w:r w:rsidR="00F90F3D">
        <w:rPr>
          <w:bCs/>
          <w:lang w:val="en-GB"/>
        </w:rPr>
        <w:t>.</w:t>
      </w:r>
      <w:r w:rsidR="005F28D0">
        <w:rPr>
          <w:bCs/>
          <w:lang w:val="en-GB"/>
        </w:rPr>
        <w:t xml:space="preserve">  </w:t>
      </w:r>
    </w:p>
    <w:p w:rsidR="005F28D0" w:rsidRDefault="005F28D0" w:rsidP="001E49C2">
      <w:pPr>
        <w:pStyle w:val="ListParagraph"/>
        <w:spacing w:line="360" w:lineRule="auto"/>
        <w:rPr>
          <w:bCs/>
          <w:lang w:val="en-GB"/>
        </w:rPr>
      </w:pPr>
    </w:p>
    <w:p w:rsidR="005F28D0" w:rsidRDefault="005F28D0" w:rsidP="001E49C2">
      <w:pPr>
        <w:numPr>
          <w:ilvl w:val="0"/>
          <w:numId w:val="2"/>
        </w:numPr>
        <w:tabs>
          <w:tab w:val="clear" w:pos="360"/>
          <w:tab w:val="clear" w:pos="4320"/>
          <w:tab w:val="clear" w:pos="9072"/>
        </w:tabs>
        <w:spacing w:line="360" w:lineRule="auto"/>
        <w:jc w:val="both"/>
        <w:rPr>
          <w:bCs/>
          <w:lang w:val="en-GB"/>
        </w:rPr>
      </w:pPr>
      <w:r>
        <w:rPr>
          <w:bCs/>
          <w:lang w:val="en-GB"/>
        </w:rPr>
        <w:t xml:space="preserve">Mr Lam very boldly suggested that since Dr Kong did not state that he did not have the expertise to comment, then it should be implied that his opinion on “psychosocial factor” must be something which </w:t>
      </w:r>
      <w:r w:rsidR="00CD5A1B">
        <w:rPr>
          <w:bCs/>
          <w:lang w:val="en-GB"/>
        </w:rPr>
        <w:t>is given within his expertise.  I reject this argument.  Dr Kong clearly signed off the Joint Expert Report as a specialist in Orthopaedics &amp; Traumatology</w:t>
      </w:r>
      <w:r w:rsidR="000C2522">
        <w:rPr>
          <w:bCs/>
          <w:lang w:val="en-GB"/>
        </w:rPr>
        <w:t xml:space="preserve"> only</w:t>
      </w:r>
      <w:r w:rsidR="00CD5A1B">
        <w:rPr>
          <w:bCs/>
          <w:lang w:val="en-GB"/>
        </w:rPr>
        <w:t xml:space="preserve">. </w:t>
      </w:r>
      <w:r>
        <w:rPr>
          <w:bCs/>
          <w:lang w:val="en-GB"/>
        </w:rPr>
        <w:t xml:space="preserve">  </w:t>
      </w:r>
    </w:p>
    <w:p w:rsidR="00F90F3D" w:rsidRDefault="00F90F3D" w:rsidP="001E49C2">
      <w:pPr>
        <w:pStyle w:val="ListParagraph"/>
        <w:spacing w:line="360" w:lineRule="auto"/>
        <w:rPr>
          <w:bCs/>
          <w:lang w:val="en-GB"/>
        </w:rPr>
      </w:pPr>
    </w:p>
    <w:p w:rsidR="00F90F3D" w:rsidRDefault="00CD5A1B" w:rsidP="001E49C2">
      <w:pPr>
        <w:numPr>
          <w:ilvl w:val="0"/>
          <w:numId w:val="2"/>
        </w:numPr>
        <w:tabs>
          <w:tab w:val="clear" w:pos="360"/>
          <w:tab w:val="clear" w:pos="4320"/>
          <w:tab w:val="clear" w:pos="9072"/>
        </w:tabs>
        <w:spacing w:line="360" w:lineRule="auto"/>
        <w:jc w:val="both"/>
        <w:rPr>
          <w:bCs/>
          <w:lang w:val="en-GB"/>
        </w:rPr>
      </w:pPr>
      <w:r>
        <w:rPr>
          <w:bCs/>
          <w:lang w:val="en-GB"/>
        </w:rPr>
        <w:t>Hence, there is no</w:t>
      </w:r>
      <w:r w:rsidR="00F90F3D">
        <w:rPr>
          <w:bCs/>
          <w:lang w:val="en-GB"/>
        </w:rPr>
        <w:t xml:space="preserve"> </w:t>
      </w:r>
      <w:r w:rsidR="003722C3">
        <w:rPr>
          <w:bCs/>
          <w:lang w:val="en-GB"/>
        </w:rPr>
        <w:t xml:space="preserve">admissible </w:t>
      </w:r>
      <w:r>
        <w:rPr>
          <w:bCs/>
          <w:lang w:val="en-GB"/>
        </w:rPr>
        <w:t xml:space="preserve">expert </w:t>
      </w:r>
      <w:r w:rsidR="00F90F3D">
        <w:rPr>
          <w:bCs/>
          <w:lang w:val="en-GB"/>
        </w:rPr>
        <w:t xml:space="preserve">evidence </w:t>
      </w:r>
      <w:r>
        <w:rPr>
          <w:bCs/>
          <w:lang w:val="en-GB"/>
        </w:rPr>
        <w:t>in support of the alleged “p</w:t>
      </w:r>
      <w:r w:rsidR="00F90F3D">
        <w:rPr>
          <w:bCs/>
          <w:lang w:val="en-GB"/>
        </w:rPr>
        <w:t>sycho</w:t>
      </w:r>
      <w:r>
        <w:rPr>
          <w:bCs/>
          <w:lang w:val="en-GB"/>
        </w:rPr>
        <w:t>social factor”.</w:t>
      </w:r>
      <w:r w:rsidR="00430B6D">
        <w:rPr>
          <w:bCs/>
          <w:lang w:val="en-GB"/>
        </w:rPr>
        <w:t xml:space="preserve">  Dr Kong’s opinion in this regard does not count, because he is not an expert in this area at all.</w:t>
      </w:r>
    </w:p>
    <w:p w:rsidR="00F90F3D" w:rsidRDefault="00F90F3D" w:rsidP="001E49C2">
      <w:pPr>
        <w:pStyle w:val="ListParagraph"/>
        <w:spacing w:line="360" w:lineRule="auto"/>
        <w:rPr>
          <w:bCs/>
          <w:lang w:val="en-GB"/>
        </w:rPr>
      </w:pPr>
    </w:p>
    <w:p w:rsidR="0091740B" w:rsidRDefault="00CD5A1B" w:rsidP="001E49C2">
      <w:pPr>
        <w:numPr>
          <w:ilvl w:val="0"/>
          <w:numId w:val="2"/>
        </w:numPr>
        <w:tabs>
          <w:tab w:val="clear" w:pos="360"/>
          <w:tab w:val="clear" w:pos="4320"/>
          <w:tab w:val="clear" w:pos="9072"/>
        </w:tabs>
        <w:spacing w:line="360" w:lineRule="auto"/>
        <w:jc w:val="both"/>
        <w:rPr>
          <w:bCs/>
          <w:lang w:val="en-GB"/>
        </w:rPr>
      </w:pPr>
      <w:r>
        <w:rPr>
          <w:bCs/>
          <w:lang w:val="en-GB"/>
        </w:rPr>
        <w:t>Further, e</w:t>
      </w:r>
      <w:r w:rsidR="0091740B" w:rsidRPr="00F90F3D">
        <w:rPr>
          <w:bCs/>
          <w:lang w:val="en-GB"/>
        </w:rPr>
        <w:t>ven Dr Kong himself accepted that the plaintiff had a relatively satisfactory recovery with, among other things, only modest</w:t>
      </w:r>
      <w:r>
        <w:rPr>
          <w:bCs/>
          <w:lang w:val="en-GB"/>
        </w:rPr>
        <w:t xml:space="preserve"> soft tissue residue back pain.  T</w:t>
      </w:r>
      <w:r w:rsidR="000C2522">
        <w:rPr>
          <w:bCs/>
          <w:lang w:val="en-GB"/>
        </w:rPr>
        <w:t>his</w:t>
      </w:r>
      <w:r>
        <w:rPr>
          <w:bCs/>
          <w:lang w:val="en-GB"/>
        </w:rPr>
        <w:t xml:space="preserve"> does not support the plaintiff’s alleged</w:t>
      </w:r>
      <w:r w:rsidR="00801834">
        <w:rPr>
          <w:bCs/>
          <w:lang w:val="en-GB"/>
        </w:rPr>
        <w:t xml:space="preserve"> non-stop low back</w:t>
      </w:r>
      <w:r>
        <w:rPr>
          <w:bCs/>
          <w:lang w:val="en-GB"/>
        </w:rPr>
        <w:t xml:space="preserve"> pain.</w:t>
      </w:r>
      <w:r w:rsidR="00801834">
        <w:rPr>
          <w:bCs/>
          <w:lang w:val="en-GB"/>
        </w:rPr>
        <w:t xml:space="preserve">  </w:t>
      </w:r>
    </w:p>
    <w:p w:rsidR="00F90F3D" w:rsidRDefault="00F90F3D" w:rsidP="001E49C2">
      <w:pPr>
        <w:pStyle w:val="ListParagraph"/>
        <w:spacing w:line="360" w:lineRule="auto"/>
        <w:rPr>
          <w:bCs/>
          <w:lang w:val="en-GB"/>
        </w:rPr>
      </w:pPr>
    </w:p>
    <w:p w:rsidR="00F90F3D" w:rsidRDefault="007429B7" w:rsidP="001E49C2">
      <w:pPr>
        <w:numPr>
          <w:ilvl w:val="0"/>
          <w:numId w:val="2"/>
        </w:numPr>
        <w:tabs>
          <w:tab w:val="clear" w:pos="360"/>
          <w:tab w:val="clear" w:pos="4320"/>
          <w:tab w:val="clear" w:pos="9072"/>
        </w:tabs>
        <w:spacing w:line="360" w:lineRule="auto"/>
        <w:jc w:val="both"/>
        <w:rPr>
          <w:bCs/>
          <w:lang w:val="en-GB"/>
        </w:rPr>
      </w:pPr>
      <w:r>
        <w:rPr>
          <w:bCs/>
          <w:lang w:val="en-GB"/>
        </w:rPr>
        <w:t>It is my finding that the plaintiff did grossly exaggerate his symptoms and disability.  Apart from Dr Chun’s expert evidence quoted above, t</w:t>
      </w:r>
      <w:r w:rsidR="00CD5A1B">
        <w:rPr>
          <w:bCs/>
          <w:lang w:val="en-GB"/>
        </w:rPr>
        <w:t>here are also other pieces of evidence which su</w:t>
      </w:r>
      <w:r w:rsidR="00041C1D">
        <w:rPr>
          <w:bCs/>
          <w:lang w:val="en-GB"/>
        </w:rPr>
        <w:t>pport th</w:t>
      </w:r>
      <w:r>
        <w:rPr>
          <w:bCs/>
          <w:lang w:val="en-GB"/>
        </w:rPr>
        <w:t>is</w:t>
      </w:r>
      <w:r w:rsidR="00041C1D">
        <w:rPr>
          <w:bCs/>
          <w:lang w:val="en-GB"/>
        </w:rPr>
        <w:t xml:space="preserve"> finding</w:t>
      </w:r>
      <w:r w:rsidR="00021647">
        <w:rPr>
          <w:bCs/>
          <w:lang w:val="en-GB"/>
        </w:rPr>
        <w:t xml:space="preserve"> and </w:t>
      </w:r>
      <w:r>
        <w:rPr>
          <w:bCs/>
          <w:lang w:val="en-GB"/>
        </w:rPr>
        <w:t xml:space="preserve">the finding </w:t>
      </w:r>
      <w:r w:rsidR="00021647">
        <w:rPr>
          <w:bCs/>
          <w:lang w:val="en-GB"/>
        </w:rPr>
        <w:t xml:space="preserve">that </w:t>
      </w:r>
      <w:r>
        <w:rPr>
          <w:bCs/>
          <w:lang w:val="en-GB"/>
        </w:rPr>
        <w:t>t</w:t>
      </w:r>
      <w:r w:rsidR="00021647">
        <w:rPr>
          <w:bCs/>
          <w:lang w:val="en-GB"/>
        </w:rPr>
        <w:t xml:space="preserve">he </w:t>
      </w:r>
      <w:r>
        <w:rPr>
          <w:bCs/>
          <w:lang w:val="en-GB"/>
        </w:rPr>
        <w:t xml:space="preserve">plaintiff </w:t>
      </w:r>
      <w:r w:rsidR="00021647">
        <w:rPr>
          <w:bCs/>
          <w:lang w:val="en-GB"/>
        </w:rPr>
        <w:t>has tried to give</w:t>
      </w:r>
      <w:r w:rsidR="00041C1D">
        <w:rPr>
          <w:bCs/>
          <w:lang w:val="en-GB"/>
        </w:rPr>
        <w:t xml:space="preserve"> an impression that he is in a pain which is </w:t>
      </w:r>
      <w:r w:rsidR="000C2522">
        <w:rPr>
          <w:bCs/>
          <w:lang w:val="en-GB"/>
        </w:rPr>
        <w:t xml:space="preserve">much </w:t>
      </w:r>
      <w:r w:rsidR="00041C1D">
        <w:rPr>
          <w:bCs/>
          <w:lang w:val="en-GB"/>
        </w:rPr>
        <w:t>more severe than the real situation</w:t>
      </w:r>
      <w:r w:rsidR="00CD5A1B">
        <w:rPr>
          <w:bCs/>
          <w:lang w:val="en-GB"/>
        </w:rPr>
        <w:t>:</w:t>
      </w:r>
    </w:p>
    <w:p w:rsidR="00CD5A1B" w:rsidRDefault="00CD5A1B" w:rsidP="001E49C2">
      <w:pPr>
        <w:pStyle w:val="ListParagraph"/>
        <w:spacing w:line="360" w:lineRule="auto"/>
        <w:rPr>
          <w:bCs/>
          <w:lang w:val="en-GB"/>
        </w:rPr>
      </w:pPr>
    </w:p>
    <w:p w:rsidR="00CD5A1B" w:rsidRDefault="009C0633"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When </w:t>
      </w:r>
      <w:r w:rsidR="007429B7">
        <w:rPr>
          <w:bCs/>
          <w:lang w:val="en-GB"/>
        </w:rPr>
        <w:t>t</w:t>
      </w:r>
      <w:r>
        <w:rPr>
          <w:bCs/>
          <w:lang w:val="en-GB"/>
        </w:rPr>
        <w:t>he</w:t>
      </w:r>
      <w:r w:rsidR="007429B7">
        <w:rPr>
          <w:bCs/>
          <w:lang w:val="en-GB"/>
        </w:rPr>
        <w:t xml:space="preserve"> plaintiff</w:t>
      </w:r>
      <w:r>
        <w:rPr>
          <w:bCs/>
          <w:lang w:val="en-GB"/>
        </w:rPr>
        <w:t xml:space="preserve"> described the accident in paragraph 9 of his witness statement, he stated that his</w:t>
      </w:r>
      <w:r w:rsidR="00E46508">
        <w:rPr>
          <w:bCs/>
          <w:lang w:val="en-GB"/>
        </w:rPr>
        <w:t xml:space="preserve"> “</w:t>
      </w:r>
      <w:r w:rsidR="00E46508" w:rsidRPr="00E46508">
        <w:rPr>
          <w:rFonts w:hint="eastAsia"/>
          <w:bCs/>
          <w:lang w:val="en-GB" w:eastAsia="zh-TW"/>
        </w:rPr>
        <w:t>頭部及膝蓋撞倒牆壁，然後被牆身彈回</w:t>
      </w:r>
      <w:r>
        <w:rPr>
          <w:bCs/>
          <w:lang w:val="en-GB"/>
        </w:rPr>
        <w:t xml:space="preserve">”, however, during cross-examination, he admitted that his head did not come into contact with the wall at all.  He said he was wearing a cap at the time and it was only the bill of the cap which “touched” the wall.  </w:t>
      </w:r>
    </w:p>
    <w:p w:rsidR="00B27EF2" w:rsidRDefault="00B27EF2" w:rsidP="001E49C2">
      <w:pPr>
        <w:tabs>
          <w:tab w:val="clear" w:pos="1440"/>
          <w:tab w:val="clear" w:pos="4320"/>
          <w:tab w:val="clear" w:pos="9072"/>
          <w:tab w:val="left" w:pos="2160"/>
        </w:tabs>
        <w:spacing w:line="360" w:lineRule="auto"/>
        <w:ind w:left="2160" w:hanging="720"/>
        <w:jc w:val="both"/>
        <w:rPr>
          <w:bCs/>
          <w:lang w:val="en-GB" w:eastAsia="zh-TW"/>
        </w:rPr>
      </w:pPr>
    </w:p>
    <w:p w:rsidR="00150562" w:rsidRDefault="00C51E3C"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In his witness statement, t</w:t>
      </w:r>
      <w:r w:rsidR="009C0633">
        <w:rPr>
          <w:bCs/>
          <w:lang w:val="en-GB"/>
        </w:rPr>
        <w:t xml:space="preserve">he plaintiff referred to an incident which happened in around March/April 2017 </w:t>
      </w:r>
      <w:r>
        <w:rPr>
          <w:bCs/>
          <w:lang w:val="en-GB"/>
        </w:rPr>
        <w:t>to show that he was unable to carry objects of some weight.  He stated that on that occasion, he assisted his mother to buy a chair (which weighed around 6.5 kg) from the Shop IKEA.  He said as he wanted to test his own ability in lifting heavy objects, he tried to carry the chair all the way from the shop to his mother’s home.  However, he found that it was very difficult to do so, and as a result, he did not dare carry heavy objects again</w:t>
      </w:r>
      <w:r w:rsidR="003C775D">
        <w:rPr>
          <w:bCs/>
          <w:lang w:val="en-GB"/>
        </w:rPr>
        <w:t xml:space="preserve"> since then</w:t>
      </w:r>
      <w:r>
        <w:rPr>
          <w:bCs/>
          <w:lang w:val="en-GB"/>
        </w:rPr>
        <w:t xml:space="preserve">.  At the trial, he clarified that that trip to IKEA was a planned one, and </w:t>
      </w:r>
      <w:r w:rsidR="00E46508">
        <w:rPr>
          <w:bCs/>
          <w:lang w:val="en-GB"/>
        </w:rPr>
        <w:t xml:space="preserve">that </w:t>
      </w:r>
      <w:r>
        <w:rPr>
          <w:bCs/>
          <w:lang w:val="en-GB"/>
        </w:rPr>
        <w:t>he went there with his mother for the</w:t>
      </w:r>
      <w:r w:rsidR="003C775D">
        <w:rPr>
          <w:bCs/>
          <w:lang w:val="en-GB"/>
        </w:rPr>
        <w:t xml:space="preserve"> specific purpose of</w:t>
      </w:r>
      <w:r>
        <w:rPr>
          <w:bCs/>
          <w:lang w:val="en-GB"/>
        </w:rPr>
        <w:t xml:space="preserve"> buy</w:t>
      </w:r>
      <w:r w:rsidR="003C775D">
        <w:rPr>
          <w:bCs/>
          <w:lang w:val="en-GB"/>
        </w:rPr>
        <w:t>ing</w:t>
      </w:r>
      <w:r>
        <w:rPr>
          <w:bCs/>
          <w:lang w:val="en-GB"/>
        </w:rPr>
        <w:t xml:space="preserve"> a chair.  He also stated that his mother was living in </w:t>
      </w:r>
      <w:r w:rsidR="00E46508">
        <w:rPr>
          <w:bCs/>
          <w:lang w:val="en-GB"/>
        </w:rPr>
        <w:t>an old Chinese-style building (</w:t>
      </w:r>
      <w:r w:rsidR="00E46508" w:rsidRPr="00E46508">
        <w:rPr>
          <w:rFonts w:hint="eastAsia"/>
          <w:bCs/>
          <w:lang w:val="en-GB"/>
        </w:rPr>
        <w:t>唐樓</w:t>
      </w:r>
      <w:r>
        <w:rPr>
          <w:bCs/>
          <w:lang w:val="en-GB"/>
        </w:rPr>
        <w:t>) at the time and the</w:t>
      </w:r>
      <w:r w:rsidR="003C775D">
        <w:rPr>
          <w:bCs/>
          <w:lang w:val="en-GB"/>
        </w:rPr>
        <w:t>re was no lift installed in the building</w:t>
      </w:r>
      <w:r>
        <w:rPr>
          <w:bCs/>
          <w:lang w:val="en-GB"/>
        </w:rPr>
        <w:t xml:space="preserve">.  Yet, </w:t>
      </w:r>
      <w:r w:rsidR="00E46508">
        <w:rPr>
          <w:bCs/>
          <w:lang w:val="en-GB"/>
        </w:rPr>
        <w:t xml:space="preserve">upon this court’s enquiry, he confirmed that </w:t>
      </w:r>
      <w:r w:rsidR="00F13C53">
        <w:rPr>
          <w:bCs/>
          <w:lang w:val="en-GB"/>
        </w:rPr>
        <w:t xml:space="preserve">he did not assess his </w:t>
      </w:r>
      <w:r w:rsidR="00E46508">
        <w:rPr>
          <w:bCs/>
          <w:lang w:val="en-GB"/>
        </w:rPr>
        <w:t>a</w:t>
      </w:r>
      <w:r w:rsidR="00F13C53">
        <w:rPr>
          <w:bCs/>
          <w:lang w:val="en-GB"/>
        </w:rPr>
        <w:t>bility</w:t>
      </w:r>
      <w:r w:rsidR="003C775D">
        <w:rPr>
          <w:bCs/>
          <w:lang w:val="en-GB"/>
        </w:rPr>
        <w:t xml:space="preserve"> to carry</w:t>
      </w:r>
      <w:r w:rsidR="00F13C53">
        <w:rPr>
          <w:bCs/>
          <w:lang w:val="en-GB"/>
        </w:rPr>
        <w:t xml:space="preserve"> before purchasing the chair</w:t>
      </w:r>
      <w:r w:rsidR="007429B7">
        <w:rPr>
          <w:bCs/>
          <w:lang w:val="en-GB"/>
        </w:rPr>
        <w:t xml:space="preserve"> at all</w:t>
      </w:r>
      <w:r w:rsidR="00F13C53">
        <w:rPr>
          <w:bCs/>
          <w:lang w:val="en-GB"/>
        </w:rPr>
        <w:t xml:space="preserve">.  </w:t>
      </w:r>
      <w:r w:rsidR="00EC179A">
        <w:rPr>
          <w:bCs/>
          <w:lang w:val="en-GB"/>
        </w:rPr>
        <w:t xml:space="preserve">This conduct on the part of the plaintiff is inconsistent with his alleged </w:t>
      </w:r>
      <w:r w:rsidR="00971921">
        <w:rPr>
          <w:bCs/>
          <w:lang w:val="en-GB"/>
        </w:rPr>
        <w:t xml:space="preserve">severe and </w:t>
      </w:r>
      <w:r w:rsidR="00EC179A">
        <w:rPr>
          <w:bCs/>
          <w:lang w:val="en-GB"/>
        </w:rPr>
        <w:t xml:space="preserve">persistent pain.  As he said his mother was unable to carry the chair, he would be the only person who could carry the chair </w:t>
      </w:r>
      <w:r w:rsidR="00E46508">
        <w:rPr>
          <w:bCs/>
          <w:lang w:val="en-GB"/>
        </w:rPr>
        <w:t xml:space="preserve">back to his mother’s </w:t>
      </w:r>
      <w:r w:rsidR="00EC179A">
        <w:rPr>
          <w:bCs/>
          <w:lang w:val="en-GB"/>
        </w:rPr>
        <w:t>home without taking advantage of the delivery service</w:t>
      </w:r>
      <w:r w:rsidR="00756DF0">
        <w:rPr>
          <w:bCs/>
          <w:lang w:val="en-GB"/>
        </w:rPr>
        <w:t xml:space="preserve"> of IKEA</w:t>
      </w:r>
      <w:r w:rsidR="00EC179A">
        <w:rPr>
          <w:bCs/>
          <w:lang w:val="en-GB"/>
        </w:rPr>
        <w:t xml:space="preserve">.  He should have known that his mother’s home was without lift service and he had to walk up the staircase with the chair.  If he was really always under great pain as he alleged, </w:t>
      </w:r>
      <w:r w:rsidR="003C775D">
        <w:rPr>
          <w:bCs/>
          <w:lang w:val="en-GB"/>
        </w:rPr>
        <w:t xml:space="preserve">it would be most surprising that he did not think about and assess his ability to </w:t>
      </w:r>
      <w:r w:rsidR="00E46508">
        <w:rPr>
          <w:bCs/>
          <w:lang w:val="en-GB"/>
        </w:rPr>
        <w:t>carry the chair himself</w:t>
      </w:r>
      <w:r w:rsidR="003C775D">
        <w:rPr>
          <w:bCs/>
          <w:lang w:val="en-GB"/>
        </w:rPr>
        <w:t xml:space="preserve"> before he made the purchase. </w:t>
      </w:r>
      <w:r w:rsidR="00971921">
        <w:rPr>
          <w:bCs/>
          <w:lang w:val="en-GB"/>
        </w:rPr>
        <w:t xml:space="preserve"> It must be borne in mind that at the material time, he had been allegedly troubled by the pain for over a year.  If he was telling the truth that he had had such great pain for such a long time</w:t>
      </w:r>
      <w:r w:rsidR="00D1063B">
        <w:rPr>
          <w:bCs/>
          <w:lang w:val="en-GB"/>
        </w:rPr>
        <w:t xml:space="preserve"> non-stop</w:t>
      </w:r>
      <w:r w:rsidR="00971921">
        <w:rPr>
          <w:bCs/>
          <w:lang w:val="en-GB"/>
        </w:rPr>
        <w:t>, it is beyond imagination that he would not</w:t>
      </w:r>
      <w:r w:rsidR="00D1063B">
        <w:rPr>
          <w:bCs/>
          <w:lang w:val="en-GB"/>
        </w:rPr>
        <w:t xml:space="preserve"> </w:t>
      </w:r>
      <w:r w:rsidR="00971921">
        <w:rPr>
          <w:bCs/>
          <w:lang w:val="en-GB"/>
        </w:rPr>
        <w:t xml:space="preserve">assess his own ability to carry the chair himself before deciding to do what he did.  </w:t>
      </w:r>
      <w:r w:rsidR="003C775D">
        <w:rPr>
          <w:bCs/>
          <w:lang w:val="en-GB"/>
        </w:rPr>
        <w:t xml:space="preserve"> I am of the view that it shows that he did not have any pain that troubled him at the material time.  </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8B69DC" w:rsidRDefault="00041C1D"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According to Dr Tio’s report in relation to the consultation session which the plaintiff attended on 27 January 2016, Dr Tio recorded, among other things, “overall improvement of 50%”.  </w:t>
      </w:r>
      <w:r w:rsidR="00CA2EA2">
        <w:rPr>
          <w:bCs/>
          <w:lang w:val="en-GB"/>
        </w:rPr>
        <w:t xml:space="preserve">The plaintiff disagreed in court and stated that the figure of “50%” did not come from him and that that was an assessment made by Dr Tio.  I agree with Ms Kwok that </w:t>
      </w:r>
      <w:r w:rsidR="003840C5">
        <w:rPr>
          <w:bCs/>
          <w:lang w:val="en-GB"/>
        </w:rPr>
        <w:t>the percentage</w:t>
      </w:r>
      <w:r w:rsidR="004E5AA2">
        <w:rPr>
          <w:bCs/>
          <w:lang w:val="en-GB"/>
        </w:rPr>
        <w:t xml:space="preserve"> </w:t>
      </w:r>
      <w:r w:rsidR="00CA2EA2">
        <w:rPr>
          <w:bCs/>
          <w:lang w:val="en-GB"/>
        </w:rPr>
        <w:t xml:space="preserve">must be something which the plaintiff told the doctor in the consultation.  It should be noted that the only complaint of the plaintiff was pain which is subjective.  I do not believe that the doctor could assess the extent of relief of pain as such.  In my view, the </w:t>
      </w:r>
      <w:r w:rsidR="00D0708A">
        <w:rPr>
          <w:bCs/>
          <w:lang w:val="en-GB"/>
        </w:rPr>
        <w:t xml:space="preserve">reason why the </w:t>
      </w:r>
      <w:r w:rsidR="00CA2EA2">
        <w:rPr>
          <w:bCs/>
          <w:lang w:val="en-GB"/>
        </w:rPr>
        <w:t xml:space="preserve">plaintiff denied that he had given such a figure </w:t>
      </w:r>
      <w:r w:rsidR="00D0708A">
        <w:rPr>
          <w:bCs/>
          <w:lang w:val="en-GB"/>
        </w:rPr>
        <w:t>i</w:t>
      </w:r>
      <w:r w:rsidR="00CA2EA2">
        <w:rPr>
          <w:bCs/>
          <w:lang w:val="en-GB"/>
        </w:rPr>
        <w:t>s</w:t>
      </w:r>
      <w:r w:rsidR="00D0708A">
        <w:rPr>
          <w:bCs/>
          <w:lang w:val="en-GB"/>
        </w:rPr>
        <w:t xml:space="preserve"> that he would like</w:t>
      </w:r>
      <w:r w:rsidR="00CA2EA2">
        <w:rPr>
          <w:bCs/>
          <w:lang w:val="en-GB"/>
        </w:rPr>
        <w:t xml:space="preserve"> to “neutralise” </w:t>
      </w:r>
      <w:r w:rsidR="002C6284">
        <w:rPr>
          <w:bCs/>
          <w:lang w:val="en-GB"/>
        </w:rPr>
        <w:t xml:space="preserve">his own assessment of </w:t>
      </w:r>
      <w:r w:rsidR="00CA2EA2">
        <w:rPr>
          <w:bCs/>
          <w:lang w:val="en-GB"/>
        </w:rPr>
        <w:t xml:space="preserve">the </w:t>
      </w:r>
      <w:r w:rsidR="002C6284">
        <w:rPr>
          <w:bCs/>
          <w:lang w:val="en-GB"/>
        </w:rPr>
        <w:t>extent of</w:t>
      </w:r>
      <w:r w:rsidR="00CA2EA2">
        <w:rPr>
          <w:bCs/>
          <w:lang w:val="en-GB"/>
        </w:rPr>
        <w:t xml:space="preserve"> </w:t>
      </w:r>
      <w:r w:rsidR="00C53A2F">
        <w:rPr>
          <w:bCs/>
          <w:lang w:val="en-GB"/>
        </w:rPr>
        <w:t xml:space="preserve">recovery at the material time.  </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CA2EA2" w:rsidRDefault="00CA2EA2"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The same reasoning applies to the plaintiff’s evidence that he could not recall whether he had told his physiotherapist on 15 February 2016 that he had had an improvement of 70% even though it was recorded in the Rehabilitation Follow-up Report made by Canadian Asian Neck &amp; Back Institute</w:t>
      </w:r>
      <w:r w:rsidR="0013262D">
        <w:rPr>
          <w:bCs/>
          <w:lang w:val="en-GB"/>
        </w:rPr>
        <w:t xml:space="preserve"> (</w:t>
      </w:r>
      <w:r w:rsidR="0013262D" w:rsidRPr="0013262D">
        <w:rPr>
          <w:b/>
          <w:bCs/>
          <w:lang w:val="en-GB"/>
        </w:rPr>
        <w:t>“CANBI”</w:t>
      </w:r>
      <w:r w:rsidR="0013262D">
        <w:rPr>
          <w:bCs/>
          <w:lang w:val="en-GB"/>
        </w:rPr>
        <w:t>)</w:t>
      </w:r>
      <w:r>
        <w:rPr>
          <w:bCs/>
          <w:lang w:val="en-GB"/>
        </w:rPr>
        <w:t xml:space="preserve">. </w:t>
      </w:r>
      <w:r w:rsidR="008B69DC">
        <w:rPr>
          <w:bCs/>
          <w:lang w:val="en-GB"/>
        </w:rPr>
        <w:t xml:space="preserve"> I should add here that I do not a</w:t>
      </w:r>
      <w:r w:rsidR="00C53A2F">
        <w:rPr>
          <w:bCs/>
          <w:lang w:val="en-GB"/>
        </w:rPr>
        <w:t>ccept</w:t>
      </w:r>
      <w:r w:rsidR="008B69DC">
        <w:rPr>
          <w:bCs/>
          <w:lang w:val="en-GB"/>
        </w:rPr>
        <w:t xml:space="preserve"> Mr Lam’s argument that it does not serve much purpose in cross-examining the plaintiff in relation to medical reports and documents which</w:t>
      </w:r>
      <w:r w:rsidR="008C3CBD">
        <w:rPr>
          <w:bCs/>
          <w:lang w:val="en-GB"/>
        </w:rPr>
        <w:t xml:space="preserve"> were made more than 5 years ago</w:t>
      </w:r>
      <w:r w:rsidR="008B69DC">
        <w:rPr>
          <w:bCs/>
          <w:lang w:val="en-GB"/>
        </w:rPr>
        <w:t xml:space="preserve">. </w:t>
      </w:r>
      <w:r w:rsidR="008C3CBD">
        <w:rPr>
          <w:bCs/>
          <w:lang w:val="en-GB"/>
        </w:rPr>
        <w:t xml:space="preserve"> While I a</w:t>
      </w:r>
      <w:r w:rsidR="00C53A2F">
        <w:rPr>
          <w:bCs/>
          <w:lang w:val="en-GB"/>
        </w:rPr>
        <w:t>gree</w:t>
      </w:r>
      <w:r w:rsidR="008C3CBD">
        <w:rPr>
          <w:bCs/>
          <w:lang w:val="en-GB"/>
        </w:rPr>
        <w:t xml:space="preserve"> that it is not a “memory test” (as Mr Lam put it) as such, I have no doubt that the court can</w:t>
      </w:r>
      <w:r w:rsidR="00021647">
        <w:rPr>
          <w:bCs/>
          <w:lang w:val="en-GB"/>
        </w:rPr>
        <w:t xml:space="preserve"> and should</w:t>
      </w:r>
      <w:r w:rsidR="008C3CBD">
        <w:rPr>
          <w:bCs/>
          <w:lang w:val="en-GB"/>
        </w:rPr>
        <w:t xml:space="preserve"> take the plaintiff’s answers in cross-examination into account and assess how truthful he is.</w:t>
      </w:r>
      <w:r w:rsidR="008B69DC">
        <w:rPr>
          <w:bCs/>
          <w:lang w:val="en-GB"/>
        </w:rPr>
        <w:t xml:space="preserve"> </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3C775D" w:rsidRDefault="00CA2EA2"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An e</w:t>
      </w:r>
      <w:r w:rsidR="008C3CBD">
        <w:rPr>
          <w:bCs/>
          <w:lang w:val="en-GB"/>
        </w:rPr>
        <w:t xml:space="preserve">ven more obvious example is in relation to the medical consultation which took place on 8 March 2016.  </w:t>
      </w:r>
      <w:r w:rsidR="0013262D">
        <w:rPr>
          <w:bCs/>
          <w:lang w:val="en-GB"/>
        </w:rPr>
        <w:t>In Dr Tio’s report, he recorded “overall improvement of 70-80%”.  Again, in cross-examination, the plaintiff disagreed an</w:t>
      </w:r>
      <w:r w:rsidR="002C6284">
        <w:rPr>
          <w:bCs/>
          <w:lang w:val="en-GB"/>
        </w:rPr>
        <w:t>d claimed that he had never given</w:t>
      </w:r>
      <w:r w:rsidR="0013262D">
        <w:rPr>
          <w:bCs/>
          <w:lang w:val="en-GB"/>
        </w:rPr>
        <w:t xml:space="preserve"> such a figure to Dr Tio on that occasion.  As I mentioned above, pain is subjective, and I do not think Dr Tio could put down such a figure himself.  More importantly, this figure “70-80%” was as same as that given in CANBI’s report dated 4 March 2016 (i.e. 4 days earlier) which stated “Overall, he </w:t>
      </w:r>
      <w:r w:rsidR="0013262D" w:rsidRPr="00271223">
        <w:rPr>
          <w:b/>
          <w:bCs/>
          <w:u w:val="single"/>
          <w:lang w:val="en-GB"/>
        </w:rPr>
        <w:t>reported</w:t>
      </w:r>
      <w:r w:rsidR="0013262D">
        <w:rPr>
          <w:bCs/>
          <w:lang w:val="en-GB"/>
        </w:rPr>
        <w:t xml:space="preserve"> an improvement of 70-80%”</w:t>
      </w:r>
      <w:r w:rsidR="00271223">
        <w:rPr>
          <w:bCs/>
          <w:lang w:val="en-GB"/>
        </w:rPr>
        <w:t xml:space="preserve"> (emphasis added)</w:t>
      </w:r>
      <w:r w:rsidR="0013262D">
        <w:rPr>
          <w:bCs/>
          <w:lang w:val="en-GB"/>
        </w:rPr>
        <w:t xml:space="preserve">.  </w:t>
      </w:r>
      <w:r>
        <w:rPr>
          <w:bCs/>
          <w:lang w:val="en-GB"/>
        </w:rPr>
        <w:t xml:space="preserve">   </w:t>
      </w:r>
      <w:r w:rsidR="00021647">
        <w:rPr>
          <w:bCs/>
          <w:lang w:val="en-GB"/>
        </w:rPr>
        <w:t>I hold the view that it was not a coincidence that the same range of recovery was given in those 2 documents, and it must have been the plaintiff’s own assessment given at the material time.</w:t>
      </w:r>
      <w:r w:rsidR="00271223">
        <w:rPr>
          <w:bCs/>
          <w:lang w:val="en-GB"/>
        </w:rPr>
        <w:t xml:space="preserve">  </w:t>
      </w:r>
      <w:r w:rsidR="00271223" w:rsidRPr="003D01F9">
        <w:rPr>
          <w:rFonts w:eastAsia="DengXian" w:hint="eastAsia"/>
          <w:bCs/>
          <w:lang w:val="en-GB"/>
        </w:rPr>
        <w:t>I</w:t>
      </w:r>
      <w:r w:rsidR="00271223" w:rsidRPr="003D01F9">
        <w:rPr>
          <w:rFonts w:eastAsia="DengXian"/>
          <w:bCs/>
        </w:rPr>
        <w:t>ndeed, as high-lighted in the quotation, according to the said CANBI’s report, it was the plaintiff who reported his extent of recovery.</w:t>
      </w:r>
      <w:r w:rsidR="00021647">
        <w:rPr>
          <w:bCs/>
          <w:lang w:val="en-GB"/>
        </w:rPr>
        <w:t xml:space="preserve">  </w:t>
      </w:r>
      <w:r w:rsidR="0013262D">
        <w:rPr>
          <w:bCs/>
          <w:lang w:val="en-GB"/>
        </w:rPr>
        <w:t xml:space="preserve">In my view, </w:t>
      </w:r>
      <w:r w:rsidR="00021647">
        <w:rPr>
          <w:bCs/>
          <w:lang w:val="en-GB"/>
        </w:rPr>
        <w:t xml:space="preserve">during cross-examination, </w:t>
      </w:r>
      <w:r w:rsidR="0013262D">
        <w:rPr>
          <w:bCs/>
          <w:lang w:val="en-GB"/>
        </w:rPr>
        <w:t xml:space="preserve">the plaintiff was trying to cover up what he expressed to be the extent of his recovery at the material time. </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13262D" w:rsidRDefault="005F1D80"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I accept Ms Kwok’s analysis that the plaintiff must have exaggerated his symptoms during the joint examination by the experts because while he could walk on tip toes, walk on heels</w:t>
      </w:r>
      <w:r w:rsidR="002C6284">
        <w:rPr>
          <w:bCs/>
          <w:lang w:val="en-GB"/>
        </w:rPr>
        <w:t xml:space="preserve"> and </w:t>
      </w:r>
      <w:r w:rsidR="007B3725">
        <w:rPr>
          <w:bCs/>
          <w:lang w:val="en-GB"/>
        </w:rPr>
        <w:t xml:space="preserve">stand steadily unilaterally when he was examined by Dr Chun on 20 May 2016, he was unable to do the same 2 years later on 19 June 2018 when he attended the joint examination.  </w:t>
      </w:r>
      <w:r w:rsidR="00324234">
        <w:rPr>
          <w:bCs/>
          <w:lang w:val="en-GB"/>
        </w:rPr>
        <w:t>Given the plaintiff’s confirmation that he had not further injured himself during those 2 years, there is n</w:t>
      </w:r>
      <w:r w:rsidR="003840C5">
        <w:rPr>
          <w:bCs/>
          <w:lang w:val="en-GB"/>
        </w:rPr>
        <w:t>o reason why his performance had become</w:t>
      </w:r>
      <w:r w:rsidR="00324234">
        <w:rPr>
          <w:bCs/>
          <w:lang w:val="en-GB"/>
        </w:rPr>
        <w:t xml:space="preserve"> worse during the joint examination.  When the comparison </w:t>
      </w:r>
      <w:r w:rsidR="008E73EE">
        <w:rPr>
          <w:bCs/>
          <w:lang w:val="en-GB"/>
        </w:rPr>
        <w:t xml:space="preserve">of his performance </w:t>
      </w:r>
      <w:r w:rsidR="00324234">
        <w:rPr>
          <w:bCs/>
          <w:lang w:val="en-GB"/>
        </w:rPr>
        <w:t xml:space="preserve">was put to him, the plaintiff did not give any explanation.  </w:t>
      </w:r>
      <w:r w:rsidR="003154BE">
        <w:rPr>
          <w:bCs/>
          <w:lang w:val="en-GB"/>
        </w:rPr>
        <w:t>Neither was there any expert evidence which could explain why the plaintiff’s condition would become worse.</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694589" w:rsidRDefault="00694589"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It can be seen from surveillance evidence gathered on 6 January 2016 that the plaintiff could walk up </w:t>
      </w:r>
      <w:r w:rsidR="00357D8B">
        <w:rPr>
          <w:bCs/>
          <w:lang w:val="en-GB"/>
        </w:rPr>
        <w:t xml:space="preserve">the </w:t>
      </w:r>
      <w:r>
        <w:rPr>
          <w:bCs/>
          <w:lang w:val="en-GB"/>
        </w:rPr>
        <w:t>stairs smoothly, naturally and without any difficulty.  He could even skip steps (walking up 2 steps at a time) and ran up the stairs.</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FF205C" w:rsidRDefault="00694589" w:rsidP="001E49C2">
      <w:pPr>
        <w:numPr>
          <w:ilvl w:val="2"/>
          <w:numId w:val="2"/>
        </w:numPr>
        <w:tabs>
          <w:tab w:val="clear" w:pos="1440"/>
          <w:tab w:val="clear" w:pos="4320"/>
          <w:tab w:val="clear" w:pos="9072"/>
          <w:tab w:val="left" w:pos="2160"/>
        </w:tabs>
        <w:spacing w:line="360" w:lineRule="auto"/>
        <w:ind w:left="2160" w:hanging="720"/>
        <w:jc w:val="both"/>
        <w:rPr>
          <w:bCs/>
          <w:lang w:val="en-GB"/>
        </w:rPr>
      </w:pPr>
      <w:r w:rsidRPr="00694589">
        <w:rPr>
          <w:bCs/>
          <w:lang w:val="en-GB"/>
        </w:rPr>
        <w:t>It can also be seen from surveillance evidence taken on 20 May 2016 that the plaintiff could walk up</w:t>
      </w:r>
      <w:r w:rsidR="00357D8B">
        <w:rPr>
          <w:bCs/>
          <w:lang w:val="en-GB"/>
        </w:rPr>
        <w:t xml:space="preserve"> the</w:t>
      </w:r>
      <w:r w:rsidRPr="00694589">
        <w:rPr>
          <w:bCs/>
          <w:lang w:val="en-GB"/>
        </w:rPr>
        <w:t xml:space="preserve"> stairs </w:t>
      </w:r>
      <w:r w:rsidR="00FF205C">
        <w:rPr>
          <w:bCs/>
          <w:lang w:val="en-GB"/>
        </w:rPr>
        <w:t xml:space="preserve">smoothly, naturally and without any difficulty.  Again, he could skip steps (walking up 2 steps at a time).  He could bend down and pick up an umbrella quickly and normally.  He could also walk down a set of stairs without any sign of having any difficulty.  </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91740B" w:rsidRDefault="00FF205C"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The video clips shown in court are inconsistent with the plaintiff’s allegation that he was having pain </w:t>
      </w:r>
      <w:r w:rsidR="0036520C">
        <w:rPr>
          <w:bCs/>
          <w:lang w:val="en-GB"/>
        </w:rPr>
        <w:t xml:space="preserve">all the time.  I reject the </w:t>
      </w:r>
      <w:r>
        <w:rPr>
          <w:bCs/>
          <w:lang w:val="en-GB"/>
        </w:rPr>
        <w:t>plaintiff</w:t>
      </w:r>
      <w:r w:rsidR="0036520C">
        <w:rPr>
          <w:bCs/>
          <w:lang w:val="en-GB"/>
        </w:rPr>
        <w:t xml:space="preserve">’s </w:t>
      </w:r>
      <w:r>
        <w:rPr>
          <w:bCs/>
          <w:lang w:val="en-GB"/>
        </w:rPr>
        <w:t xml:space="preserve">evidence that he was at the material time only testing himself.  In my view, </w:t>
      </w:r>
      <w:r w:rsidR="0036520C">
        <w:rPr>
          <w:bCs/>
          <w:lang w:val="en-GB"/>
        </w:rPr>
        <w:t>the giving of such evidence was</w:t>
      </w:r>
      <w:r>
        <w:rPr>
          <w:bCs/>
          <w:lang w:val="en-GB"/>
        </w:rPr>
        <w:t xml:space="preserve"> only </w:t>
      </w:r>
      <w:r w:rsidR="0036520C">
        <w:rPr>
          <w:bCs/>
          <w:lang w:val="en-GB"/>
        </w:rPr>
        <w:t xml:space="preserve">the plaintiff’s </w:t>
      </w:r>
      <w:r>
        <w:rPr>
          <w:bCs/>
          <w:lang w:val="en-GB"/>
        </w:rPr>
        <w:t xml:space="preserve">desperate attempt to explain away the inconsistencies discovered.     </w:t>
      </w:r>
    </w:p>
    <w:p w:rsidR="00B27EF2" w:rsidRDefault="00B27EF2" w:rsidP="001E49C2">
      <w:pPr>
        <w:tabs>
          <w:tab w:val="clear" w:pos="1440"/>
          <w:tab w:val="clear" w:pos="4320"/>
          <w:tab w:val="clear" w:pos="9072"/>
          <w:tab w:val="left" w:pos="2160"/>
        </w:tabs>
        <w:spacing w:line="360" w:lineRule="auto"/>
        <w:ind w:left="2160" w:hanging="720"/>
        <w:jc w:val="both"/>
        <w:rPr>
          <w:bCs/>
          <w:lang w:val="en-GB"/>
        </w:rPr>
      </w:pPr>
    </w:p>
    <w:p w:rsidR="0092260D" w:rsidRPr="00694589" w:rsidRDefault="0092260D" w:rsidP="001E49C2">
      <w:pPr>
        <w:numPr>
          <w:ilvl w:val="2"/>
          <w:numId w:val="2"/>
        </w:numPr>
        <w:tabs>
          <w:tab w:val="clear" w:pos="1440"/>
          <w:tab w:val="clear" w:pos="4320"/>
          <w:tab w:val="clear" w:pos="9072"/>
          <w:tab w:val="left" w:pos="2160"/>
        </w:tabs>
        <w:spacing w:line="360" w:lineRule="auto"/>
        <w:ind w:left="2160" w:hanging="720"/>
        <w:jc w:val="both"/>
        <w:rPr>
          <w:bCs/>
          <w:lang w:val="en-GB"/>
        </w:rPr>
      </w:pPr>
      <w:r>
        <w:rPr>
          <w:bCs/>
          <w:lang w:val="en-GB"/>
        </w:rPr>
        <w:t xml:space="preserve">Mr Lam said that the plaintiff had </w:t>
      </w:r>
      <w:r w:rsidR="00FA5864">
        <w:rPr>
          <w:bCs/>
          <w:lang w:val="en-GB"/>
        </w:rPr>
        <w:t>tried to return to work in October 2015 and</w:t>
      </w:r>
      <w:r>
        <w:rPr>
          <w:bCs/>
          <w:lang w:val="en-GB"/>
        </w:rPr>
        <w:t xml:space="preserve"> in March 2016</w:t>
      </w:r>
      <w:r w:rsidR="00FA5864">
        <w:rPr>
          <w:bCs/>
          <w:lang w:val="en-GB"/>
        </w:rPr>
        <w:t>,</w:t>
      </w:r>
      <w:r>
        <w:rPr>
          <w:bCs/>
          <w:lang w:val="en-GB"/>
        </w:rPr>
        <w:t xml:space="preserve"> and submitted that this shows that the plaintiff was not the sort of person who would exaggerate his symptoms.  </w:t>
      </w:r>
      <w:r w:rsidR="000269C2">
        <w:rPr>
          <w:bCs/>
          <w:lang w:val="en-GB"/>
        </w:rPr>
        <w:t xml:space="preserve">While I accept that the plaintiff did try to go back to work as alleged, </w:t>
      </w:r>
      <w:r>
        <w:rPr>
          <w:bCs/>
          <w:lang w:val="en-GB"/>
        </w:rPr>
        <w:t xml:space="preserve">I do not accept </w:t>
      </w:r>
      <w:r w:rsidR="000269C2">
        <w:rPr>
          <w:bCs/>
          <w:lang w:val="en-GB"/>
        </w:rPr>
        <w:t>that he could not go back to his pre-accident job after 20 May 2016 (see further below)</w:t>
      </w:r>
      <w:r>
        <w:rPr>
          <w:bCs/>
          <w:lang w:val="en-GB"/>
        </w:rPr>
        <w:t>.  In my view, the court should take into account as much evidence into account</w:t>
      </w:r>
      <w:r w:rsidR="00454C7B">
        <w:rPr>
          <w:bCs/>
          <w:lang w:val="en-GB"/>
        </w:rPr>
        <w:t xml:space="preserve"> when deciding on whether the plaintiff had exaggerated his symptoms</w:t>
      </w:r>
      <w:r>
        <w:rPr>
          <w:bCs/>
          <w:lang w:val="en-GB"/>
        </w:rPr>
        <w:t xml:space="preserve"> and should not rely on just one or two incidents which can be misleading.</w:t>
      </w:r>
    </w:p>
    <w:p w:rsidR="00B27EF2" w:rsidRDefault="00B27EF2" w:rsidP="001E49C2">
      <w:pPr>
        <w:tabs>
          <w:tab w:val="clear" w:pos="4320"/>
          <w:tab w:val="clear" w:pos="9072"/>
        </w:tabs>
        <w:spacing w:line="360" w:lineRule="auto"/>
        <w:jc w:val="both"/>
        <w:rPr>
          <w:bCs/>
          <w:lang w:val="en-GB"/>
        </w:rPr>
      </w:pPr>
    </w:p>
    <w:p w:rsidR="00AF3E0A" w:rsidRDefault="00AF3E0A" w:rsidP="001E49C2">
      <w:pPr>
        <w:numPr>
          <w:ilvl w:val="0"/>
          <w:numId w:val="2"/>
        </w:numPr>
        <w:tabs>
          <w:tab w:val="clear" w:pos="360"/>
          <w:tab w:val="clear" w:pos="4320"/>
          <w:tab w:val="clear" w:pos="9072"/>
        </w:tabs>
        <w:spacing w:line="360" w:lineRule="auto"/>
        <w:jc w:val="both"/>
        <w:rPr>
          <w:bCs/>
          <w:lang w:val="en-GB"/>
        </w:rPr>
      </w:pPr>
      <w:r>
        <w:rPr>
          <w:bCs/>
          <w:lang w:val="en-GB"/>
        </w:rPr>
        <w:t>Mr Lam emphasized time and again that there is no evidence that the plaintiff had exaggerated his symptoms while he was attending consultations in front of his treating doctors.  That may be so.  However, I do not think I should disregard the possibility that the plaintiff had so exaggerated his symptoms when he saw the treating doctors.  This is an approach expressly permitted</w:t>
      </w:r>
      <w:r w:rsidR="00AE0D2F">
        <w:rPr>
          <w:bCs/>
          <w:lang w:val="en-GB"/>
        </w:rPr>
        <w:t>.  In</w:t>
      </w:r>
      <w:r>
        <w:rPr>
          <w:bCs/>
          <w:lang w:val="en-GB"/>
        </w:rPr>
        <w:t xml:space="preserve"> </w:t>
      </w:r>
      <w:r w:rsidRPr="00AF3E0A">
        <w:rPr>
          <w:bCs/>
          <w:i/>
          <w:lang w:val="en-GB"/>
        </w:rPr>
        <w:t>Tam Fu Yip Fip v Sincere Engineering &amp; Trading Co Ltd</w:t>
      </w:r>
      <w:r>
        <w:rPr>
          <w:bCs/>
          <w:lang w:val="en-GB"/>
        </w:rPr>
        <w:t xml:space="preserve"> [20</w:t>
      </w:r>
      <w:r w:rsidR="00AE0D2F">
        <w:rPr>
          <w:bCs/>
          <w:lang w:val="en-GB"/>
        </w:rPr>
        <w:t>08] 5 HKLRD 210 it was held by Le Pichon JA in paragraph 17 that:</w:t>
      </w:r>
    </w:p>
    <w:p w:rsidR="00AE0D2F" w:rsidRDefault="00AE0D2F" w:rsidP="00AE0D2F">
      <w:pPr>
        <w:tabs>
          <w:tab w:val="clear" w:pos="4320"/>
          <w:tab w:val="clear" w:pos="9072"/>
        </w:tabs>
        <w:spacing w:line="360" w:lineRule="auto"/>
        <w:jc w:val="both"/>
        <w:rPr>
          <w:bCs/>
          <w:lang w:val="en-GB"/>
        </w:rPr>
      </w:pPr>
    </w:p>
    <w:p w:rsidR="00AE0D2F" w:rsidRPr="002059B2" w:rsidRDefault="00AE0D2F" w:rsidP="00AE0D2F">
      <w:pPr>
        <w:tabs>
          <w:tab w:val="clear" w:pos="4320"/>
          <w:tab w:val="clear" w:pos="9072"/>
        </w:tabs>
        <w:ind w:left="1440" w:right="746"/>
        <w:jc w:val="both"/>
        <w:rPr>
          <w:bCs/>
          <w:sz w:val="24"/>
          <w:szCs w:val="24"/>
          <w:lang w:val="en-GB"/>
        </w:rPr>
      </w:pPr>
      <w:r w:rsidRPr="002059B2">
        <w:rPr>
          <w:bCs/>
          <w:sz w:val="24"/>
          <w:szCs w:val="24"/>
          <w:lang w:val="en-GB"/>
        </w:rPr>
        <w:t>“</w:t>
      </w:r>
      <w:r>
        <w:rPr>
          <w:bCs/>
          <w:sz w:val="24"/>
          <w:szCs w:val="24"/>
          <w:lang w:val="en-GB"/>
        </w:rPr>
        <w:t>[</w:t>
      </w:r>
      <w:r w:rsidRPr="002059B2">
        <w:rPr>
          <w:rFonts w:eastAsia="Times New Roman"/>
          <w:sz w:val="24"/>
          <w:szCs w:val="24"/>
        </w:rPr>
        <w:t>…</w:t>
      </w:r>
      <w:r>
        <w:rPr>
          <w:rFonts w:eastAsia="Times New Roman"/>
          <w:sz w:val="24"/>
          <w:szCs w:val="24"/>
        </w:rPr>
        <w:t xml:space="preserve">] </w:t>
      </w:r>
      <w:r w:rsidRPr="002059B2">
        <w:rPr>
          <w:sz w:val="24"/>
          <w:szCs w:val="24"/>
        </w:rPr>
        <w:t>Mr Lam [for the plaintiff] also prayed in aid the fact that the doctors in issuing the certificates are subject to the code of conduct governing the medical profession and it has to be assumed that when issuing the certificates, the treating doctors were acting in accordance with the requisite standard required of them.  There are difficulties with the submission.  First, it is the patient who makes the request for a certificate from the doctor.  Second, a doctor treating his patient may, consistently with the code of practice, issue the certificate without carrying out any detailed examination since such an examination is not always practicable or necessary.  What is quite clear in the present case is that the plaintiff has been found to have grossly exaggerated his complaints.  Although the exaggeration took place during the joint examination, plainly it would be open to the judge not to disregard the possibility of the plaintiff also having exaggerated his symptoms when he saw the treating doctors responsible for issuing the sick leave certificates.</w:t>
      </w:r>
      <w:r>
        <w:rPr>
          <w:sz w:val="24"/>
          <w:szCs w:val="24"/>
        </w:rPr>
        <w:t>”</w:t>
      </w:r>
    </w:p>
    <w:p w:rsidR="00AF3E0A" w:rsidRDefault="00AF3E0A" w:rsidP="00AF3E0A">
      <w:pPr>
        <w:tabs>
          <w:tab w:val="clear" w:pos="4320"/>
          <w:tab w:val="clear" w:pos="9072"/>
        </w:tabs>
        <w:spacing w:line="360" w:lineRule="auto"/>
        <w:jc w:val="both"/>
        <w:rPr>
          <w:bCs/>
          <w:lang w:val="en-GB"/>
        </w:rPr>
      </w:pPr>
    </w:p>
    <w:p w:rsidR="00694589" w:rsidRPr="00694589" w:rsidRDefault="00B02E90" w:rsidP="001E49C2">
      <w:pPr>
        <w:numPr>
          <w:ilvl w:val="0"/>
          <w:numId w:val="2"/>
        </w:numPr>
        <w:tabs>
          <w:tab w:val="clear" w:pos="360"/>
          <w:tab w:val="clear" w:pos="4320"/>
          <w:tab w:val="clear" w:pos="9072"/>
        </w:tabs>
        <w:spacing w:line="360" w:lineRule="auto"/>
        <w:jc w:val="both"/>
        <w:rPr>
          <w:bCs/>
          <w:lang w:val="en-GB"/>
        </w:rPr>
      </w:pPr>
      <w:r>
        <w:rPr>
          <w:bCs/>
          <w:lang w:val="en-GB"/>
        </w:rPr>
        <w:t>To conclude, I accept Dr Chun’s opinion that the plaintiff had exaggerated his symptoms and injuries.  While</w:t>
      </w:r>
      <w:r w:rsidR="00454C7B">
        <w:rPr>
          <w:bCs/>
          <w:lang w:val="en-GB"/>
        </w:rPr>
        <w:t xml:space="preserve"> I would</w:t>
      </w:r>
      <w:r w:rsidR="00AA6CC6">
        <w:rPr>
          <w:bCs/>
          <w:lang w:val="en-GB"/>
        </w:rPr>
        <w:t xml:space="preserve"> accept that</w:t>
      </w:r>
      <w:r>
        <w:rPr>
          <w:bCs/>
          <w:lang w:val="en-GB"/>
        </w:rPr>
        <w:t xml:space="preserve"> the plaintiff is still suffering from residual back pain, such pain is only modest and is mechanical in nature.  In other words, he is not suffering from such pain all the time as alleged.</w:t>
      </w:r>
    </w:p>
    <w:p w:rsidR="002A706F" w:rsidRDefault="002A706F" w:rsidP="001E49C2">
      <w:pPr>
        <w:pStyle w:val="ListParagraph"/>
        <w:spacing w:line="360" w:lineRule="auto"/>
        <w:ind w:left="0"/>
        <w:rPr>
          <w:bCs/>
          <w:lang w:val="en-GB"/>
        </w:rPr>
      </w:pPr>
    </w:p>
    <w:p w:rsidR="008201D8" w:rsidRDefault="00BA01A2" w:rsidP="001E49C2">
      <w:pPr>
        <w:tabs>
          <w:tab w:val="clear" w:pos="1440"/>
          <w:tab w:val="clear" w:pos="4320"/>
          <w:tab w:val="clear" w:pos="9072"/>
          <w:tab w:val="left" w:pos="1418"/>
        </w:tabs>
        <w:snapToGrid/>
        <w:spacing w:line="360" w:lineRule="auto"/>
        <w:jc w:val="both"/>
        <w:rPr>
          <w:bCs/>
          <w:i/>
          <w:lang w:val="en-GB"/>
        </w:rPr>
      </w:pPr>
      <w:r>
        <w:rPr>
          <w:bCs/>
          <w:i/>
          <w:lang w:val="en-GB"/>
        </w:rPr>
        <w:t>PRE-TRIAL LOSS OF EARNINGS AND MPF</w:t>
      </w:r>
    </w:p>
    <w:p w:rsidR="005F103C" w:rsidRDefault="005F103C" w:rsidP="001E49C2">
      <w:pPr>
        <w:tabs>
          <w:tab w:val="clear" w:pos="1440"/>
          <w:tab w:val="clear" w:pos="4320"/>
          <w:tab w:val="clear" w:pos="9072"/>
          <w:tab w:val="left" w:pos="1418"/>
        </w:tabs>
        <w:snapToGrid/>
        <w:spacing w:line="360" w:lineRule="auto"/>
        <w:jc w:val="both"/>
        <w:rPr>
          <w:bCs/>
          <w:i/>
          <w:lang w:val="en-GB"/>
        </w:rPr>
      </w:pPr>
    </w:p>
    <w:p w:rsidR="00AA6CC6" w:rsidRDefault="00AA6CC6" w:rsidP="001E49C2">
      <w:pPr>
        <w:tabs>
          <w:tab w:val="clear" w:pos="1440"/>
          <w:tab w:val="clear" w:pos="4320"/>
          <w:tab w:val="clear" w:pos="9072"/>
          <w:tab w:val="left" w:pos="1418"/>
        </w:tabs>
        <w:snapToGrid/>
        <w:spacing w:line="360" w:lineRule="auto"/>
        <w:jc w:val="both"/>
        <w:rPr>
          <w:bCs/>
          <w:i/>
          <w:lang w:val="en-GB"/>
        </w:rPr>
      </w:pPr>
      <w:r>
        <w:rPr>
          <w:bCs/>
          <w:i/>
          <w:lang w:val="en-GB"/>
        </w:rPr>
        <w:t xml:space="preserve">Nature of </w:t>
      </w:r>
      <w:r w:rsidR="00937525">
        <w:rPr>
          <w:bCs/>
          <w:i/>
          <w:lang w:val="en-GB"/>
        </w:rPr>
        <w:t>pre-accident job</w:t>
      </w:r>
    </w:p>
    <w:p w:rsidR="00AA6CC6" w:rsidRPr="008201D8" w:rsidRDefault="00AA6CC6" w:rsidP="001E49C2">
      <w:pPr>
        <w:tabs>
          <w:tab w:val="clear" w:pos="1440"/>
          <w:tab w:val="clear" w:pos="4320"/>
          <w:tab w:val="clear" w:pos="9072"/>
          <w:tab w:val="left" w:pos="1418"/>
        </w:tabs>
        <w:snapToGrid/>
        <w:spacing w:line="360" w:lineRule="auto"/>
        <w:jc w:val="both"/>
        <w:rPr>
          <w:bCs/>
          <w:i/>
          <w:lang w:val="en-GB"/>
        </w:rPr>
      </w:pPr>
    </w:p>
    <w:p w:rsidR="00AA6CC6" w:rsidRDefault="00937525" w:rsidP="001E49C2">
      <w:pPr>
        <w:numPr>
          <w:ilvl w:val="0"/>
          <w:numId w:val="2"/>
        </w:numPr>
        <w:tabs>
          <w:tab w:val="clear" w:pos="360"/>
          <w:tab w:val="clear" w:pos="4320"/>
          <w:tab w:val="clear" w:pos="9072"/>
        </w:tabs>
        <w:spacing w:line="360" w:lineRule="auto"/>
        <w:jc w:val="both"/>
        <w:rPr>
          <w:bCs/>
          <w:lang w:val="en-GB"/>
        </w:rPr>
      </w:pPr>
      <w:r>
        <w:rPr>
          <w:bCs/>
          <w:lang w:val="en-GB"/>
        </w:rPr>
        <w:t>Mr Lam has relied on the report of CANBI dated 4 January 2016 in support of the plaintiff’s case that his pre-accident job required him to</w:t>
      </w:r>
      <w:r w:rsidR="00AE1DF6">
        <w:rPr>
          <w:bCs/>
          <w:lang w:val="en-GB"/>
        </w:rPr>
        <w:t>, among other things,</w:t>
      </w:r>
      <w:r>
        <w:rPr>
          <w:bCs/>
          <w:lang w:val="en-GB"/>
        </w:rPr>
        <w:t xml:space="preserve"> lift and carry heavy objects frequently, and that he is now unable to do this anymore by reason of his low back pain.  </w:t>
      </w:r>
      <w:r w:rsidR="00AE1DF6">
        <w:rPr>
          <w:bCs/>
          <w:lang w:val="en-GB"/>
        </w:rPr>
        <w:t xml:space="preserve">With respect, such reliance is misplaced, because it is clear that the information on his pre-accident job demand </w:t>
      </w:r>
      <w:r w:rsidR="0065199F">
        <w:rPr>
          <w:bCs/>
          <w:lang w:val="en-GB"/>
        </w:rPr>
        <w:t xml:space="preserve">as stated in the CANBI report </w:t>
      </w:r>
      <w:r w:rsidR="00AE1DF6">
        <w:rPr>
          <w:bCs/>
          <w:lang w:val="en-GB"/>
        </w:rPr>
        <w:t>came from the plaintiff himself.  As a result, it is self-serving.</w:t>
      </w:r>
    </w:p>
    <w:p w:rsidR="0042291E" w:rsidRDefault="0042291E" w:rsidP="001E49C2">
      <w:pPr>
        <w:tabs>
          <w:tab w:val="clear" w:pos="4320"/>
          <w:tab w:val="clear" w:pos="9072"/>
        </w:tabs>
        <w:spacing w:line="360" w:lineRule="auto"/>
        <w:jc w:val="both"/>
        <w:rPr>
          <w:bCs/>
          <w:lang w:val="en-GB"/>
        </w:rPr>
      </w:pPr>
    </w:p>
    <w:p w:rsidR="00AE1DF6" w:rsidRDefault="00AE1DF6" w:rsidP="001E49C2">
      <w:pPr>
        <w:numPr>
          <w:ilvl w:val="0"/>
          <w:numId w:val="2"/>
        </w:numPr>
        <w:tabs>
          <w:tab w:val="clear" w:pos="360"/>
          <w:tab w:val="clear" w:pos="4320"/>
          <w:tab w:val="clear" w:pos="9072"/>
        </w:tabs>
        <w:spacing w:line="360" w:lineRule="auto"/>
        <w:jc w:val="both"/>
        <w:rPr>
          <w:bCs/>
          <w:lang w:val="en-GB"/>
        </w:rPr>
      </w:pPr>
      <w:r>
        <w:rPr>
          <w:bCs/>
          <w:lang w:val="en-GB"/>
        </w:rPr>
        <w:t>In relation to the job demand of the plaintiff’s pre-accident job, I prefer the evidence given by the defendant’s witness, Mr. Law Yiu Hung</w:t>
      </w:r>
      <w:r w:rsidR="0042291E">
        <w:rPr>
          <w:bCs/>
          <w:lang w:val="en-GB"/>
        </w:rPr>
        <w:t xml:space="preserve"> (the Assistant Director (Technical) of the defendant)</w:t>
      </w:r>
      <w:r>
        <w:rPr>
          <w:bCs/>
          <w:lang w:val="en-GB"/>
        </w:rPr>
        <w:t>, who told the court during cross-examination that the plaintiff’s job was not mainly about repairing air-conditioner as alleged.  This was just one of the job duties.  Rather, the plaintiff main job was painting.  He also had to repair doors, windows and pipes.  He was also required to</w:t>
      </w:r>
      <w:r w:rsidR="008F3987">
        <w:rPr>
          <w:bCs/>
          <w:lang w:val="en-GB"/>
        </w:rPr>
        <w:t xml:space="preserve"> replace fluorescent tubes.</w:t>
      </w:r>
    </w:p>
    <w:p w:rsidR="00AA6CC6" w:rsidRDefault="00AA6CC6" w:rsidP="001E49C2">
      <w:pPr>
        <w:tabs>
          <w:tab w:val="clear" w:pos="4320"/>
          <w:tab w:val="clear" w:pos="9072"/>
        </w:tabs>
        <w:spacing w:line="360" w:lineRule="auto"/>
        <w:jc w:val="both"/>
        <w:rPr>
          <w:bCs/>
          <w:lang w:val="en-GB"/>
        </w:rPr>
      </w:pPr>
    </w:p>
    <w:p w:rsidR="00AA6CC6" w:rsidRPr="00AA6CC6" w:rsidRDefault="00AA6CC6" w:rsidP="001E49C2">
      <w:pPr>
        <w:tabs>
          <w:tab w:val="clear" w:pos="4320"/>
          <w:tab w:val="clear" w:pos="9072"/>
        </w:tabs>
        <w:spacing w:line="360" w:lineRule="auto"/>
        <w:jc w:val="both"/>
        <w:rPr>
          <w:bCs/>
          <w:i/>
          <w:lang w:val="en-GB"/>
        </w:rPr>
      </w:pPr>
      <w:r w:rsidRPr="00AA6CC6">
        <w:rPr>
          <w:bCs/>
          <w:i/>
          <w:lang w:val="en-GB"/>
        </w:rPr>
        <w:t>Sick leave period</w:t>
      </w:r>
    </w:p>
    <w:p w:rsidR="00AE0D2F" w:rsidRDefault="00AE0D2F" w:rsidP="001E49C2">
      <w:pPr>
        <w:tabs>
          <w:tab w:val="clear" w:pos="4320"/>
          <w:tab w:val="clear" w:pos="9072"/>
        </w:tabs>
        <w:spacing w:line="360" w:lineRule="auto"/>
        <w:jc w:val="both"/>
        <w:rPr>
          <w:bCs/>
          <w:lang w:val="en-GB"/>
        </w:rPr>
      </w:pPr>
    </w:p>
    <w:p w:rsidR="003D4E68" w:rsidRDefault="000D348B" w:rsidP="001E49C2">
      <w:pPr>
        <w:numPr>
          <w:ilvl w:val="0"/>
          <w:numId w:val="2"/>
        </w:numPr>
        <w:tabs>
          <w:tab w:val="clear" w:pos="360"/>
          <w:tab w:val="clear" w:pos="4320"/>
          <w:tab w:val="clear" w:pos="9072"/>
        </w:tabs>
        <w:spacing w:line="360" w:lineRule="auto"/>
        <w:jc w:val="both"/>
        <w:rPr>
          <w:bCs/>
          <w:lang w:val="en-GB"/>
        </w:rPr>
      </w:pPr>
      <w:r>
        <w:rPr>
          <w:bCs/>
          <w:lang w:val="en-GB"/>
        </w:rPr>
        <w:t>Mr Lam for the plaintiff had referred this court to a number of authorities</w:t>
      </w:r>
      <w:r>
        <w:rPr>
          <w:rStyle w:val="FootnoteReference"/>
          <w:bCs/>
          <w:lang w:val="en-GB"/>
        </w:rPr>
        <w:footnoteReference w:id="25"/>
      </w:r>
      <w:r>
        <w:rPr>
          <w:bCs/>
          <w:lang w:val="en-GB"/>
        </w:rPr>
        <w:t xml:space="preserve"> and submitted that there are “a number of considerations or principles adopted by the Court”.  </w:t>
      </w:r>
      <w:r w:rsidR="00311B05">
        <w:rPr>
          <w:bCs/>
          <w:lang w:val="en-GB"/>
        </w:rPr>
        <w:t xml:space="preserve">With greatest respect, rulings were made in those cases on the facts and I do not think any legal principles had been laid down </w:t>
      </w:r>
      <w:r w:rsidR="0065199F">
        <w:rPr>
          <w:bCs/>
          <w:lang w:val="en-GB"/>
        </w:rPr>
        <w:t xml:space="preserve">therein </w:t>
      </w:r>
      <w:r w:rsidR="00311B05">
        <w:rPr>
          <w:bCs/>
          <w:lang w:val="en-GB"/>
        </w:rPr>
        <w:t>as such.</w:t>
      </w:r>
    </w:p>
    <w:p w:rsidR="00B27EF2" w:rsidRDefault="00B27EF2" w:rsidP="001E49C2">
      <w:pPr>
        <w:tabs>
          <w:tab w:val="clear" w:pos="4320"/>
          <w:tab w:val="clear" w:pos="9072"/>
        </w:tabs>
        <w:spacing w:line="360" w:lineRule="auto"/>
        <w:jc w:val="both"/>
        <w:rPr>
          <w:bCs/>
          <w:lang w:val="en-GB"/>
        </w:rPr>
      </w:pPr>
    </w:p>
    <w:p w:rsidR="00AF3E0A" w:rsidRDefault="00AF3E0A" w:rsidP="001E49C2">
      <w:pPr>
        <w:numPr>
          <w:ilvl w:val="0"/>
          <w:numId w:val="2"/>
        </w:numPr>
        <w:tabs>
          <w:tab w:val="clear" w:pos="360"/>
          <w:tab w:val="clear" w:pos="4320"/>
          <w:tab w:val="clear" w:pos="9072"/>
        </w:tabs>
        <w:spacing w:line="360" w:lineRule="auto"/>
        <w:jc w:val="both"/>
        <w:rPr>
          <w:bCs/>
          <w:lang w:val="en-GB"/>
        </w:rPr>
      </w:pPr>
      <w:r>
        <w:rPr>
          <w:bCs/>
          <w:lang w:val="en-GB"/>
        </w:rPr>
        <w:t xml:space="preserve">It is now trite that the applicable legal principles have been set out in </w:t>
      </w:r>
      <w:r w:rsidRPr="00AF3E0A">
        <w:rPr>
          <w:bCs/>
          <w:i/>
          <w:lang w:val="en-GB"/>
        </w:rPr>
        <w:t>Tam Fu Yip Fip v Sincere Engineering &amp; Trading Co Ltd</w:t>
      </w:r>
      <w:r>
        <w:rPr>
          <w:bCs/>
          <w:lang w:val="en-GB"/>
        </w:rPr>
        <w:t xml:space="preserve"> </w:t>
      </w:r>
      <w:r w:rsidR="00AE0D2F">
        <w:rPr>
          <w:bCs/>
          <w:lang w:val="en-GB"/>
        </w:rPr>
        <w:t>(</w:t>
      </w:r>
      <w:r w:rsidR="00AE0D2F" w:rsidRPr="00AE0D2F">
        <w:rPr>
          <w:bCs/>
          <w:i/>
          <w:lang w:val="en-GB"/>
        </w:rPr>
        <w:t>supra</w:t>
      </w:r>
      <w:r w:rsidR="00AE0D2F">
        <w:rPr>
          <w:bCs/>
          <w:lang w:val="en-GB"/>
        </w:rPr>
        <w:t>)</w:t>
      </w:r>
      <w:r>
        <w:rPr>
          <w:bCs/>
          <w:lang w:val="en-GB"/>
        </w:rPr>
        <w:t>:</w:t>
      </w:r>
    </w:p>
    <w:p w:rsidR="00B27EF2" w:rsidRDefault="00B27EF2" w:rsidP="00AF3E0A">
      <w:pPr>
        <w:tabs>
          <w:tab w:val="clear" w:pos="4320"/>
          <w:tab w:val="clear" w:pos="9072"/>
        </w:tabs>
        <w:spacing w:line="360" w:lineRule="auto"/>
        <w:jc w:val="both"/>
        <w:rPr>
          <w:bCs/>
          <w:sz w:val="24"/>
          <w:szCs w:val="24"/>
          <w:lang w:val="en-GB"/>
        </w:rPr>
      </w:pPr>
    </w:p>
    <w:p w:rsidR="00311B05" w:rsidRPr="00B41B00" w:rsidRDefault="00AF3E0A" w:rsidP="00AE0D2F">
      <w:pPr>
        <w:tabs>
          <w:tab w:val="clear" w:pos="4320"/>
          <w:tab w:val="clear" w:pos="9072"/>
        </w:tabs>
        <w:ind w:left="1440" w:right="746"/>
        <w:jc w:val="both"/>
        <w:rPr>
          <w:bCs/>
          <w:sz w:val="24"/>
          <w:szCs w:val="24"/>
          <w:lang w:val="en-GB"/>
        </w:rPr>
      </w:pPr>
      <w:r w:rsidRPr="00B41B00">
        <w:rPr>
          <w:bCs/>
          <w:sz w:val="24"/>
          <w:szCs w:val="24"/>
          <w:lang w:val="en-GB"/>
        </w:rPr>
        <w:t xml:space="preserve">“Since the plaintiff’s pre-trial loss of earnings is ascertained by reference to the period during which the plaintiff was prevented by the injuries sustained from returning to work, what has to be ascertained and identified is the length of that period.  In my view, </w:t>
      </w:r>
      <w:r w:rsidR="00B41B00" w:rsidRPr="00B41B00">
        <w:rPr>
          <w:bCs/>
          <w:sz w:val="24"/>
          <w:szCs w:val="24"/>
          <w:lang w:val="en-GB"/>
        </w:rPr>
        <w:t xml:space="preserve">that is an exercise that would not require evidence to suggest or imply that those who had granted sick leave to the plaintiff did so improperly.  Logically, if the finding is that the plaintiff could have gone back to work after three months, that is the period that is relevant to the assessment and award of pre-trial loss of earnings and no other.  Sick leave certificates are no more than a piece of evidence that has to be evaluated in the light of all the available evidence including medical evidence before the court.  As Rogers V-P observed in: </w:t>
      </w:r>
      <w:r w:rsidR="00B41B00" w:rsidRPr="00B41B00">
        <w:rPr>
          <w:bCs/>
          <w:i/>
          <w:sz w:val="24"/>
          <w:szCs w:val="24"/>
          <w:lang w:val="en-GB"/>
        </w:rPr>
        <w:t>Choy Wai Chung v Chun Wo Construction &amp; Engineering Co Ltd</w:t>
      </w:r>
      <w:r w:rsidR="00B41B00" w:rsidRPr="00B41B00">
        <w:rPr>
          <w:bCs/>
          <w:sz w:val="24"/>
          <w:szCs w:val="24"/>
          <w:lang w:val="en-GB"/>
        </w:rPr>
        <w:t xml:space="preserve"> (unrep., CACV 172/2004, [2005] HKEC 1077) at para.9, the judge cannot be bound by the mere issue of sick leave certificates: the issuance of such certificates would be primarily because of the subjective symptoms reported to the doctors by the plaintiff.”</w:t>
      </w:r>
      <w:r w:rsidR="00AE0D2F">
        <w:rPr>
          <w:bCs/>
          <w:sz w:val="24"/>
          <w:szCs w:val="24"/>
          <w:lang w:val="en-GB"/>
        </w:rPr>
        <w:t xml:space="preserve"> (at paragraph 18)</w:t>
      </w:r>
    </w:p>
    <w:p w:rsidR="007042A2" w:rsidRDefault="007042A2" w:rsidP="001E49C2">
      <w:pPr>
        <w:tabs>
          <w:tab w:val="clear" w:pos="4320"/>
          <w:tab w:val="clear" w:pos="9072"/>
        </w:tabs>
        <w:spacing w:line="360" w:lineRule="auto"/>
        <w:jc w:val="both"/>
        <w:rPr>
          <w:bCs/>
          <w:lang w:val="en-GB"/>
        </w:rPr>
      </w:pPr>
    </w:p>
    <w:p w:rsidR="00B41B00" w:rsidRDefault="00B41B00" w:rsidP="001E49C2">
      <w:pPr>
        <w:numPr>
          <w:ilvl w:val="0"/>
          <w:numId w:val="2"/>
        </w:numPr>
        <w:tabs>
          <w:tab w:val="clear" w:pos="360"/>
          <w:tab w:val="clear" w:pos="4320"/>
          <w:tab w:val="clear" w:pos="9072"/>
        </w:tabs>
        <w:spacing w:line="360" w:lineRule="auto"/>
        <w:jc w:val="both"/>
        <w:rPr>
          <w:bCs/>
          <w:lang w:val="en-GB"/>
        </w:rPr>
      </w:pPr>
      <w:r>
        <w:rPr>
          <w:bCs/>
          <w:lang w:val="en-GB"/>
        </w:rPr>
        <w:t xml:space="preserve">With the above in mind, I turn to the materials </w:t>
      </w:r>
      <w:r w:rsidR="00695EBC">
        <w:rPr>
          <w:bCs/>
          <w:lang w:val="en-GB"/>
        </w:rPr>
        <w:t xml:space="preserve">placed </w:t>
      </w:r>
      <w:r>
        <w:rPr>
          <w:bCs/>
          <w:lang w:val="en-GB"/>
        </w:rPr>
        <w:t>before this court.</w:t>
      </w:r>
    </w:p>
    <w:p w:rsidR="007042A2" w:rsidRDefault="007042A2" w:rsidP="001E49C2">
      <w:pPr>
        <w:tabs>
          <w:tab w:val="clear" w:pos="4320"/>
          <w:tab w:val="clear" w:pos="9072"/>
        </w:tabs>
        <w:spacing w:line="360" w:lineRule="auto"/>
        <w:jc w:val="both"/>
        <w:rPr>
          <w:bCs/>
          <w:lang w:val="en-GB"/>
        </w:rPr>
      </w:pPr>
    </w:p>
    <w:p w:rsidR="008201D8" w:rsidRDefault="0042291E" w:rsidP="001E49C2">
      <w:pPr>
        <w:numPr>
          <w:ilvl w:val="0"/>
          <w:numId w:val="2"/>
        </w:numPr>
        <w:tabs>
          <w:tab w:val="clear" w:pos="360"/>
          <w:tab w:val="clear" w:pos="4320"/>
          <w:tab w:val="clear" w:pos="9072"/>
        </w:tabs>
        <w:spacing w:line="360" w:lineRule="auto"/>
        <w:jc w:val="both"/>
        <w:rPr>
          <w:bCs/>
          <w:lang w:val="en-GB"/>
        </w:rPr>
      </w:pPr>
      <w:r>
        <w:rPr>
          <w:bCs/>
          <w:lang w:val="en-GB"/>
        </w:rPr>
        <w:t xml:space="preserve">In Dr Chun’s Report </w:t>
      </w:r>
      <w:r w:rsidR="00695EBC">
        <w:rPr>
          <w:bCs/>
          <w:lang w:val="en-GB"/>
        </w:rPr>
        <w:t>(</w:t>
      </w:r>
      <w:r>
        <w:rPr>
          <w:bCs/>
          <w:lang w:val="en-GB"/>
        </w:rPr>
        <w:t>which w</w:t>
      </w:r>
      <w:r w:rsidR="00B41B00">
        <w:rPr>
          <w:bCs/>
          <w:lang w:val="en-GB"/>
        </w:rPr>
        <w:t>as done after an examination</w:t>
      </w:r>
      <w:r>
        <w:rPr>
          <w:bCs/>
          <w:lang w:val="en-GB"/>
        </w:rPr>
        <w:t xml:space="preserve"> conducted on 20 May 2016</w:t>
      </w:r>
      <w:r w:rsidR="00695EBC">
        <w:rPr>
          <w:bCs/>
          <w:lang w:val="en-GB"/>
        </w:rPr>
        <w:t>)</w:t>
      </w:r>
      <w:r>
        <w:rPr>
          <w:bCs/>
          <w:lang w:val="en-GB"/>
        </w:rPr>
        <w:t>, Dr Chun opined that the plaintiff “had adequate SL”, and “further SL is not warranted”</w:t>
      </w:r>
      <w:r>
        <w:rPr>
          <w:rStyle w:val="FootnoteReference"/>
          <w:bCs/>
          <w:lang w:val="en-GB"/>
        </w:rPr>
        <w:footnoteReference w:id="26"/>
      </w:r>
      <w:r>
        <w:rPr>
          <w:bCs/>
          <w:lang w:val="en-GB"/>
        </w:rPr>
        <w:t xml:space="preserve">. </w:t>
      </w:r>
    </w:p>
    <w:p w:rsidR="007042A2" w:rsidRDefault="007042A2" w:rsidP="001E49C2">
      <w:pPr>
        <w:tabs>
          <w:tab w:val="clear" w:pos="4320"/>
          <w:tab w:val="clear" w:pos="9072"/>
        </w:tabs>
        <w:spacing w:line="360" w:lineRule="auto"/>
        <w:jc w:val="both"/>
        <w:rPr>
          <w:bCs/>
          <w:lang w:val="en-GB"/>
        </w:rPr>
      </w:pPr>
    </w:p>
    <w:p w:rsidR="0042291E" w:rsidRDefault="0042291E" w:rsidP="001E49C2">
      <w:pPr>
        <w:numPr>
          <w:ilvl w:val="0"/>
          <w:numId w:val="2"/>
        </w:numPr>
        <w:tabs>
          <w:tab w:val="clear" w:pos="360"/>
          <w:tab w:val="clear" w:pos="4320"/>
          <w:tab w:val="clear" w:pos="9072"/>
        </w:tabs>
        <w:spacing w:line="360" w:lineRule="auto"/>
        <w:jc w:val="both"/>
        <w:rPr>
          <w:bCs/>
          <w:lang w:val="en-GB"/>
        </w:rPr>
      </w:pPr>
      <w:r>
        <w:rPr>
          <w:bCs/>
          <w:lang w:val="en-GB"/>
        </w:rPr>
        <w:t>In the Joint Expert Report, Dr Chun opined that “reasonable sick leave should be up to 9/3/2016”</w:t>
      </w:r>
      <w:r>
        <w:rPr>
          <w:rStyle w:val="FootnoteReference"/>
          <w:bCs/>
          <w:lang w:val="en-GB"/>
        </w:rPr>
        <w:footnoteReference w:id="27"/>
      </w:r>
      <w:r>
        <w:rPr>
          <w:bCs/>
          <w:lang w:val="en-GB"/>
        </w:rPr>
        <w:t xml:space="preserve">. </w:t>
      </w:r>
    </w:p>
    <w:p w:rsidR="007042A2" w:rsidRDefault="007042A2" w:rsidP="001E49C2">
      <w:pPr>
        <w:tabs>
          <w:tab w:val="clear" w:pos="4320"/>
          <w:tab w:val="clear" w:pos="9072"/>
        </w:tabs>
        <w:spacing w:line="360" w:lineRule="auto"/>
        <w:jc w:val="both"/>
        <w:rPr>
          <w:bCs/>
          <w:lang w:val="en-GB"/>
        </w:rPr>
      </w:pPr>
    </w:p>
    <w:p w:rsidR="00B27EF2" w:rsidRDefault="0042291E" w:rsidP="001E49C2">
      <w:pPr>
        <w:numPr>
          <w:ilvl w:val="0"/>
          <w:numId w:val="2"/>
        </w:numPr>
        <w:tabs>
          <w:tab w:val="clear" w:pos="360"/>
          <w:tab w:val="clear" w:pos="4320"/>
          <w:tab w:val="clear" w:pos="9072"/>
        </w:tabs>
        <w:spacing w:line="360" w:lineRule="auto"/>
        <w:jc w:val="both"/>
        <w:rPr>
          <w:bCs/>
          <w:lang w:val="en-GB"/>
        </w:rPr>
      </w:pPr>
      <w:r>
        <w:rPr>
          <w:bCs/>
          <w:lang w:val="en-GB"/>
        </w:rPr>
        <w:t>On the other hand, Dr Kong opined that:</w:t>
      </w:r>
      <w:r w:rsidR="00B41B00">
        <w:rPr>
          <w:bCs/>
          <w:lang w:val="en-GB"/>
        </w:rPr>
        <w:t xml:space="preserve"> </w:t>
      </w:r>
      <w:r w:rsidRPr="00B41B00">
        <w:rPr>
          <w:bCs/>
          <w:lang w:val="en-GB"/>
        </w:rPr>
        <w:t>“Mr. Tang received lengthy courses of physiotherapy and occupational therapy for rehabilitation.  He also sought treatments from a number of private orthopaedic surgeons as well as bone setters for his residual back pain.  From the medical point of view, the intermittent sick leaves granted by his treating doctors up to 14.01.2018 are within reasonable limits”</w:t>
      </w:r>
      <w:r>
        <w:rPr>
          <w:rStyle w:val="FootnoteReference"/>
          <w:bCs/>
          <w:lang w:val="en-GB"/>
        </w:rPr>
        <w:footnoteReference w:id="28"/>
      </w:r>
      <w:r w:rsidRPr="00B41B00">
        <w:rPr>
          <w:bCs/>
          <w:lang w:val="en-GB"/>
        </w:rPr>
        <w:t>.</w:t>
      </w:r>
    </w:p>
    <w:p w:rsidR="007042A2" w:rsidRDefault="007042A2" w:rsidP="001E49C2">
      <w:pPr>
        <w:tabs>
          <w:tab w:val="clear" w:pos="4320"/>
          <w:tab w:val="clear" w:pos="9072"/>
        </w:tabs>
        <w:spacing w:line="360" w:lineRule="auto"/>
        <w:jc w:val="both"/>
        <w:rPr>
          <w:bCs/>
          <w:lang w:val="en-GB"/>
        </w:rPr>
      </w:pPr>
    </w:p>
    <w:p w:rsidR="00447077" w:rsidRDefault="00C14551" w:rsidP="001E49C2">
      <w:pPr>
        <w:numPr>
          <w:ilvl w:val="0"/>
          <w:numId w:val="2"/>
        </w:numPr>
        <w:tabs>
          <w:tab w:val="clear" w:pos="360"/>
          <w:tab w:val="clear" w:pos="4320"/>
          <w:tab w:val="clear" w:pos="9072"/>
        </w:tabs>
        <w:spacing w:line="360" w:lineRule="auto"/>
        <w:jc w:val="both"/>
        <w:rPr>
          <w:bCs/>
          <w:lang w:val="en-GB"/>
        </w:rPr>
      </w:pPr>
      <w:r w:rsidRPr="00B27EF2">
        <w:rPr>
          <w:bCs/>
          <w:lang w:val="en-GB"/>
        </w:rPr>
        <w:t>On the basis of Dr Kong’s opinion, Mr Lam submitted that the</w:t>
      </w:r>
      <w:r w:rsidR="00B27EF2">
        <w:rPr>
          <w:bCs/>
          <w:lang w:val="en-GB"/>
        </w:rPr>
        <w:t xml:space="preserve"> </w:t>
      </w:r>
      <w:r w:rsidRPr="00B27EF2">
        <w:rPr>
          <w:bCs/>
          <w:lang w:val="en-GB"/>
        </w:rPr>
        <w:t>plaintiff should be awarded damages for loss of earnings “covering the full sick leave period plus a few more months for him to look for another job”</w:t>
      </w:r>
      <w:r>
        <w:rPr>
          <w:rStyle w:val="FootnoteReference"/>
          <w:bCs/>
          <w:lang w:val="en-GB"/>
        </w:rPr>
        <w:footnoteReference w:id="29"/>
      </w:r>
      <w:r w:rsidRPr="00B27EF2">
        <w:rPr>
          <w:bCs/>
          <w:lang w:val="en-GB"/>
        </w:rPr>
        <w:t>.</w:t>
      </w:r>
      <w:r w:rsidR="00B27EF2" w:rsidRPr="00B27EF2">
        <w:rPr>
          <w:bCs/>
          <w:lang w:val="en-GB"/>
        </w:rPr>
        <w:t xml:space="preserve"> </w:t>
      </w:r>
      <w:r w:rsidR="00447077">
        <w:rPr>
          <w:bCs/>
          <w:lang w:val="en-GB"/>
        </w:rPr>
        <w:t xml:space="preserve"> In his opening submissions, he stated that 6 months should be allowed for the plaintiff to have further recovery after the sick leave expired in January 2019.</w:t>
      </w:r>
      <w:r w:rsidR="00447077">
        <w:rPr>
          <w:rStyle w:val="FootnoteReference"/>
          <w:bCs/>
          <w:lang w:val="en-GB"/>
        </w:rPr>
        <w:footnoteReference w:id="30"/>
      </w:r>
      <w:r w:rsidR="00447077">
        <w:rPr>
          <w:bCs/>
          <w:lang w:val="en-GB"/>
        </w:rPr>
        <w:t xml:space="preserve">  </w:t>
      </w:r>
    </w:p>
    <w:p w:rsidR="00447077" w:rsidRDefault="00447077" w:rsidP="001E49C2">
      <w:pPr>
        <w:pStyle w:val="ListParagraph"/>
        <w:spacing w:line="360" w:lineRule="auto"/>
        <w:rPr>
          <w:bCs/>
          <w:lang w:val="en-GB"/>
        </w:rPr>
      </w:pPr>
    </w:p>
    <w:p w:rsidR="00B27EF2" w:rsidRDefault="00644B72" w:rsidP="001E49C2">
      <w:pPr>
        <w:numPr>
          <w:ilvl w:val="0"/>
          <w:numId w:val="2"/>
        </w:numPr>
        <w:tabs>
          <w:tab w:val="clear" w:pos="360"/>
          <w:tab w:val="clear" w:pos="4320"/>
          <w:tab w:val="clear" w:pos="9072"/>
        </w:tabs>
        <w:spacing w:line="360" w:lineRule="auto"/>
        <w:jc w:val="both"/>
        <w:rPr>
          <w:bCs/>
          <w:lang w:val="en-GB"/>
        </w:rPr>
      </w:pPr>
      <w:r>
        <w:rPr>
          <w:bCs/>
          <w:lang w:val="en-GB"/>
        </w:rPr>
        <w:t>When Mr Lam was making his opening submissions, this court had enquired with him as to whether his</w:t>
      </w:r>
      <w:r w:rsidR="00B27EF2" w:rsidRPr="00B27EF2">
        <w:rPr>
          <w:bCs/>
          <w:lang w:val="en-GB"/>
        </w:rPr>
        <w:t xml:space="preserve"> fall-back position is that sick leave should be granted up to 20 May 2016 pursuant to Dr Chun’s Report</w:t>
      </w:r>
      <w:r w:rsidR="008D1197">
        <w:rPr>
          <w:bCs/>
          <w:lang w:val="en-GB"/>
        </w:rPr>
        <w:t xml:space="preserve">.  The enquiry was raised </w:t>
      </w:r>
      <w:r w:rsidR="00C47850">
        <w:rPr>
          <w:bCs/>
          <w:lang w:val="en-GB"/>
        </w:rPr>
        <w:t xml:space="preserve">because </w:t>
      </w:r>
      <w:r w:rsidR="008D1197">
        <w:rPr>
          <w:bCs/>
          <w:lang w:val="en-GB"/>
        </w:rPr>
        <w:t>Mr Lam, in his oral opening submissions,</w:t>
      </w:r>
      <w:r w:rsidR="00C47850">
        <w:rPr>
          <w:bCs/>
          <w:lang w:val="en-GB"/>
        </w:rPr>
        <w:t xml:space="preserve"> had laid emphasis on Dr Chun’s Report</w:t>
      </w:r>
      <w:r w:rsidR="008D1197">
        <w:rPr>
          <w:bCs/>
          <w:lang w:val="en-GB"/>
        </w:rPr>
        <w:t xml:space="preserve"> in this aspect</w:t>
      </w:r>
      <w:r w:rsidR="00B27EF2" w:rsidRPr="00B27EF2">
        <w:rPr>
          <w:bCs/>
          <w:lang w:val="en-GB"/>
        </w:rPr>
        <w:t>.</w:t>
      </w:r>
      <w:r>
        <w:rPr>
          <w:bCs/>
          <w:lang w:val="en-GB"/>
        </w:rPr>
        <w:t xml:space="preserve">  </w:t>
      </w:r>
      <w:r w:rsidR="008D1197">
        <w:rPr>
          <w:bCs/>
          <w:lang w:val="en-GB"/>
        </w:rPr>
        <w:t xml:space="preserve">He even belatedly requested to have an instruction letter issued by United Adjusters (HK) Ltd dated 4 May 2016 inserted into the trial bundle.  In reply, </w:t>
      </w:r>
      <w:r>
        <w:rPr>
          <w:bCs/>
          <w:lang w:val="en-GB"/>
        </w:rPr>
        <w:t>Mr Lam clearly gave the court a positive answer there and then.</w:t>
      </w:r>
      <w:r w:rsidR="000F64CD">
        <w:rPr>
          <w:rStyle w:val="FootnoteReference"/>
          <w:bCs/>
          <w:lang w:val="en-GB"/>
        </w:rPr>
        <w:footnoteReference w:id="31"/>
      </w:r>
      <w:r>
        <w:rPr>
          <w:bCs/>
          <w:lang w:val="en-GB"/>
        </w:rPr>
        <w:t xml:space="preserve">  However, during the stage of closing submissions, he denied ever putting forward such a fall-back position as such, and he would withdraw from such a position even if he had really adopted such a position.  </w:t>
      </w:r>
      <w:r w:rsidR="000F64CD">
        <w:rPr>
          <w:bCs/>
          <w:lang w:val="en-GB"/>
        </w:rPr>
        <w:t>I do not think it matters</w:t>
      </w:r>
      <w:r w:rsidR="00021647">
        <w:rPr>
          <w:bCs/>
          <w:lang w:val="en-GB"/>
        </w:rPr>
        <w:t xml:space="preserve"> at all</w:t>
      </w:r>
      <w:r w:rsidR="000F64CD">
        <w:rPr>
          <w:bCs/>
          <w:lang w:val="en-GB"/>
        </w:rPr>
        <w:t xml:space="preserve"> whether Mr Lam should be allowed to withdraw from such a position or not, because, as </w:t>
      </w:r>
      <w:r w:rsidR="00021647">
        <w:rPr>
          <w:bCs/>
          <w:lang w:val="en-GB"/>
        </w:rPr>
        <w:t>accepted</w:t>
      </w:r>
      <w:r w:rsidR="000F64CD">
        <w:rPr>
          <w:bCs/>
          <w:lang w:val="en-GB"/>
        </w:rPr>
        <w:t xml:space="preserve"> by Mr Lam, the court can come to its decision on sick leave as it thinks fit anyway.  </w:t>
      </w:r>
    </w:p>
    <w:p w:rsidR="007042A2" w:rsidRDefault="007042A2" w:rsidP="001E49C2">
      <w:pPr>
        <w:tabs>
          <w:tab w:val="clear" w:pos="4320"/>
          <w:tab w:val="clear" w:pos="9072"/>
        </w:tabs>
        <w:spacing w:line="360" w:lineRule="auto"/>
        <w:jc w:val="both"/>
        <w:rPr>
          <w:bCs/>
          <w:lang w:val="en-GB"/>
        </w:rPr>
      </w:pPr>
    </w:p>
    <w:p w:rsidR="00B27EF2" w:rsidRDefault="00B27EF2" w:rsidP="001E49C2">
      <w:pPr>
        <w:numPr>
          <w:ilvl w:val="0"/>
          <w:numId w:val="2"/>
        </w:numPr>
        <w:tabs>
          <w:tab w:val="clear" w:pos="360"/>
          <w:tab w:val="clear" w:pos="4320"/>
          <w:tab w:val="clear" w:pos="9072"/>
        </w:tabs>
        <w:spacing w:line="360" w:lineRule="auto"/>
        <w:jc w:val="both"/>
        <w:rPr>
          <w:bCs/>
          <w:lang w:val="en-GB"/>
        </w:rPr>
      </w:pPr>
      <w:r>
        <w:rPr>
          <w:bCs/>
          <w:lang w:val="en-GB"/>
        </w:rPr>
        <w:t>On the other hand, Ms Kwok, by reason of Dr Chun’s opinion contained in the Joint Expert Report, submitted that the plaintiff’s loss of pre-trial earnings should only be calculated up to 9 March 2016.</w:t>
      </w:r>
    </w:p>
    <w:p w:rsidR="005D1656" w:rsidRDefault="005D1656" w:rsidP="001E49C2">
      <w:pPr>
        <w:tabs>
          <w:tab w:val="clear" w:pos="4320"/>
          <w:tab w:val="clear" w:pos="9072"/>
        </w:tabs>
        <w:spacing w:line="360" w:lineRule="auto"/>
        <w:jc w:val="both"/>
        <w:rPr>
          <w:bCs/>
          <w:lang w:val="en-GB"/>
        </w:rPr>
      </w:pPr>
    </w:p>
    <w:p w:rsidR="00DB48BF" w:rsidRDefault="007042A2" w:rsidP="001E49C2">
      <w:pPr>
        <w:numPr>
          <w:ilvl w:val="0"/>
          <w:numId w:val="2"/>
        </w:numPr>
        <w:tabs>
          <w:tab w:val="clear" w:pos="360"/>
          <w:tab w:val="clear" w:pos="4320"/>
          <w:tab w:val="clear" w:pos="9072"/>
        </w:tabs>
        <w:spacing w:line="360" w:lineRule="auto"/>
        <w:jc w:val="both"/>
        <w:rPr>
          <w:bCs/>
          <w:lang w:val="en-GB"/>
        </w:rPr>
      </w:pPr>
      <w:r>
        <w:rPr>
          <w:bCs/>
          <w:lang w:val="en-GB"/>
        </w:rPr>
        <w:t xml:space="preserve">In my judgment, sick leave should be granted up to </w:t>
      </w:r>
      <w:r w:rsidR="00521202">
        <w:rPr>
          <w:bCs/>
          <w:lang w:val="en-GB"/>
        </w:rPr>
        <w:t>20 May 2016.  Matters which I have taken into account are set out below</w:t>
      </w:r>
      <w:r w:rsidR="00DB48BF">
        <w:rPr>
          <w:bCs/>
          <w:lang w:val="en-GB"/>
        </w:rPr>
        <w:t>.</w:t>
      </w:r>
    </w:p>
    <w:p w:rsidR="005D1656" w:rsidRPr="005D1656" w:rsidRDefault="005D1656" w:rsidP="001E49C2">
      <w:pPr>
        <w:tabs>
          <w:tab w:val="clear" w:pos="4320"/>
          <w:tab w:val="clear" w:pos="9072"/>
        </w:tabs>
        <w:spacing w:line="360" w:lineRule="auto"/>
        <w:jc w:val="both"/>
        <w:rPr>
          <w:bCs/>
          <w:lang w:val="en-GB"/>
        </w:rPr>
      </w:pPr>
    </w:p>
    <w:p w:rsidR="00DB48BF" w:rsidRDefault="00DB48BF" w:rsidP="001E49C2">
      <w:pPr>
        <w:numPr>
          <w:ilvl w:val="0"/>
          <w:numId w:val="2"/>
        </w:numPr>
        <w:tabs>
          <w:tab w:val="clear" w:pos="360"/>
          <w:tab w:val="clear" w:pos="4320"/>
          <w:tab w:val="clear" w:pos="9072"/>
        </w:tabs>
        <w:spacing w:line="360" w:lineRule="auto"/>
        <w:jc w:val="both"/>
        <w:rPr>
          <w:bCs/>
          <w:lang w:val="en-GB"/>
        </w:rPr>
      </w:pPr>
      <w:r w:rsidRPr="00DB48BF">
        <w:rPr>
          <w:b/>
          <w:bCs/>
          <w:u w:val="single"/>
          <w:lang w:val="en-GB"/>
        </w:rPr>
        <w:t>Firstly</w:t>
      </w:r>
      <w:r>
        <w:rPr>
          <w:bCs/>
          <w:lang w:val="en-GB"/>
        </w:rPr>
        <w:t>, it is evident (from the various medical reports and physiotherapy reports and the plaintiff’s oral evidence) that the plaintiff had all along been recovering gradually:</w:t>
      </w:r>
    </w:p>
    <w:p w:rsidR="005D1656" w:rsidRDefault="005D1656" w:rsidP="001E49C2">
      <w:pPr>
        <w:tabs>
          <w:tab w:val="clear" w:pos="4320"/>
          <w:tab w:val="clear" w:pos="9072"/>
        </w:tabs>
        <w:spacing w:line="360" w:lineRule="auto"/>
        <w:ind w:left="2940"/>
        <w:jc w:val="both"/>
        <w:rPr>
          <w:bCs/>
          <w:lang w:val="en-GB"/>
        </w:rPr>
      </w:pPr>
    </w:p>
    <w:p w:rsidR="00DB48BF" w:rsidRDefault="00DB48BF" w:rsidP="001E49C2">
      <w:pPr>
        <w:numPr>
          <w:ilvl w:val="3"/>
          <w:numId w:val="2"/>
        </w:numPr>
        <w:tabs>
          <w:tab w:val="clear" w:pos="1440"/>
          <w:tab w:val="clear" w:pos="4320"/>
          <w:tab w:val="clear" w:pos="9072"/>
          <w:tab w:val="left" w:pos="2160"/>
        </w:tabs>
        <w:spacing w:line="360" w:lineRule="auto"/>
        <w:ind w:left="2160"/>
        <w:jc w:val="both"/>
        <w:rPr>
          <w:bCs/>
          <w:lang w:val="en-GB"/>
        </w:rPr>
      </w:pPr>
      <w:r>
        <w:rPr>
          <w:bCs/>
          <w:lang w:val="en-GB"/>
        </w:rPr>
        <w:t>O</w:t>
      </w:r>
      <w:r>
        <w:rPr>
          <w:rFonts w:hint="eastAsia"/>
          <w:bCs/>
          <w:lang w:val="en-GB"/>
        </w:rPr>
        <w:t xml:space="preserve">n 30 </w:t>
      </w:r>
      <w:r>
        <w:rPr>
          <w:bCs/>
          <w:lang w:val="en-GB"/>
        </w:rPr>
        <w:t>December 2015, after 2 physiotherapy sessions at PWH, the plaintiff’s back pain had reduced;</w:t>
      </w:r>
    </w:p>
    <w:p w:rsidR="000F64CD" w:rsidRDefault="000F64CD" w:rsidP="001E49C2">
      <w:pPr>
        <w:tabs>
          <w:tab w:val="clear" w:pos="1440"/>
          <w:tab w:val="clear" w:pos="4320"/>
          <w:tab w:val="clear" w:pos="9072"/>
          <w:tab w:val="left" w:pos="2160"/>
        </w:tabs>
        <w:spacing w:line="360" w:lineRule="auto"/>
        <w:ind w:left="2160"/>
        <w:jc w:val="both"/>
        <w:rPr>
          <w:bCs/>
          <w:lang w:val="en-GB"/>
        </w:rPr>
      </w:pPr>
    </w:p>
    <w:p w:rsidR="00DB48BF" w:rsidRDefault="00DB48BF" w:rsidP="001E49C2">
      <w:pPr>
        <w:numPr>
          <w:ilvl w:val="3"/>
          <w:numId w:val="2"/>
        </w:numPr>
        <w:tabs>
          <w:tab w:val="clear" w:pos="1440"/>
          <w:tab w:val="clear" w:pos="4320"/>
          <w:tab w:val="clear" w:pos="9072"/>
          <w:tab w:val="left" w:pos="2160"/>
        </w:tabs>
        <w:spacing w:line="360" w:lineRule="auto"/>
        <w:ind w:left="2160"/>
        <w:jc w:val="both"/>
        <w:rPr>
          <w:bCs/>
          <w:lang w:val="en-GB"/>
        </w:rPr>
      </w:pPr>
      <w:r>
        <w:rPr>
          <w:bCs/>
          <w:lang w:val="en-GB"/>
        </w:rPr>
        <w:t>On 11 January 2016, the plaintiff’s range of movement had become full;</w:t>
      </w:r>
    </w:p>
    <w:p w:rsidR="000F64CD" w:rsidRDefault="000F64CD" w:rsidP="001E49C2">
      <w:pPr>
        <w:tabs>
          <w:tab w:val="clear" w:pos="1440"/>
          <w:tab w:val="clear" w:pos="4320"/>
          <w:tab w:val="clear" w:pos="9072"/>
          <w:tab w:val="left" w:pos="2160"/>
        </w:tabs>
        <w:spacing w:line="360" w:lineRule="auto"/>
        <w:ind w:left="2160"/>
        <w:jc w:val="both"/>
        <w:rPr>
          <w:bCs/>
          <w:lang w:val="en-GB"/>
        </w:rPr>
      </w:pPr>
    </w:p>
    <w:p w:rsidR="00DB48BF" w:rsidRDefault="00DB48BF" w:rsidP="001E49C2">
      <w:pPr>
        <w:numPr>
          <w:ilvl w:val="3"/>
          <w:numId w:val="2"/>
        </w:numPr>
        <w:tabs>
          <w:tab w:val="clear" w:pos="1440"/>
          <w:tab w:val="clear" w:pos="4320"/>
          <w:tab w:val="clear" w:pos="9072"/>
          <w:tab w:val="left" w:pos="2160"/>
        </w:tabs>
        <w:spacing w:line="360" w:lineRule="auto"/>
        <w:ind w:left="2160"/>
        <w:jc w:val="both"/>
        <w:rPr>
          <w:bCs/>
          <w:lang w:val="en-GB"/>
        </w:rPr>
      </w:pPr>
      <w:r>
        <w:rPr>
          <w:bCs/>
          <w:lang w:val="en-GB"/>
        </w:rPr>
        <w:t>On 27 January 2016, there was an overall improvement of 50</w:t>
      </w:r>
      <w:r>
        <w:rPr>
          <w:rFonts w:hint="eastAsia"/>
          <w:bCs/>
          <w:lang w:val="en-GB"/>
        </w:rPr>
        <w:t>%;</w:t>
      </w:r>
    </w:p>
    <w:p w:rsidR="000F64CD" w:rsidRDefault="000F64CD" w:rsidP="001E49C2">
      <w:pPr>
        <w:tabs>
          <w:tab w:val="clear" w:pos="1440"/>
          <w:tab w:val="clear" w:pos="4320"/>
          <w:tab w:val="clear" w:pos="9072"/>
          <w:tab w:val="left" w:pos="2160"/>
        </w:tabs>
        <w:spacing w:line="360" w:lineRule="auto"/>
        <w:ind w:left="2160"/>
        <w:jc w:val="both"/>
        <w:rPr>
          <w:bCs/>
          <w:lang w:val="en-GB"/>
        </w:rPr>
      </w:pPr>
    </w:p>
    <w:p w:rsidR="00DB48BF" w:rsidRDefault="00DB48BF" w:rsidP="001E49C2">
      <w:pPr>
        <w:numPr>
          <w:ilvl w:val="3"/>
          <w:numId w:val="2"/>
        </w:numPr>
        <w:tabs>
          <w:tab w:val="clear" w:pos="1440"/>
          <w:tab w:val="clear" w:pos="4320"/>
          <w:tab w:val="clear" w:pos="9072"/>
          <w:tab w:val="left" w:pos="2160"/>
        </w:tabs>
        <w:spacing w:line="360" w:lineRule="auto"/>
        <w:ind w:left="2160"/>
        <w:jc w:val="both"/>
        <w:rPr>
          <w:bCs/>
          <w:lang w:val="en-GB"/>
        </w:rPr>
      </w:pPr>
      <w:r>
        <w:rPr>
          <w:rFonts w:hint="eastAsia"/>
          <w:bCs/>
          <w:lang w:val="en-GB"/>
        </w:rPr>
        <w:t>On</w:t>
      </w:r>
      <w:r>
        <w:rPr>
          <w:bCs/>
          <w:lang w:val="en-GB"/>
        </w:rPr>
        <w:t xml:space="preserve"> </w:t>
      </w:r>
      <w:r>
        <w:rPr>
          <w:rFonts w:hint="eastAsia"/>
          <w:bCs/>
          <w:lang w:val="en-GB"/>
        </w:rPr>
        <w:t>2</w:t>
      </w:r>
      <w:r>
        <w:rPr>
          <w:bCs/>
          <w:lang w:val="en-GB"/>
        </w:rPr>
        <w:t xml:space="preserve"> F</w:t>
      </w:r>
      <w:r>
        <w:rPr>
          <w:rFonts w:hint="eastAsia"/>
          <w:bCs/>
          <w:lang w:val="en-GB"/>
        </w:rPr>
        <w:t>ebr</w:t>
      </w:r>
      <w:r>
        <w:rPr>
          <w:bCs/>
          <w:lang w:val="en-GB"/>
        </w:rPr>
        <w:t>uary 2016, there was reduced back pain but pain would be increased if the plaintiff sat for a long time;</w:t>
      </w:r>
    </w:p>
    <w:p w:rsidR="000F64CD" w:rsidRDefault="000F64CD" w:rsidP="001E49C2">
      <w:pPr>
        <w:tabs>
          <w:tab w:val="clear" w:pos="1440"/>
          <w:tab w:val="clear" w:pos="4320"/>
          <w:tab w:val="clear" w:pos="9072"/>
          <w:tab w:val="left" w:pos="2160"/>
        </w:tabs>
        <w:spacing w:line="360" w:lineRule="auto"/>
        <w:ind w:left="2160"/>
        <w:jc w:val="both"/>
        <w:rPr>
          <w:bCs/>
          <w:lang w:val="en-GB"/>
        </w:rPr>
      </w:pPr>
    </w:p>
    <w:p w:rsidR="00521202" w:rsidRDefault="00521202" w:rsidP="001E49C2">
      <w:pPr>
        <w:numPr>
          <w:ilvl w:val="3"/>
          <w:numId w:val="2"/>
        </w:numPr>
        <w:tabs>
          <w:tab w:val="clear" w:pos="1440"/>
          <w:tab w:val="clear" w:pos="4320"/>
          <w:tab w:val="clear" w:pos="9072"/>
          <w:tab w:val="left" w:pos="2160"/>
        </w:tabs>
        <w:spacing w:line="360" w:lineRule="auto"/>
        <w:ind w:left="2160"/>
        <w:jc w:val="both"/>
        <w:rPr>
          <w:bCs/>
          <w:lang w:val="en-GB"/>
        </w:rPr>
      </w:pPr>
      <w:r>
        <w:rPr>
          <w:bCs/>
          <w:lang w:val="en-GB"/>
        </w:rPr>
        <w:t>On 15 February 2016, there was reduced back pain and there was an overall improvement of 70%;</w:t>
      </w:r>
    </w:p>
    <w:p w:rsidR="000F64CD" w:rsidRDefault="000F64CD" w:rsidP="001E49C2">
      <w:pPr>
        <w:tabs>
          <w:tab w:val="clear" w:pos="1440"/>
          <w:tab w:val="clear" w:pos="4320"/>
          <w:tab w:val="clear" w:pos="9072"/>
          <w:tab w:val="left" w:pos="2160"/>
        </w:tabs>
        <w:spacing w:line="360" w:lineRule="auto"/>
        <w:ind w:left="2160"/>
        <w:jc w:val="both"/>
        <w:rPr>
          <w:bCs/>
          <w:lang w:val="en-GB"/>
        </w:rPr>
      </w:pPr>
    </w:p>
    <w:p w:rsidR="00521202" w:rsidRDefault="00521202" w:rsidP="001E49C2">
      <w:pPr>
        <w:numPr>
          <w:ilvl w:val="3"/>
          <w:numId w:val="2"/>
        </w:numPr>
        <w:tabs>
          <w:tab w:val="clear" w:pos="1440"/>
          <w:tab w:val="clear" w:pos="4320"/>
          <w:tab w:val="clear" w:pos="9072"/>
          <w:tab w:val="left" w:pos="2160"/>
        </w:tabs>
        <w:spacing w:line="360" w:lineRule="auto"/>
        <w:ind w:left="2160"/>
        <w:jc w:val="both"/>
        <w:rPr>
          <w:rFonts w:hint="eastAsia"/>
          <w:bCs/>
          <w:lang w:val="en-GB"/>
        </w:rPr>
      </w:pPr>
      <w:r>
        <w:rPr>
          <w:bCs/>
          <w:lang w:val="en-GB"/>
        </w:rPr>
        <w:t>On 4 March 2016, there was reduced back pain, and there was an improvement of 70</w:t>
      </w:r>
      <w:r>
        <w:rPr>
          <w:rFonts w:hint="eastAsia"/>
          <w:bCs/>
          <w:lang w:val="en-GB"/>
        </w:rPr>
        <w:t>-80%;</w:t>
      </w:r>
    </w:p>
    <w:p w:rsidR="000F64CD" w:rsidRDefault="000F64CD" w:rsidP="001E49C2">
      <w:pPr>
        <w:tabs>
          <w:tab w:val="clear" w:pos="1440"/>
          <w:tab w:val="clear" w:pos="4320"/>
          <w:tab w:val="clear" w:pos="9072"/>
          <w:tab w:val="left" w:pos="2160"/>
        </w:tabs>
        <w:spacing w:line="360" w:lineRule="auto"/>
        <w:ind w:left="2160"/>
        <w:jc w:val="both"/>
        <w:rPr>
          <w:bCs/>
          <w:lang w:val="en-GB"/>
        </w:rPr>
      </w:pPr>
    </w:p>
    <w:p w:rsidR="00B27EF2" w:rsidRPr="00DB48BF" w:rsidRDefault="00521202" w:rsidP="001E49C2">
      <w:pPr>
        <w:numPr>
          <w:ilvl w:val="3"/>
          <w:numId w:val="2"/>
        </w:numPr>
        <w:tabs>
          <w:tab w:val="clear" w:pos="1440"/>
          <w:tab w:val="clear" w:pos="4320"/>
          <w:tab w:val="clear" w:pos="9072"/>
          <w:tab w:val="left" w:pos="2160"/>
        </w:tabs>
        <w:spacing w:line="360" w:lineRule="auto"/>
        <w:ind w:left="2160"/>
        <w:jc w:val="both"/>
        <w:rPr>
          <w:bCs/>
          <w:lang w:val="en-GB"/>
        </w:rPr>
      </w:pPr>
      <w:r>
        <w:rPr>
          <w:bCs/>
          <w:lang w:val="en-GB"/>
        </w:rPr>
        <w:t>On 8 March 2016, there was an overall improvement of 70-80%.</w:t>
      </w:r>
    </w:p>
    <w:p w:rsidR="005D1656" w:rsidRDefault="005D1656" w:rsidP="001E49C2">
      <w:pPr>
        <w:tabs>
          <w:tab w:val="clear" w:pos="4320"/>
          <w:tab w:val="clear" w:pos="9072"/>
        </w:tabs>
        <w:spacing w:line="360" w:lineRule="auto"/>
        <w:jc w:val="both"/>
        <w:rPr>
          <w:bCs/>
          <w:lang w:val="en-GB"/>
        </w:rPr>
      </w:pPr>
    </w:p>
    <w:p w:rsidR="00DB48BF" w:rsidRDefault="000705E3" w:rsidP="001E49C2">
      <w:pPr>
        <w:numPr>
          <w:ilvl w:val="0"/>
          <w:numId w:val="2"/>
        </w:numPr>
        <w:tabs>
          <w:tab w:val="clear" w:pos="360"/>
          <w:tab w:val="clear" w:pos="4320"/>
          <w:tab w:val="clear" w:pos="9072"/>
        </w:tabs>
        <w:spacing w:line="360" w:lineRule="auto"/>
        <w:jc w:val="both"/>
        <w:rPr>
          <w:bCs/>
          <w:lang w:val="en-GB"/>
        </w:rPr>
      </w:pPr>
      <w:r>
        <w:rPr>
          <w:bCs/>
          <w:lang w:val="en-GB"/>
        </w:rPr>
        <w:t xml:space="preserve">I have not lost sight of the fact that the </w:t>
      </w:r>
      <w:r>
        <w:rPr>
          <w:rFonts w:hint="eastAsia"/>
          <w:bCs/>
          <w:lang w:val="en-GB"/>
        </w:rPr>
        <w:t>extent of recovery had become more fluctuating since A</w:t>
      </w:r>
      <w:r>
        <w:rPr>
          <w:bCs/>
          <w:lang w:val="en-GB"/>
        </w:rPr>
        <w:t xml:space="preserve">pril 2016.  However, I would not give much weight to those figures because those figures cannot be explained by common sense.  For example, while the </w:t>
      </w:r>
      <w:r>
        <w:rPr>
          <w:rFonts w:hint="eastAsia"/>
          <w:bCs/>
          <w:lang w:val="en-GB"/>
        </w:rPr>
        <w:t>records</w:t>
      </w:r>
      <w:r>
        <w:rPr>
          <w:bCs/>
          <w:lang w:val="en-GB"/>
        </w:rPr>
        <w:t xml:space="preserve"> stated that the plaintiff had an improvement of 60</w:t>
      </w:r>
      <w:r>
        <w:rPr>
          <w:rFonts w:hint="eastAsia"/>
          <w:bCs/>
          <w:lang w:val="en-GB"/>
        </w:rPr>
        <w:t>-</w:t>
      </w:r>
      <w:r>
        <w:rPr>
          <w:bCs/>
          <w:lang w:val="en-GB"/>
        </w:rPr>
        <w:t xml:space="preserve">70% on 15 April 2016, the figure went down to 30% 5 days later on 20 April 2016.  </w:t>
      </w:r>
      <w:r w:rsidR="00787DC5">
        <w:rPr>
          <w:bCs/>
          <w:lang w:val="en-GB"/>
        </w:rPr>
        <w:t>The plaintiff could not give any reasonable explanation, apart from referring to the fact that he was attending lectures which were 3 hours’ long</w:t>
      </w:r>
      <w:r w:rsidR="005C5193">
        <w:rPr>
          <w:bCs/>
          <w:lang w:val="en-GB"/>
        </w:rPr>
        <w:t xml:space="preserve"> at the material time</w:t>
      </w:r>
      <w:r w:rsidR="00787DC5">
        <w:rPr>
          <w:bCs/>
          <w:lang w:val="en-GB"/>
        </w:rPr>
        <w:t>.   However, when he was cross-examined further on this, he admitted that he had all along been attending lectures.  Hence, attending such lectures cannot be the reason for the alleged deterioration of his condition.</w:t>
      </w:r>
    </w:p>
    <w:p w:rsidR="005D1656" w:rsidRPr="005D1656" w:rsidRDefault="005D1656" w:rsidP="001E49C2">
      <w:pPr>
        <w:tabs>
          <w:tab w:val="clear" w:pos="4320"/>
          <w:tab w:val="clear" w:pos="9072"/>
        </w:tabs>
        <w:spacing w:line="360" w:lineRule="auto"/>
        <w:jc w:val="both"/>
        <w:rPr>
          <w:bCs/>
          <w:lang w:val="en-GB"/>
        </w:rPr>
      </w:pPr>
    </w:p>
    <w:p w:rsidR="00C96C42" w:rsidRDefault="00C96C42" w:rsidP="001E49C2">
      <w:pPr>
        <w:numPr>
          <w:ilvl w:val="0"/>
          <w:numId w:val="2"/>
        </w:numPr>
        <w:tabs>
          <w:tab w:val="clear" w:pos="360"/>
          <w:tab w:val="clear" w:pos="4320"/>
          <w:tab w:val="clear" w:pos="9072"/>
        </w:tabs>
        <w:spacing w:line="360" w:lineRule="auto"/>
        <w:jc w:val="both"/>
        <w:rPr>
          <w:bCs/>
          <w:lang w:val="en-GB"/>
        </w:rPr>
      </w:pPr>
      <w:r w:rsidRPr="00C96C42">
        <w:rPr>
          <w:b/>
          <w:bCs/>
          <w:u w:val="single"/>
          <w:lang w:val="en-GB"/>
        </w:rPr>
        <w:t>Secondly</w:t>
      </w:r>
      <w:r>
        <w:rPr>
          <w:bCs/>
          <w:lang w:val="en-GB"/>
        </w:rPr>
        <w:t xml:space="preserve">, while it was initially opined by Dr Tio on 27 January 2016 and 16 February 2016 that the plaintiff could resume light duties, Dr Tio recommended on </w:t>
      </w:r>
      <w:r w:rsidRPr="00C96C42">
        <w:rPr>
          <w:bCs/>
          <w:lang w:val="en-GB"/>
        </w:rPr>
        <w:t>8 March 2016 that</w:t>
      </w:r>
      <w:r>
        <w:rPr>
          <w:bCs/>
          <w:lang w:val="en-GB"/>
        </w:rPr>
        <w:t xml:space="preserve"> the plaintiff was “fit for pre-injury duty starting from 10/3/2016”.</w:t>
      </w:r>
      <w:r w:rsidRPr="00C96C42">
        <w:rPr>
          <w:bCs/>
          <w:lang w:val="en-GB"/>
        </w:rPr>
        <w:t xml:space="preserve">  </w:t>
      </w:r>
    </w:p>
    <w:p w:rsidR="00F55B5A" w:rsidRDefault="00F55B5A" w:rsidP="001E49C2">
      <w:pPr>
        <w:pStyle w:val="ListParagraph"/>
        <w:spacing w:line="360" w:lineRule="auto"/>
        <w:rPr>
          <w:bCs/>
          <w:lang w:val="en-GB"/>
        </w:rPr>
      </w:pPr>
    </w:p>
    <w:p w:rsidR="000A0DB4" w:rsidRDefault="00F55B5A" w:rsidP="001E49C2">
      <w:pPr>
        <w:numPr>
          <w:ilvl w:val="0"/>
          <w:numId w:val="2"/>
        </w:numPr>
        <w:tabs>
          <w:tab w:val="clear" w:pos="360"/>
          <w:tab w:val="clear" w:pos="4320"/>
          <w:tab w:val="clear" w:pos="9072"/>
        </w:tabs>
        <w:spacing w:line="360" w:lineRule="auto"/>
        <w:jc w:val="both"/>
        <w:rPr>
          <w:bCs/>
          <w:lang w:val="en-GB"/>
        </w:rPr>
      </w:pPr>
      <w:r>
        <w:rPr>
          <w:bCs/>
          <w:lang w:val="en-GB"/>
        </w:rPr>
        <w:t xml:space="preserve">Before I say more on Dr Tio’s opinion, I should first of all </w:t>
      </w:r>
      <w:r w:rsidR="000A0DB4">
        <w:rPr>
          <w:bCs/>
          <w:lang w:val="en-GB"/>
        </w:rPr>
        <w:t>set out</w:t>
      </w:r>
      <w:r>
        <w:rPr>
          <w:bCs/>
          <w:lang w:val="en-GB"/>
        </w:rPr>
        <w:t xml:space="preserve"> the middle part of his template Consultation Form</w:t>
      </w:r>
      <w:r w:rsidR="00DD462D">
        <w:rPr>
          <w:bCs/>
          <w:lang w:val="en-GB"/>
        </w:rPr>
        <w:t xml:space="preserve"> so as to make my reasoning easier to understand</w:t>
      </w:r>
      <w:r w:rsidR="000A0DB4">
        <w:rPr>
          <w:bCs/>
          <w:lang w:val="en-GB"/>
        </w:rPr>
        <w:t>.  It</w:t>
      </w:r>
      <w:r>
        <w:rPr>
          <w:bCs/>
          <w:lang w:val="en-GB"/>
        </w:rPr>
        <w:t xml:space="preserve"> looks like</w:t>
      </w:r>
      <w:r w:rsidR="000A0DB4">
        <w:rPr>
          <w:bCs/>
          <w:lang w:val="en-GB"/>
        </w:rPr>
        <w:t xml:space="preserve"> this:</w:t>
      </w:r>
    </w:p>
    <w:p w:rsidR="000A0DB4" w:rsidRDefault="000A0DB4" w:rsidP="000A0DB4">
      <w:pPr>
        <w:pStyle w:val="ListParagraph"/>
        <w:rPr>
          <w:bCs/>
          <w:lang w:val="en-GB"/>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624"/>
      </w:tblGrid>
      <w:tr w:rsidR="000A0DB4" w:rsidRPr="00D11ACC" w:rsidTr="00D11ACC">
        <w:tc>
          <w:tcPr>
            <w:tcW w:w="1890" w:type="dxa"/>
            <w:shd w:val="clear" w:color="auto" w:fill="auto"/>
          </w:tcPr>
          <w:p w:rsidR="000A0DB4" w:rsidRPr="00D11ACC" w:rsidRDefault="0089665F" w:rsidP="00D11ACC">
            <w:pPr>
              <w:tabs>
                <w:tab w:val="clear" w:pos="4320"/>
                <w:tab w:val="clear" w:pos="9072"/>
              </w:tabs>
              <w:spacing w:line="360" w:lineRule="auto"/>
              <w:jc w:val="both"/>
              <w:rPr>
                <w:bCs/>
                <w:sz w:val="24"/>
                <w:szCs w:val="24"/>
                <w:lang w:val="en-GB"/>
              </w:rPr>
            </w:pPr>
            <w:r w:rsidRPr="00D11ACC">
              <w:rPr>
                <w:bCs/>
                <w:noProof/>
                <w:sz w:val="24"/>
                <w:szCs w:val="24"/>
              </w:rPr>
            </w:r>
            <w:r w:rsidR="0089665F" w:rsidRPr="00D11ACC">
              <w:rPr>
                <w:bCs/>
                <w:noProof/>
                <w:sz w:val="24"/>
                <w:szCs w:val="24"/>
              </w:rPr>
              <w:pict>
                <v:rect id="_x0000_s1030" alt="" style="position:absolute;left:0;text-align:left;margin-left:-2.05pt;margin-top:2.65pt;width:10.65pt;height:10.65pt;z-index:251656704;mso-wrap-edited:f;mso-width-percent:0;mso-height-percent:0;mso-width-percent:0;mso-height-percent:0"/>
              </w:pict>
            </w:r>
            <w:r w:rsidRPr="00D11ACC">
              <w:rPr>
                <w:bCs/>
                <w:noProof/>
                <w:sz w:val="24"/>
                <w:szCs w:val="24"/>
              </w:rPr>
            </w:r>
            <w:r w:rsidR="0089665F" w:rsidRPr="00D11ACC">
              <w:rPr>
                <w:bCs/>
                <w:noProof/>
                <w:sz w:val="24"/>
                <w:szCs w:val="24"/>
              </w:rPr>
              <w:pict>
                <v:rect id="_x0000_s1031" alt="" style="position:absolute;left:0;text-align:left;margin-left:35.55pt;margin-top:2.65pt;width:11.25pt;height:10.65pt;z-index:251657728;mso-wrap-edited:f;mso-width-percent:0;mso-height-percent:0;mso-width-percent:0;mso-height-percent:0"/>
              </w:pict>
            </w:r>
            <w:r w:rsidR="000A0DB4" w:rsidRPr="00D11ACC">
              <w:rPr>
                <w:bCs/>
                <w:sz w:val="24"/>
                <w:szCs w:val="24"/>
                <w:lang w:val="en-GB"/>
              </w:rPr>
              <w:t xml:space="preserve"> </w:t>
            </w:r>
            <w:r w:rsidR="00DD462D" w:rsidRPr="00D11ACC">
              <w:rPr>
                <w:bCs/>
                <w:sz w:val="24"/>
                <w:szCs w:val="24"/>
                <w:lang w:val="en-GB"/>
              </w:rPr>
              <w:t xml:space="preserve">   </w:t>
            </w:r>
            <w:r w:rsidR="000A0DB4" w:rsidRPr="00D11ACC">
              <w:rPr>
                <w:bCs/>
                <w:sz w:val="24"/>
                <w:szCs w:val="24"/>
                <w:lang w:val="en-GB"/>
              </w:rPr>
              <w:t>Yes</w:t>
            </w:r>
            <w:r w:rsidR="008151D2" w:rsidRPr="00D11ACC">
              <w:rPr>
                <w:bCs/>
                <w:sz w:val="24"/>
                <w:szCs w:val="24"/>
                <w:lang w:val="en-GB"/>
              </w:rPr>
              <w:t xml:space="preserve"> </w:t>
            </w:r>
            <w:r w:rsidR="000A0DB4" w:rsidRPr="00D11ACC">
              <w:rPr>
                <w:bCs/>
                <w:sz w:val="24"/>
                <w:szCs w:val="24"/>
                <w:lang w:val="en-GB"/>
              </w:rPr>
              <w:t xml:space="preserve">  </w:t>
            </w:r>
            <w:r w:rsidR="00DD462D" w:rsidRPr="00D11ACC">
              <w:rPr>
                <w:bCs/>
                <w:sz w:val="24"/>
                <w:szCs w:val="24"/>
                <w:lang w:val="en-GB"/>
              </w:rPr>
              <w:t xml:space="preserve">    </w:t>
            </w:r>
            <w:r w:rsidR="000A0DB4" w:rsidRPr="00D11ACC">
              <w:rPr>
                <w:bCs/>
                <w:sz w:val="24"/>
                <w:szCs w:val="24"/>
                <w:lang w:val="en-GB"/>
              </w:rPr>
              <w:t>No</w:t>
            </w:r>
          </w:p>
        </w:tc>
        <w:tc>
          <w:tcPr>
            <w:tcW w:w="5624" w:type="dxa"/>
            <w:shd w:val="clear" w:color="auto" w:fill="auto"/>
          </w:tcPr>
          <w:p w:rsidR="000A0DB4" w:rsidRPr="00D11ACC" w:rsidRDefault="000A0DB4" w:rsidP="00D11ACC">
            <w:pPr>
              <w:tabs>
                <w:tab w:val="clear" w:pos="4320"/>
                <w:tab w:val="clear" w:pos="9072"/>
              </w:tabs>
              <w:spacing w:line="360" w:lineRule="auto"/>
              <w:jc w:val="both"/>
              <w:rPr>
                <w:bCs/>
                <w:sz w:val="24"/>
                <w:szCs w:val="24"/>
                <w:lang w:val="en-GB"/>
              </w:rPr>
            </w:pPr>
            <w:r w:rsidRPr="00D11ACC">
              <w:rPr>
                <w:bCs/>
                <w:sz w:val="24"/>
                <w:szCs w:val="24"/>
                <w:lang w:val="en-GB"/>
              </w:rPr>
              <w:t>Fit for pre-injury duty starting from _________</w:t>
            </w:r>
          </w:p>
        </w:tc>
      </w:tr>
      <w:tr w:rsidR="000A0DB4" w:rsidRPr="00D11ACC" w:rsidTr="00D11ACC">
        <w:tc>
          <w:tcPr>
            <w:tcW w:w="1890" w:type="dxa"/>
            <w:shd w:val="clear" w:color="auto" w:fill="auto"/>
          </w:tcPr>
          <w:p w:rsidR="000A0DB4" w:rsidRPr="00D11ACC" w:rsidRDefault="0089665F" w:rsidP="00D11ACC">
            <w:pPr>
              <w:tabs>
                <w:tab w:val="clear" w:pos="4320"/>
                <w:tab w:val="clear" w:pos="9072"/>
              </w:tabs>
              <w:spacing w:line="360" w:lineRule="auto"/>
              <w:jc w:val="both"/>
              <w:rPr>
                <w:bCs/>
                <w:sz w:val="24"/>
                <w:szCs w:val="24"/>
                <w:lang w:val="en-GB"/>
              </w:rPr>
            </w:pPr>
            <w:r w:rsidRPr="00D11ACC">
              <w:rPr>
                <w:bCs/>
                <w:noProof/>
                <w:sz w:val="24"/>
                <w:szCs w:val="24"/>
              </w:rPr>
            </w:r>
            <w:r w:rsidR="0089665F" w:rsidRPr="00D11ACC">
              <w:rPr>
                <w:bCs/>
                <w:noProof/>
                <w:sz w:val="24"/>
                <w:szCs w:val="24"/>
              </w:rPr>
              <w:pict>
                <v:rect id="_x0000_s1033" alt="" style="position:absolute;left:0;text-align:left;margin-left:-2.05pt;margin-top:2.1pt;width:10.65pt;height:10.6pt;z-index:251658752;mso-wrap-edited:f;mso-width-percent:0;mso-height-percent:0;mso-position-horizontal-relative:text;mso-position-vertical-relative:text;mso-width-percent:0;mso-height-percent:0"/>
              </w:pict>
            </w:r>
            <w:r w:rsidRPr="00D11ACC">
              <w:rPr>
                <w:bCs/>
                <w:noProof/>
                <w:sz w:val="24"/>
                <w:szCs w:val="24"/>
              </w:rPr>
            </w:r>
            <w:r w:rsidR="0089665F" w:rsidRPr="00D11ACC">
              <w:rPr>
                <w:bCs/>
                <w:noProof/>
                <w:sz w:val="24"/>
                <w:szCs w:val="24"/>
              </w:rPr>
              <w:pict>
                <v:rect id="_x0000_s1034" alt="" style="position:absolute;left:0;text-align:left;margin-left:35.55pt;margin-top:2.1pt;width:11.25pt;height:10.6pt;z-index:251659776;mso-wrap-edited:f;mso-width-percent:0;mso-height-percent:0;mso-position-horizontal-relative:text;mso-position-vertical-relative:text;mso-width-percent:0;mso-height-percent:0"/>
              </w:pict>
            </w:r>
            <w:r w:rsidR="000A0DB4" w:rsidRPr="00D11ACC">
              <w:rPr>
                <w:bCs/>
                <w:sz w:val="24"/>
                <w:szCs w:val="24"/>
                <w:lang w:val="en-GB"/>
              </w:rPr>
              <w:t xml:space="preserve"> </w:t>
            </w:r>
            <w:r w:rsidR="00DD462D" w:rsidRPr="00D11ACC">
              <w:rPr>
                <w:bCs/>
                <w:sz w:val="24"/>
                <w:szCs w:val="24"/>
                <w:lang w:val="en-GB"/>
              </w:rPr>
              <w:t xml:space="preserve">  </w:t>
            </w:r>
            <w:r w:rsidR="008151D2" w:rsidRPr="00D11ACC">
              <w:rPr>
                <w:bCs/>
                <w:sz w:val="24"/>
                <w:szCs w:val="24"/>
                <w:lang w:val="en-GB"/>
              </w:rPr>
              <w:t xml:space="preserve"> </w:t>
            </w:r>
            <w:r w:rsidR="000A0DB4" w:rsidRPr="00D11ACC">
              <w:rPr>
                <w:bCs/>
                <w:sz w:val="24"/>
                <w:szCs w:val="24"/>
                <w:lang w:val="en-GB"/>
              </w:rPr>
              <w:t>Yes</w:t>
            </w:r>
            <w:r w:rsidR="008151D2" w:rsidRPr="00D11ACC">
              <w:rPr>
                <w:bCs/>
                <w:sz w:val="24"/>
                <w:szCs w:val="24"/>
                <w:lang w:val="en-GB"/>
              </w:rPr>
              <w:t xml:space="preserve"> </w:t>
            </w:r>
            <w:r w:rsidR="000A0DB4" w:rsidRPr="00D11ACC">
              <w:rPr>
                <w:bCs/>
                <w:sz w:val="24"/>
                <w:szCs w:val="24"/>
                <w:lang w:val="en-GB"/>
              </w:rPr>
              <w:t xml:space="preserve"> </w:t>
            </w:r>
            <w:r w:rsidR="00DD462D" w:rsidRPr="00D11ACC">
              <w:rPr>
                <w:bCs/>
                <w:sz w:val="24"/>
                <w:szCs w:val="24"/>
                <w:lang w:val="en-GB"/>
              </w:rPr>
              <w:t xml:space="preserve">   </w:t>
            </w:r>
            <w:r w:rsidR="000A0DB4" w:rsidRPr="00D11ACC">
              <w:rPr>
                <w:bCs/>
                <w:sz w:val="24"/>
                <w:szCs w:val="24"/>
                <w:lang w:val="en-GB"/>
              </w:rPr>
              <w:t xml:space="preserve">  No</w:t>
            </w:r>
          </w:p>
        </w:tc>
        <w:tc>
          <w:tcPr>
            <w:tcW w:w="5624" w:type="dxa"/>
            <w:shd w:val="clear" w:color="auto" w:fill="auto"/>
          </w:tcPr>
          <w:p w:rsidR="000A0DB4" w:rsidRPr="00D11ACC" w:rsidRDefault="000A0DB4" w:rsidP="00D11ACC">
            <w:pPr>
              <w:tabs>
                <w:tab w:val="clear" w:pos="4320"/>
                <w:tab w:val="clear" w:pos="9072"/>
              </w:tabs>
              <w:spacing w:line="360" w:lineRule="auto"/>
              <w:jc w:val="both"/>
              <w:rPr>
                <w:bCs/>
                <w:sz w:val="24"/>
                <w:szCs w:val="24"/>
                <w:lang w:val="en-GB"/>
              </w:rPr>
            </w:pPr>
            <w:r w:rsidRPr="00D11ACC">
              <w:rPr>
                <w:bCs/>
                <w:sz w:val="24"/>
                <w:szCs w:val="24"/>
                <w:lang w:val="en-GB"/>
              </w:rPr>
              <w:t>Fit for light duties from ________ to _________</w:t>
            </w:r>
          </w:p>
        </w:tc>
      </w:tr>
      <w:tr w:rsidR="000A0DB4" w:rsidRPr="00D11ACC" w:rsidTr="00D11ACC">
        <w:tc>
          <w:tcPr>
            <w:tcW w:w="1890" w:type="dxa"/>
            <w:shd w:val="clear" w:color="auto" w:fill="auto"/>
          </w:tcPr>
          <w:p w:rsidR="000A0DB4" w:rsidRPr="00D11ACC" w:rsidRDefault="000A0DB4" w:rsidP="00D11ACC">
            <w:pPr>
              <w:tabs>
                <w:tab w:val="clear" w:pos="4320"/>
                <w:tab w:val="clear" w:pos="9072"/>
              </w:tabs>
              <w:spacing w:line="360" w:lineRule="auto"/>
              <w:jc w:val="both"/>
              <w:rPr>
                <w:bCs/>
                <w:sz w:val="24"/>
                <w:szCs w:val="24"/>
                <w:lang w:val="en-GB"/>
              </w:rPr>
            </w:pPr>
            <w:r w:rsidRPr="00D11ACC">
              <w:rPr>
                <w:bCs/>
                <w:sz w:val="24"/>
                <w:szCs w:val="24"/>
                <w:lang w:val="en-GB"/>
              </w:rPr>
              <w:t>Light duty nature</w:t>
            </w:r>
          </w:p>
        </w:tc>
        <w:tc>
          <w:tcPr>
            <w:tcW w:w="5624" w:type="dxa"/>
            <w:shd w:val="clear" w:color="auto" w:fill="auto"/>
          </w:tcPr>
          <w:p w:rsidR="000A0DB4" w:rsidRPr="00D11ACC" w:rsidRDefault="000A0DB4" w:rsidP="00D11ACC">
            <w:pPr>
              <w:tabs>
                <w:tab w:val="clear" w:pos="1440"/>
                <w:tab w:val="clear" w:pos="4320"/>
                <w:tab w:val="clear" w:pos="9072"/>
              </w:tabs>
              <w:spacing w:line="360" w:lineRule="auto"/>
              <w:ind w:left="-19"/>
              <w:jc w:val="both"/>
              <w:rPr>
                <w:sz w:val="24"/>
                <w:szCs w:val="24"/>
              </w:rPr>
            </w:pPr>
            <w:r w:rsidRPr="00D11ACC">
              <w:rPr>
                <w:sz w:val="24"/>
                <w:szCs w:val="24"/>
              </w:rPr>
              <w:t>__ hours of work per day, __ days of work per week.</w:t>
            </w:r>
          </w:p>
          <w:p w:rsidR="000A0DB4" w:rsidRPr="00D11ACC" w:rsidRDefault="000A0DB4" w:rsidP="00D11ACC">
            <w:pPr>
              <w:tabs>
                <w:tab w:val="clear" w:pos="1440"/>
                <w:tab w:val="clear" w:pos="4320"/>
                <w:tab w:val="clear" w:pos="9072"/>
                <w:tab w:val="left" w:pos="2160"/>
              </w:tabs>
              <w:spacing w:line="360" w:lineRule="auto"/>
              <w:ind w:left="-19"/>
              <w:jc w:val="both"/>
              <w:rPr>
                <w:sz w:val="24"/>
                <w:szCs w:val="24"/>
              </w:rPr>
            </w:pPr>
            <w:r w:rsidRPr="00D11ACC">
              <w:rPr>
                <w:sz w:val="24"/>
                <w:szCs w:val="24"/>
              </w:rPr>
              <w:t xml:space="preserve">Lifting up to __ kg, Walking up to __ hours, </w:t>
            </w:r>
          </w:p>
          <w:p w:rsidR="000A0DB4" w:rsidRPr="00D11ACC" w:rsidRDefault="000A0DB4" w:rsidP="00D11ACC">
            <w:pPr>
              <w:tabs>
                <w:tab w:val="clear" w:pos="1440"/>
                <w:tab w:val="clear" w:pos="4320"/>
                <w:tab w:val="clear" w:pos="9072"/>
                <w:tab w:val="left" w:pos="2160"/>
              </w:tabs>
              <w:spacing w:line="360" w:lineRule="auto"/>
              <w:ind w:left="-19"/>
              <w:jc w:val="both"/>
              <w:rPr>
                <w:sz w:val="24"/>
                <w:szCs w:val="24"/>
              </w:rPr>
            </w:pPr>
            <w:r w:rsidRPr="00D11ACC">
              <w:rPr>
                <w:sz w:val="24"/>
                <w:szCs w:val="24"/>
              </w:rPr>
              <w:t>Sitting up to __ hours, Standing up to __ hours,</w:t>
            </w:r>
          </w:p>
          <w:p w:rsidR="000A0DB4" w:rsidRPr="00D11ACC" w:rsidRDefault="000A0DB4" w:rsidP="00D11ACC">
            <w:pPr>
              <w:tabs>
                <w:tab w:val="clear" w:pos="1440"/>
                <w:tab w:val="clear" w:pos="4320"/>
                <w:tab w:val="clear" w:pos="9072"/>
                <w:tab w:val="left" w:pos="2160"/>
              </w:tabs>
              <w:spacing w:line="360" w:lineRule="auto"/>
              <w:ind w:left="-19"/>
              <w:jc w:val="both"/>
              <w:rPr>
                <w:sz w:val="24"/>
                <w:szCs w:val="24"/>
              </w:rPr>
            </w:pPr>
            <w:r w:rsidRPr="00D11ACC">
              <w:rPr>
                <w:sz w:val="24"/>
                <w:szCs w:val="24"/>
              </w:rPr>
              <w:t>Travelling up to __ hours, Stair climbing up to __ flights</w:t>
            </w:r>
          </w:p>
          <w:p w:rsidR="000A0DB4" w:rsidRPr="00D11ACC" w:rsidRDefault="000A0DB4" w:rsidP="00D11ACC">
            <w:pPr>
              <w:tabs>
                <w:tab w:val="clear" w:pos="4320"/>
                <w:tab w:val="clear" w:pos="9072"/>
              </w:tabs>
              <w:spacing w:line="360" w:lineRule="auto"/>
              <w:jc w:val="both"/>
              <w:rPr>
                <w:sz w:val="24"/>
                <w:szCs w:val="24"/>
              </w:rPr>
            </w:pPr>
            <w:r w:rsidRPr="00D11ACC">
              <w:rPr>
                <w:sz w:val="24"/>
                <w:szCs w:val="24"/>
              </w:rPr>
              <w:t>Working __ hours/day, __ days/week</w:t>
            </w:r>
          </w:p>
          <w:p w:rsidR="000A0DB4" w:rsidRPr="00D11ACC" w:rsidRDefault="0089665F" w:rsidP="00D11ACC">
            <w:pPr>
              <w:tabs>
                <w:tab w:val="clear" w:pos="4320"/>
                <w:tab w:val="clear" w:pos="9072"/>
              </w:tabs>
              <w:spacing w:line="360" w:lineRule="auto"/>
              <w:jc w:val="both"/>
              <w:rPr>
                <w:bCs/>
                <w:sz w:val="24"/>
                <w:szCs w:val="24"/>
                <w:lang w:val="en-GB"/>
              </w:rPr>
            </w:pPr>
            <w:r w:rsidRPr="00D11ACC">
              <w:rPr>
                <w:bCs/>
                <w:noProof/>
                <w:sz w:val="24"/>
                <w:szCs w:val="24"/>
              </w:rPr>
            </w:r>
            <w:r w:rsidR="0089665F" w:rsidRPr="00D11ACC">
              <w:rPr>
                <w:bCs/>
                <w:noProof/>
                <w:sz w:val="24"/>
                <w:szCs w:val="24"/>
              </w:rPr>
              <w:pict>
                <v:rect id="_x0000_s1029" alt="" style="position:absolute;left:0;text-align:left;margin-left:-.75pt;margin-top:1.35pt;width:11.3pt;height:11.9pt;z-index:251655680;mso-wrap-edited:f;mso-width-percent:0;mso-height-percent:0;mso-width-percent:0;mso-height-percent:0"/>
              </w:pict>
            </w:r>
            <w:r w:rsidR="000A0DB4" w:rsidRPr="00D11ACC">
              <w:rPr>
                <w:bCs/>
                <w:sz w:val="24"/>
                <w:szCs w:val="24"/>
                <w:lang w:val="en-GB"/>
              </w:rPr>
              <w:t>aa Advise to change job</w:t>
            </w:r>
          </w:p>
        </w:tc>
      </w:tr>
    </w:tbl>
    <w:p w:rsidR="00BE6C09" w:rsidRDefault="00F55B5A" w:rsidP="009C2AEC">
      <w:pPr>
        <w:tabs>
          <w:tab w:val="clear" w:pos="4320"/>
          <w:tab w:val="clear" w:pos="9072"/>
        </w:tabs>
        <w:spacing w:line="360" w:lineRule="auto"/>
        <w:jc w:val="both"/>
        <w:rPr>
          <w:bCs/>
          <w:lang w:val="en-GB"/>
        </w:rPr>
      </w:pPr>
      <w:r>
        <w:rPr>
          <w:bCs/>
          <w:lang w:val="en-GB"/>
        </w:rPr>
        <w:t xml:space="preserve"> </w:t>
      </w:r>
    </w:p>
    <w:p w:rsidR="00BE6C09" w:rsidRDefault="00BE6C09" w:rsidP="002B7C06">
      <w:pPr>
        <w:numPr>
          <w:ilvl w:val="0"/>
          <w:numId w:val="2"/>
        </w:numPr>
        <w:tabs>
          <w:tab w:val="clear" w:pos="360"/>
          <w:tab w:val="clear" w:pos="4320"/>
          <w:tab w:val="clear" w:pos="9072"/>
        </w:tabs>
        <w:spacing w:line="360" w:lineRule="auto"/>
        <w:jc w:val="both"/>
        <w:rPr>
          <w:bCs/>
          <w:lang w:val="en-GB"/>
        </w:rPr>
      </w:pPr>
      <w:r w:rsidRPr="00415E1B">
        <w:rPr>
          <w:bCs/>
          <w:lang w:val="en-GB"/>
        </w:rPr>
        <w:t xml:space="preserve">On the Consultation Form dated 27 January 2016, </w:t>
      </w:r>
      <w:r w:rsidR="00F55B5A" w:rsidRPr="00415E1B">
        <w:rPr>
          <w:bCs/>
          <w:lang w:val="en-GB"/>
        </w:rPr>
        <w:t>Dr Tio did not tic</w:t>
      </w:r>
      <w:r w:rsidRPr="00415E1B">
        <w:rPr>
          <w:bCs/>
          <w:lang w:val="en-GB"/>
        </w:rPr>
        <w:t>k the</w:t>
      </w:r>
      <w:r w:rsidR="00DD462D" w:rsidRPr="00415E1B">
        <w:rPr>
          <w:bCs/>
          <w:lang w:val="en-GB"/>
        </w:rPr>
        <w:t xml:space="preserve"> box for </w:t>
      </w:r>
      <w:r w:rsidRPr="00415E1B">
        <w:rPr>
          <w:bCs/>
          <w:lang w:val="en-GB"/>
        </w:rPr>
        <w:t>“</w:t>
      </w:r>
      <w:r w:rsidR="00DD462D" w:rsidRPr="00415E1B">
        <w:rPr>
          <w:bCs/>
          <w:lang w:val="en-GB"/>
        </w:rPr>
        <w:t>Fit for pre-injury duty</w:t>
      </w:r>
      <w:r w:rsidR="00021647">
        <w:rPr>
          <w:bCs/>
          <w:lang w:val="en-GB"/>
        </w:rPr>
        <w:t xml:space="preserve"> starting from _______</w:t>
      </w:r>
      <w:r w:rsidR="00DD462D" w:rsidRPr="00415E1B">
        <w:rPr>
          <w:bCs/>
          <w:lang w:val="en-GB"/>
        </w:rPr>
        <w:t>”</w:t>
      </w:r>
      <w:r w:rsidRPr="00415E1B">
        <w:rPr>
          <w:bCs/>
          <w:lang w:val="en-GB"/>
        </w:rPr>
        <w:t>.  Instead, he ticked the box for the row “</w:t>
      </w:r>
      <w:r w:rsidR="00415E1B">
        <w:rPr>
          <w:bCs/>
          <w:lang w:val="en-GB"/>
        </w:rPr>
        <w:t>Fit for light duties from ____</w:t>
      </w:r>
      <w:r w:rsidRPr="00415E1B">
        <w:rPr>
          <w:bCs/>
          <w:lang w:val="en-GB"/>
        </w:rPr>
        <w:t xml:space="preserve">__ to ______”, and filled in the first blank with “feb 2016”.  </w:t>
      </w:r>
      <w:r w:rsidR="00DD462D" w:rsidRPr="00415E1B">
        <w:rPr>
          <w:bCs/>
          <w:lang w:val="en-GB"/>
        </w:rPr>
        <w:t xml:space="preserve">Dr Tio then filled in some of the blanks </w:t>
      </w:r>
      <w:r w:rsidR="00EF6CF8" w:rsidRPr="00415E1B">
        <w:rPr>
          <w:bCs/>
          <w:lang w:val="en-GB"/>
        </w:rPr>
        <w:t>in the row “Light duty nature”</w:t>
      </w:r>
      <w:r w:rsidR="00DD462D" w:rsidRPr="00415E1B">
        <w:rPr>
          <w:bCs/>
          <w:lang w:val="en-GB"/>
        </w:rPr>
        <w:t xml:space="preserve"> as follow</w:t>
      </w:r>
      <w:r w:rsidR="00EF6CF8" w:rsidRPr="00415E1B">
        <w:rPr>
          <w:bCs/>
          <w:lang w:val="en-GB"/>
        </w:rPr>
        <w:t>s</w:t>
      </w:r>
      <w:r w:rsidR="00DD462D" w:rsidRPr="00415E1B">
        <w:rPr>
          <w:bCs/>
          <w:lang w:val="en-GB"/>
        </w:rPr>
        <w:t>: “</w:t>
      </w:r>
      <w:r w:rsidR="00EF6CF8">
        <w:t>Lifting up</w:t>
      </w:r>
      <w:r w:rsidR="00415E1B">
        <w:t xml:space="preserve"> to</w:t>
      </w:r>
      <w:r w:rsidR="00EF6CF8">
        <w:t xml:space="preserve"> </w:t>
      </w:r>
      <w:r w:rsidR="00EF6CF8" w:rsidRPr="00415E1B">
        <w:rPr>
          <w:u w:val="single"/>
        </w:rPr>
        <w:t>10</w:t>
      </w:r>
      <w:r w:rsidR="00EF6CF8">
        <w:t xml:space="preserve"> kg, </w:t>
      </w:r>
      <w:r w:rsidR="00415E1B">
        <w:t>W</w:t>
      </w:r>
      <w:r w:rsidR="00EF6CF8">
        <w:t xml:space="preserve">alking up to </w:t>
      </w:r>
      <w:r w:rsidR="00EF6CF8" w:rsidRPr="00415E1B">
        <w:rPr>
          <w:u w:val="single"/>
        </w:rPr>
        <w:t>1</w:t>
      </w:r>
      <w:r w:rsidR="00EF6CF8">
        <w:t xml:space="preserve"> hours, </w:t>
      </w:r>
      <w:r w:rsidR="00415E1B">
        <w:t>S</w:t>
      </w:r>
      <w:r w:rsidR="00EF6CF8">
        <w:t xml:space="preserve">tanding up to </w:t>
      </w:r>
      <w:r w:rsidR="00EF6CF8" w:rsidRPr="00415E1B">
        <w:rPr>
          <w:u w:val="single"/>
        </w:rPr>
        <w:t>1</w:t>
      </w:r>
      <w:r w:rsidR="00EF6CF8">
        <w:t xml:space="preserve"> hours, </w:t>
      </w:r>
      <w:r w:rsidR="00415E1B">
        <w:t>T</w:t>
      </w:r>
      <w:r w:rsidR="00EF6CF8">
        <w:t xml:space="preserve">ravelling up to </w:t>
      </w:r>
      <w:r w:rsidR="00EF6CF8" w:rsidRPr="00415E1B">
        <w:rPr>
          <w:u w:val="single"/>
        </w:rPr>
        <w:t>1</w:t>
      </w:r>
      <w:r w:rsidR="00EF6CF8">
        <w:t xml:space="preserve"> hours, </w:t>
      </w:r>
      <w:r w:rsidR="00415E1B">
        <w:t>S</w:t>
      </w:r>
      <w:r w:rsidR="00EF6CF8">
        <w:t xml:space="preserve">tair climbing up to </w:t>
      </w:r>
      <w:r w:rsidR="00EF6CF8" w:rsidRPr="00415E1B">
        <w:rPr>
          <w:u w:val="single"/>
        </w:rPr>
        <w:t>2</w:t>
      </w:r>
      <w:r w:rsidR="00EF6CF8">
        <w:t xml:space="preserve"> flights”</w:t>
      </w:r>
      <w:r w:rsidR="00415E1B">
        <w:t>.  It is noted that there is</w:t>
      </w:r>
      <w:r w:rsidRPr="00415E1B">
        <w:rPr>
          <w:bCs/>
          <w:lang w:val="en-GB"/>
        </w:rPr>
        <w:t xml:space="preserve"> no box for Dr Tio to tick for this row.  I </w:t>
      </w:r>
      <w:r w:rsidR="00415E1B">
        <w:rPr>
          <w:bCs/>
          <w:lang w:val="en-GB"/>
        </w:rPr>
        <w:t xml:space="preserve">therefore </w:t>
      </w:r>
      <w:r w:rsidRPr="00415E1B">
        <w:rPr>
          <w:bCs/>
          <w:lang w:val="en-GB"/>
        </w:rPr>
        <w:t xml:space="preserve">assume that this row would be applicable if Dr Tio has ticked the “Fit for light duties” box.  </w:t>
      </w:r>
    </w:p>
    <w:p w:rsidR="009C2AEC" w:rsidRDefault="009C2AEC" w:rsidP="002B7C06">
      <w:pPr>
        <w:tabs>
          <w:tab w:val="clear" w:pos="4320"/>
          <w:tab w:val="clear" w:pos="9072"/>
        </w:tabs>
        <w:spacing w:line="360" w:lineRule="auto"/>
        <w:jc w:val="both"/>
        <w:rPr>
          <w:bCs/>
          <w:lang w:val="en-GB"/>
        </w:rPr>
      </w:pPr>
    </w:p>
    <w:p w:rsidR="00415E1B" w:rsidRDefault="00415E1B" w:rsidP="002B7C06">
      <w:pPr>
        <w:numPr>
          <w:ilvl w:val="0"/>
          <w:numId w:val="2"/>
        </w:numPr>
        <w:tabs>
          <w:tab w:val="clear" w:pos="360"/>
          <w:tab w:val="clear" w:pos="4320"/>
          <w:tab w:val="clear" w:pos="9072"/>
        </w:tabs>
        <w:spacing w:line="360" w:lineRule="auto"/>
        <w:jc w:val="both"/>
        <w:rPr>
          <w:bCs/>
          <w:lang w:val="en-GB"/>
        </w:rPr>
      </w:pPr>
      <w:r>
        <w:rPr>
          <w:bCs/>
          <w:lang w:val="en-GB"/>
        </w:rPr>
        <w:t>On the Consultation Form dated 16 February 2016, Dr Tio’s opinion on the plaintiff’s resumption of job duty remained the same, save that the blank after the words “Fit for light duties from” had been replaced by “March 2016”.</w:t>
      </w:r>
    </w:p>
    <w:p w:rsidR="009C2AEC" w:rsidRDefault="009C2AEC" w:rsidP="002B7C06">
      <w:pPr>
        <w:tabs>
          <w:tab w:val="clear" w:pos="4320"/>
          <w:tab w:val="clear" w:pos="9072"/>
        </w:tabs>
        <w:spacing w:line="360" w:lineRule="auto"/>
        <w:jc w:val="both"/>
        <w:rPr>
          <w:bCs/>
          <w:lang w:val="en-GB"/>
        </w:rPr>
      </w:pPr>
    </w:p>
    <w:p w:rsidR="00415E1B" w:rsidRPr="00415E1B" w:rsidRDefault="00415E1B" w:rsidP="002B7C06">
      <w:pPr>
        <w:numPr>
          <w:ilvl w:val="0"/>
          <w:numId w:val="2"/>
        </w:numPr>
        <w:tabs>
          <w:tab w:val="clear" w:pos="360"/>
          <w:tab w:val="clear" w:pos="4320"/>
          <w:tab w:val="clear" w:pos="9072"/>
        </w:tabs>
        <w:spacing w:line="360" w:lineRule="auto"/>
        <w:jc w:val="both"/>
        <w:rPr>
          <w:bCs/>
          <w:lang w:val="en-GB"/>
        </w:rPr>
      </w:pPr>
      <w:r>
        <w:rPr>
          <w:bCs/>
          <w:lang w:val="en-GB"/>
        </w:rPr>
        <w:t>On the Consultation Form dated 8 March 2016, Dr Tio had ticked the box in the row “Fit for pre-injury duty starting from</w:t>
      </w:r>
      <w:r w:rsidR="00021647">
        <w:rPr>
          <w:bCs/>
          <w:lang w:val="en-GB"/>
        </w:rPr>
        <w:t xml:space="preserve"> ________</w:t>
      </w:r>
      <w:r>
        <w:rPr>
          <w:bCs/>
          <w:lang w:val="en-GB"/>
        </w:rPr>
        <w:t>” and filled in the blank that followed with “10/3/2016”.  There was no longer any tick in the “Yes” box in the row “Fit for light duties from</w:t>
      </w:r>
      <w:r w:rsidR="00021647">
        <w:rPr>
          <w:bCs/>
          <w:lang w:val="en-GB"/>
        </w:rPr>
        <w:t>________ to ________</w:t>
      </w:r>
      <w:r>
        <w:rPr>
          <w:bCs/>
          <w:lang w:val="en-GB"/>
        </w:rPr>
        <w:t xml:space="preserve">”, and the blanks which followed </w:t>
      </w:r>
      <w:r w:rsidR="005A6633">
        <w:rPr>
          <w:bCs/>
          <w:lang w:val="en-GB"/>
        </w:rPr>
        <w:t xml:space="preserve">(on the date) </w:t>
      </w:r>
      <w:r>
        <w:rPr>
          <w:bCs/>
          <w:lang w:val="en-GB"/>
        </w:rPr>
        <w:t xml:space="preserve">were not filled in.  However, the figures in the blanks appearing in the row “Light duty nature” remained. </w:t>
      </w:r>
      <w:r w:rsidR="009C2AEC">
        <w:rPr>
          <w:bCs/>
          <w:lang w:val="en-GB"/>
        </w:rPr>
        <w:t xml:space="preserve"> In other words, the “light duty nature” was still stated in this form to be </w:t>
      </w:r>
      <w:r w:rsidR="009C2AEC" w:rsidRPr="00415E1B">
        <w:rPr>
          <w:bCs/>
          <w:lang w:val="en-GB"/>
        </w:rPr>
        <w:t>“</w:t>
      </w:r>
      <w:r w:rsidR="009C2AEC">
        <w:t xml:space="preserve">Lifting up to </w:t>
      </w:r>
      <w:r w:rsidR="009C2AEC" w:rsidRPr="00415E1B">
        <w:rPr>
          <w:u w:val="single"/>
        </w:rPr>
        <w:t>10</w:t>
      </w:r>
      <w:r w:rsidR="009C2AEC">
        <w:t xml:space="preserve"> kg, Walking up to </w:t>
      </w:r>
      <w:r w:rsidR="009C2AEC" w:rsidRPr="00415E1B">
        <w:rPr>
          <w:u w:val="single"/>
        </w:rPr>
        <w:t>1</w:t>
      </w:r>
      <w:r w:rsidR="009C2AEC">
        <w:t xml:space="preserve"> hours, Standing up to </w:t>
      </w:r>
      <w:r w:rsidR="009C2AEC" w:rsidRPr="00415E1B">
        <w:rPr>
          <w:u w:val="single"/>
        </w:rPr>
        <w:t>1</w:t>
      </w:r>
      <w:r w:rsidR="009C2AEC">
        <w:t xml:space="preserve"> hours, Travelling up to </w:t>
      </w:r>
      <w:r w:rsidR="009C2AEC" w:rsidRPr="00415E1B">
        <w:rPr>
          <w:u w:val="single"/>
        </w:rPr>
        <w:t>1</w:t>
      </w:r>
      <w:r w:rsidR="009C2AEC">
        <w:t xml:space="preserve"> hours, Stair climbing up to </w:t>
      </w:r>
      <w:r w:rsidR="009C2AEC" w:rsidRPr="00415E1B">
        <w:rPr>
          <w:u w:val="single"/>
        </w:rPr>
        <w:t>2</w:t>
      </w:r>
      <w:r w:rsidR="009C2AEC">
        <w:t xml:space="preserve"> flights”.  </w:t>
      </w:r>
    </w:p>
    <w:p w:rsidR="005D1656" w:rsidRDefault="005D1656" w:rsidP="002B7C06">
      <w:pPr>
        <w:tabs>
          <w:tab w:val="clear" w:pos="4320"/>
          <w:tab w:val="clear" w:pos="9072"/>
        </w:tabs>
        <w:spacing w:line="360" w:lineRule="auto"/>
        <w:jc w:val="both"/>
        <w:rPr>
          <w:bCs/>
          <w:lang w:val="en-GB"/>
        </w:rPr>
      </w:pPr>
    </w:p>
    <w:p w:rsidR="005A6633" w:rsidRDefault="006E6A70" w:rsidP="002B7C06">
      <w:pPr>
        <w:numPr>
          <w:ilvl w:val="0"/>
          <w:numId w:val="2"/>
        </w:numPr>
        <w:tabs>
          <w:tab w:val="clear" w:pos="360"/>
          <w:tab w:val="clear" w:pos="4320"/>
          <w:tab w:val="clear" w:pos="9072"/>
        </w:tabs>
        <w:spacing w:line="360" w:lineRule="auto"/>
        <w:jc w:val="both"/>
        <w:rPr>
          <w:bCs/>
          <w:lang w:val="en-GB"/>
        </w:rPr>
      </w:pPr>
      <w:r w:rsidRPr="005A6633">
        <w:rPr>
          <w:bCs/>
          <w:lang w:val="en-GB"/>
        </w:rPr>
        <w:t xml:space="preserve">Mr Lam submitted that Dr Tio </w:t>
      </w:r>
      <w:r w:rsidR="00C96C42" w:rsidRPr="005A6633">
        <w:rPr>
          <w:bCs/>
          <w:lang w:val="en-GB"/>
        </w:rPr>
        <w:t xml:space="preserve">recommended on </w:t>
      </w:r>
      <w:r w:rsidR="005A6633">
        <w:rPr>
          <w:bCs/>
          <w:lang w:val="en-GB"/>
        </w:rPr>
        <w:t>8 March 2016</w:t>
      </w:r>
      <w:r w:rsidR="00C96C42" w:rsidRPr="005A6633">
        <w:rPr>
          <w:bCs/>
          <w:lang w:val="en-GB"/>
        </w:rPr>
        <w:t xml:space="preserve"> that </w:t>
      </w:r>
      <w:r w:rsidR="00C96C42" w:rsidRPr="005A6633">
        <w:rPr>
          <w:rFonts w:hint="eastAsia"/>
          <w:bCs/>
          <w:lang w:val="en-GB"/>
        </w:rPr>
        <w:t xml:space="preserve">the </w:t>
      </w:r>
      <w:r w:rsidR="00C96C42" w:rsidRPr="005A6633">
        <w:rPr>
          <w:bCs/>
          <w:lang w:val="en-GB"/>
        </w:rPr>
        <w:t>plaintiff</w:t>
      </w:r>
      <w:r w:rsidR="00C96C42" w:rsidRPr="005A6633">
        <w:rPr>
          <w:rFonts w:hint="eastAsia"/>
          <w:bCs/>
          <w:lang w:val="en-GB"/>
        </w:rPr>
        <w:t xml:space="preserve"> </w:t>
      </w:r>
      <w:r w:rsidR="00C96C42" w:rsidRPr="005A6633">
        <w:rPr>
          <w:bCs/>
          <w:lang w:val="en-GB"/>
        </w:rPr>
        <w:t>was</w:t>
      </w:r>
      <w:r w:rsidRPr="005A6633">
        <w:rPr>
          <w:bCs/>
          <w:lang w:val="en-GB"/>
        </w:rPr>
        <w:t xml:space="preserve"> only</w:t>
      </w:r>
      <w:r w:rsidR="00C96C42" w:rsidRPr="005A6633">
        <w:rPr>
          <w:bCs/>
          <w:lang w:val="en-GB"/>
        </w:rPr>
        <w:t xml:space="preserve"> fit for light duties.  </w:t>
      </w:r>
      <w:r w:rsidR="006F5935" w:rsidRPr="005A6633">
        <w:rPr>
          <w:bCs/>
          <w:lang w:val="en-GB"/>
        </w:rPr>
        <w:t>To be fair to Mr Lam, both experts also had the same interpretation of Dr Tio’s opinion.</w:t>
      </w:r>
      <w:r w:rsidR="006F5935">
        <w:rPr>
          <w:rStyle w:val="FootnoteReference"/>
          <w:bCs/>
          <w:lang w:val="en-GB"/>
        </w:rPr>
        <w:footnoteReference w:id="32"/>
      </w:r>
      <w:r w:rsidR="006F5935" w:rsidRPr="005A6633">
        <w:rPr>
          <w:bCs/>
          <w:lang w:val="en-GB"/>
        </w:rPr>
        <w:t xml:space="preserve">  However, with respect to Mr Lam and the experts, </w:t>
      </w:r>
      <w:r w:rsidR="00C96C42" w:rsidRPr="005A6633">
        <w:rPr>
          <w:bCs/>
          <w:lang w:val="en-GB"/>
        </w:rPr>
        <w:t>I do not agree</w:t>
      </w:r>
      <w:r w:rsidR="006F5935" w:rsidRPr="005A6633">
        <w:rPr>
          <w:bCs/>
          <w:lang w:val="en-GB"/>
        </w:rPr>
        <w:t xml:space="preserve"> with their interpretation</w:t>
      </w:r>
      <w:r w:rsidR="00C96C42" w:rsidRPr="005A6633">
        <w:rPr>
          <w:bCs/>
          <w:lang w:val="en-GB"/>
        </w:rPr>
        <w:t xml:space="preserve">.  I think Mr Lam and the experts have probably been confused by </w:t>
      </w:r>
      <w:r w:rsidR="006E5BAD" w:rsidRPr="005A6633">
        <w:rPr>
          <w:bCs/>
          <w:lang w:val="en-GB"/>
        </w:rPr>
        <w:t xml:space="preserve">Dr </w:t>
      </w:r>
      <w:r w:rsidRPr="005A6633">
        <w:rPr>
          <w:bCs/>
          <w:lang w:val="en-GB"/>
        </w:rPr>
        <w:t xml:space="preserve">Tio because Dr Tio had not deleted </w:t>
      </w:r>
      <w:r w:rsidR="005A6633">
        <w:rPr>
          <w:bCs/>
          <w:lang w:val="en-GB"/>
        </w:rPr>
        <w:t>the</w:t>
      </w:r>
      <w:r w:rsidRPr="005A6633">
        <w:rPr>
          <w:bCs/>
          <w:lang w:val="en-GB"/>
        </w:rPr>
        <w:t xml:space="preserve"> figures in the “Light duty nature”</w:t>
      </w:r>
      <w:r w:rsidR="005A6633">
        <w:rPr>
          <w:bCs/>
          <w:lang w:val="en-GB"/>
        </w:rPr>
        <w:t xml:space="preserve"> row.  </w:t>
      </w:r>
      <w:r w:rsidRPr="005A6633">
        <w:rPr>
          <w:bCs/>
          <w:lang w:val="en-GB"/>
        </w:rPr>
        <w:t>Ho</w:t>
      </w:r>
      <w:r w:rsidR="007721BC" w:rsidRPr="005A6633">
        <w:rPr>
          <w:bCs/>
          <w:lang w:val="en-GB"/>
        </w:rPr>
        <w:t>wever, it is clear that in his C</w:t>
      </w:r>
      <w:r w:rsidRPr="005A6633">
        <w:rPr>
          <w:bCs/>
          <w:lang w:val="en-GB"/>
        </w:rPr>
        <w:t xml:space="preserve">onsultation </w:t>
      </w:r>
      <w:r w:rsidR="007721BC" w:rsidRPr="005A6633">
        <w:rPr>
          <w:bCs/>
          <w:lang w:val="en-GB"/>
        </w:rPr>
        <w:t>Form</w:t>
      </w:r>
      <w:r w:rsidR="005A6633">
        <w:rPr>
          <w:bCs/>
          <w:lang w:val="en-GB"/>
        </w:rPr>
        <w:t xml:space="preserve"> dated 8 March 2016, Dr Tio</w:t>
      </w:r>
      <w:r w:rsidRPr="005A6633">
        <w:rPr>
          <w:bCs/>
          <w:lang w:val="en-GB"/>
        </w:rPr>
        <w:t xml:space="preserve"> no longer selected the option “Fit for light duties”.  </w:t>
      </w:r>
      <w:r w:rsidR="005A6633">
        <w:rPr>
          <w:bCs/>
          <w:lang w:val="en-GB"/>
        </w:rPr>
        <w:t xml:space="preserve">In my view, his intention is clear: he had </w:t>
      </w:r>
      <w:r w:rsidR="00021647">
        <w:rPr>
          <w:bCs/>
          <w:lang w:val="en-GB"/>
        </w:rPr>
        <w:t>updated</w:t>
      </w:r>
      <w:r w:rsidR="005A6633">
        <w:rPr>
          <w:bCs/>
          <w:lang w:val="en-GB"/>
        </w:rPr>
        <w:t xml:space="preserve"> his opinion in that the plaintiff should be fit for pre-injury duty rather than light duties as from 10 March 2016.  I think it was more probable than not that Dr Tio had only inadvertently left the figures in the row of “light duty nature” behind.  As I stated above, </w:t>
      </w:r>
      <w:r w:rsidR="005A6633" w:rsidRPr="00415E1B">
        <w:rPr>
          <w:bCs/>
          <w:lang w:val="en-GB"/>
        </w:rPr>
        <w:t>this row would be applicable if Dr Tio has ticked the “Fit for light duties” box</w:t>
      </w:r>
      <w:r w:rsidR="005A6633">
        <w:rPr>
          <w:bCs/>
          <w:lang w:val="en-GB"/>
        </w:rPr>
        <w:t xml:space="preserve">.  By the same token, this row would not be applicable if the </w:t>
      </w:r>
      <w:r w:rsidR="005A6633" w:rsidRPr="00415E1B">
        <w:rPr>
          <w:bCs/>
          <w:lang w:val="en-GB"/>
        </w:rPr>
        <w:t>“Fit for light duties” box</w:t>
      </w:r>
      <w:r w:rsidR="005A6633">
        <w:rPr>
          <w:bCs/>
          <w:lang w:val="en-GB"/>
        </w:rPr>
        <w:t xml:space="preserve"> was not ticked.</w:t>
      </w:r>
      <w:r w:rsidR="00986064">
        <w:rPr>
          <w:bCs/>
          <w:lang w:val="en-GB"/>
        </w:rPr>
        <w:t xml:space="preserve">  When I pointed this out to Mr Lam, he also accepted that it was possible that Dr Tio had forgotten to delete the aforesaid figures in the row of “light duty nature”.</w:t>
      </w:r>
    </w:p>
    <w:p w:rsidR="005A6633" w:rsidRDefault="005A6633" w:rsidP="002B7C06">
      <w:pPr>
        <w:pStyle w:val="ListParagraph"/>
        <w:spacing w:line="360" w:lineRule="auto"/>
        <w:rPr>
          <w:bCs/>
          <w:lang w:val="en-GB"/>
        </w:rPr>
      </w:pPr>
    </w:p>
    <w:p w:rsidR="00C96C42" w:rsidRPr="005A6633" w:rsidRDefault="005A6633" w:rsidP="002B7C06">
      <w:pPr>
        <w:numPr>
          <w:ilvl w:val="0"/>
          <w:numId w:val="2"/>
        </w:numPr>
        <w:tabs>
          <w:tab w:val="clear" w:pos="360"/>
          <w:tab w:val="clear" w:pos="4320"/>
          <w:tab w:val="clear" w:pos="9072"/>
        </w:tabs>
        <w:spacing w:line="360" w:lineRule="auto"/>
        <w:jc w:val="both"/>
        <w:rPr>
          <w:bCs/>
          <w:lang w:val="en-GB"/>
        </w:rPr>
      </w:pPr>
      <w:r>
        <w:rPr>
          <w:bCs/>
          <w:lang w:val="en-GB"/>
        </w:rPr>
        <w:t xml:space="preserve">Furthermore, </w:t>
      </w:r>
      <w:r w:rsidR="006E6A70" w:rsidRPr="005A6633">
        <w:rPr>
          <w:bCs/>
          <w:lang w:val="en-GB"/>
        </w:rPr>
        <w:t xml:space="preserve">I </w:t>
      </w:r>
      <w:r w:rsidR="00C96C42" w:rsidRPr="005A6633">
        <w:rPr>
          <w:bCs/>
          <w:lang w:val="en-GB"/>
        </w:rPr>
        <w:t xml:space="preserve">do not accept </w:t>
      </w:r>
      <w:r w:rsidR="006E6A70" w:rsidRPr="005A6633">
        <w:rPr>
          <w:bCs/>
          <w:lang w:val="en-GB"/>
        </w:rPr>
        <w:t xml:space="preserve">the plaintiff’s argument that </w:t>
      </w:r>
      <w:r w:rsidR="00C96C42" w:rsidRPr="005A6633">
        <w:rPr>
          <w:bCs/>
          <w:lang w:val="en-GB"/>
        </w:rPr>
        <w:t xml:space="preserve">Dr Tio </w:t>
      </w:r>
      <w:r w:rsidR="006E6A70" w:rsidRPr="005A6633">
        <w:rPr>
          <w:bCs/>
          <w:lang w:val="en-GB"/>
        </w:rPr>
        <w:t xml:space="preserve">had made his recommendation </w:t>
      </w:r>
      <w:r w:rsidR="00745C2E">
        <w:rPr>
          <w:bCs/>
          <w:lang w:val="en-GB"/>
        </w:rPr>
        <w:t xml:space="preserve">on 8 March 2016 </w:t>
      </w:r>
      <w:r w:rsidR="006E6A70" w:rsidRPr="005A6633">
        <w:rPr>
          <w:bCs/>
          <w:lang w:val="en-GB"/>
        </w:rPr>
        <w:t>only because the plaintiff had expressed his wish to return to work at the consultation session.  I have no doubt that Dr Tio had exercised his independent judg</w:t>
      </w:r>
      <w:r w:rsidR="00456BDF" w:rsidRPr="005A6633">
        <w:rPr>
          <w:bCs/>
          <w:lang w:val="en-GB"/>
        </w:rPr>
        <w:t>e</w:t>
      </w:r>
      <w:r w:rsidR="006E6A70" w:rsidRPr="005A6633">
        <w:rPr>
          <w:bCs/>
          <w:lang w:val="en-GB"/>
        </w:rPr>
        <w:t xml:space="preserve">ment as to whether the plaintiff was suitable to resume his pre-accident job.  Taking into account the plaintiff’s recovery progress referred to above, I am not surprised that Dr Tio took the view that the plaintiff could go back to </w:t>
      </w:r>
      <w:r>
        <w:rPr>
          <w:bCs/>
          <w:lang w:val="en-GB"/>
        </w:rPr>
        <w:t xml:space="preserve">his pre-injury </w:t>
      </w:r>
      <w:r w:rsidR="006E6A70" w:rsidRPr="005A6633">
        <w:rPr>
          <w:bCs/>
          <w:lang w:val="en-GB"/>
        </w:rPr>
        <w:t>work.</w:t>
      </w:r>
      <w:r w:rsidR="00C96C42" w:rsidRPr="005A6633">
        <w:rPr>
          <w:bCs/>
          <w:lang w:val="en-GB"/>
        </w:rPr>
        <w:t xml:space="preserve"> </w:t>
      </w:r>
      <w:r w:rsidR="005D1656" w:rsidRPr="005A6633">
        <w:rPr>
          <w:bCs/>
          <w:lang w:val="en-GB"/>
        </w:rPr>
        <w:t xml:space="preserve"> I should further add that if Dr Tio really based his recommendation on the plaintiff’s wish to return to work, then he would not have maintained his recommendation on</w:t>
      </w:r>
      <w:r>
        <w:rPr>
          <w:bCs/>
          <w:lang w:val="en-GB"/>
        </w:rPr>
        <w:t xml:space="preserve"> 13 April 2016 </w:t>
      </w:r>
      <w:r w:rsidR="005D1656" w:rsidRPr="005A6633">
        <w:rPr>
          <w:bCs/>
          <w:lang w:val="en-GB"/>
        </w:rPr>
        <w:t xml:space="preserve">and </w:t>
      </w:r>
      <w:r w:rsidR="005D1656" w:rsidRPr="005A6633">
        <w:rPr>
          <w:rFonts w:hint="eastAsia"/>
          <w:bCs/>
          <w:lang w:val="en-GB"/>
        </w:rPr>
        <w:t>4</w:t>
      </w:r>
      <w:r w:rsidR="005D1656" w:rsidRPr="005A6633">
        <w:rPr>
          <w:bCs/>
          <w:lang w:val="en-GB"/>
        </w:rPr>
        <w:t xml:space="preserve"> M</w:t>
      </w:r>
      <w:r w:rsidR="005D1656" w:rsidRPr="005A6633">
        <w:rPr>
          <w:rFonts w:hint="eastAsia"/>
          <w:bCs/>
          <w:lang w:val="en-GB"/>
        </w:rPr>
        <w:t>a</w:t>
      </w:r>
      <w:r w:rsidR="005D1656" w:rsidRPr="005A6633">
        <w:rPr>
          <w:bCs/>
          <w:lang w:val="en-GB"/>
        </w:rPr>
        <w:t>y 2016</w:t>
      </w:r>
      <w:r w:rsidR="00021647">
        <w:rPr>
          <w:bCs/>
          <w:lang w:val="en-GB"/>
        </w:rPr>
        <w:t xml:space="preserve"> after the plaintiff had allegedly tried to do </w:t>
      </w:r>
      <w:r w:rsidR="00745C2E">
        <w:rPr>
          <w:bCs/>
          <w:lang w:val="en-GB"/>
        </w:rPr>
        <w:t xml:space="preserve">the </w:t>
      </w:r>
      <w:r w:rsidR="00021647">
        <w:rPr>
          <w:bCs/>
          <w:lang w:val="en-GB"/>
        </w:rPr>
        <w:t>pre-accident work but in vain</w:t>
      </w:r>
      <w:r w:rsidR="005D1656" w:rsidRPr="005A6633">
        <w:rPr>
          <w:bCs/>
          <w:lang w:val="en-GB"/>
        </w:rPr>
        <w:t>.</w:t>
      </w:r>
    </w:p>
    <w:p w:rsidR="005A6633" w:rsidRPr="005A6633" w:rsidRDefault="005A6633" w:rsidP="002B7C06">
      <w:pPr>
        <w:tabs>
          <w:tab w:val="clear" w:pos="4320"/>
          <w:tab w:val="clear" w:pos="9072"/>
        </w:tabs>
        <w:spacing w:line="360" w:lineRule="auto"/>
        <w:jc w:val="both"/>
        <w:rPr>
          <w:bCs/>
          <w:lang w:val="en-GB"/>
        </w:rPr>
      </w:pPr>
    </w:p>
    <w:p w:rsidR="00C96C42" w:rsidRDefault="005D1656" w:rsidP="002B7C06">
      <w:pPr>
        <w:numPr>
          <w:ilvl w:val="0"/>
          <w:numId w:val="2"/>
        </w:numPr>
        <w:tabs>
          <w:tab w:val="clear" w:pos="360"/>
          <w:tab w:val="clear" w:pos="4320"/>
          <w:tab w:val="clear" w:pos="9072"/>
        </w:tabs>
        <w:spacing w:line="360" w:lineRule="auto"/>
        <w:jc w:val="both"/>
        <w:rPr>
          <w:bCs/>
          <w:lang w:val="en-GB"/>
        </w:rPr>
      </w:pPr>
      <w:r w:rsidRPr="005D1656">
        <w:rPr>
          <w:b/>
          <w:bCs/>
          <w:u w:val="single"/>
          <w:lang w:val="en-GB"/>
        </w:rPr>
        <w:t>Thirdly</w:t>
      </w:r>
      <w:r>
        <w:rPr>
          <w:bCs/>
          <w:lang w:val="en-GB"/>
        </w:rPr>
        <w:t xml:space="preserve">, </w:t>
      </w:r>
      <w:r w:rsidR="008B011D">
        <w:rPr>
          <w:bCs/>
          <w:lang w:val="en-GB"/>
        </w:rPr>
        <w:t xml:space="preserve">I would give due weight to Dr Chun’s assessment which was done on 20 May 2016 because at that time he did not only have the chance to read the </w:t>
      </w:r>
      <w:r w:rsidR="005A6633">
        <w:rPr>
          <w:bCs/>
          <w:lang w:val="en-GB"/>
        </w:rPr>
        <w:t xml:space="preserve">plaintiff’s </w:t>
      </w:r>
      <w:r w:rsidR="008B011D">
        <w:rPr>
          <w:bCs/>
          <w:lang w:val="en-GB"/>
        </w:rPr>
        <w:t xml:space="preserve">medical documents but he also got the opportunity to assess the plaintiff himself.  </w:t>
      </w:r>
    </w:p>
    <w:p w:rsidR="005A6633" w:rsidRDefault="005A6633" w:rsidP="002B7C06">
      <w:pPr>
        <w:tabs>
          <w:tab w:val="clear" w:pos="4320"/>
          <w:tab w:val="clear" w:pos="9072"/>
        </w:tabs>
        <w:spacing w:line="360" w:lineRule="auto"/>
        <w:jc w:val="both"/>
        <w:rPr>
          <w:bCs/>
          <w:lang w:val="en-GB"/>
        </w:rPr>
      </w:pPr>
    </w:p>
    <w:p w:rsidR="008B011D" w:rsidRDefault="008B011D" w:rsidP="002B7C06">
      <w:pPr>
        <w:numPr>
          <w:ilvl w:val="0"/>
          <w:numId w:val="2"/>
        </w:numPr>
        <w:tabs>
          <w:tab w:val="clear" w:pos="360"/>
          <w:tab w:val="clear" w:pos="4320"/>
          <w:tab w:val="clear" w:pos="9072"/>
        </w:tabs>
        <w:spacing w:line="360" w:lineRule="auto"/>
        <w:jc w:val="both"/>
        <w:rPr>
          <w:bCs/>
          <w:lang w:val="en-GB"/>
        </w:rPr>
      </w:pPr>
      <w:r>
        <w:rPr>
          <w:bCs/>
          <w:lang w:val="en-GB"/>
        </w:rPr>
        <w:t xml:space="preserve">As aforesaid, in his report, Dr Chun opined that the plaintiff had had adequate sick leave, and further sick leave was not warranted.  I bear in mind that this examination on 20 May 2016 was conducted for a number of specific purposes set out in a letter issued by United Adjusters (HK) Ltd dated 4 May 2016 to Dr Chun, and one of those purposes was for Dr Chun to give his comments on the reasonable sick leave period </w:t>
      </w:r>
      <w:r>
        <w:rPr>
          <w:rFonts w:hint="eastAsia"/>
          <w:bCs/>
          <w:lang w:val="en-GB"/>
        </w:rPr>
        <w:t>in</w:t>
      </w:r>
      <w:r>
        <w:rPr>
          <w:bCs/>
          <w:lang w:val="en-GB"/>
        </w:rPr>
        <w:t xml:space="preserve"> light of </w:t>
      </w:r>
      <w:r>
        <w:rPr>
          <w:rFonts w:hint="eastAsia"/>
          <w:bCs/>
          <w:lang w:val="en-GB"/>
        </w:rPr>
        <w:t xml:space="preserve">the </w:t>
      </w:r>
      <w:r>
        <w:rPr>
          <w:bCs/>
          <w:lang w:val="en-GB"/>
        </w:rPr>
        <w:t xml:space="preserve">plaintiff’s condition.  Hence, Dr Chun would not have given his comment on sick leave lightly.  </w:t>
      </w:r>
    </w:p>
    <w:p w:rsidR="008B011D" w:rsidRDefault="008B011D" w:rsidP="002B7C06">
      <w:pPr>
        <w:tabs>
          <w:tab w:val="clear" w:pos="4320"/>
          <w:tab w:val="clear" w:pos="9072"/>
        </w:tabs>
        <w:spacing w:line="360" w:lineRule="auto"/>
        <w:jc w:val="both"/>
        <w:rPr>
          <w:bCs/>
          <w:lang w:val="en-GB"/>
        </w:rPr>
      </w:pPr>
    </w:p>
    <w:p w:rsidR="005A1C29" w:rsidRDefault="00EE265A" w:rsidP="002B7C06">
      <w:pPr>
        <w:numPr>
          <w:ilvl w:val="0"/>
          <w:numId w:val="2"/>
        </w:numPr>
        <w:tabs>
          <w:tab w:val="clear" w:pos="360"/>
          <w:tab w:val="clear" w:pos="4320"/>
          <w:tab w:val="clear" w:pos="9072"/>
        </w:tabs>
        <w:spacing w:line="360" w:lineRule="auto"/>
        <w:jc w:val="both"/>
        <w:rPr>
          <w:bCs/>
          <w:lang w:val="en-GB"/>
        </w:rPr>
      </w:pPr>
      <w:r>
        <w:rPr>
          <w:bCs/>
          <w:lang w:val="en-GB"/>
        </w:rPr>
        <w:t xml:space="preserve">This brings me to the </w:t>
      </w:r>
      <w:r w:rsidRPr="00EE265A">
        <w:rPr>
          <w:b/>
          <w:bCs/>
          <w:u w:val="single"/>
          <w:lang w:val="en-GB"/>
        </w:rPr>
        <w:t>fourth</w:t>
      </w:r>
      <w:r>
        <w:rPr>
          <w:bCs/>
          <w:lang w:val="en-GB"/>
        </w:rPr>
        <w:t xml:space="preserve"> point: Dr Chun’s opinion as expressed in the Joint Expert Report, in which he stated that reasonable sick leave should </w:t>
      </w:r>
      <w:r w:rsidR="003051F6">
        <w:rPr>
          <w:bCs/>
          <w:lang w:val="en-GB"/>
        </w:rPr>
        <w:t xml:space="preserve">only </w:t>
      </w:r>
      <w:r>
        <w:rPr>
          <w:bCs/>
          <w:lang w:val="en-GB"/>
        </w:rPr>
        <w:t xml:space="preserve">be up to 9 March 2016 because further sick leave was not warranted.  This opinion is different from that given in his earlier report.  However, Dr Chun did not explain why he considered it appropriate to revise his opinion.   </w:t>
      </w:r>
    </w:p>
    <w:p w:rsidR="00864B81" w:rsidRDefault="00864B81" w:rsidP="002B7C06">
      <w:pPr>
        <w:pStyle w:val="ListParagraph"/>
        <w:spacing w:line="360" w:lineRule="auto"/>
        <w:rPr>
          <w:bCs/>
          <w:lang w:val="en-GB"/>
        </w:rPr>
      </w:pPr>
    </w:p>
    <w:p w:rsidR="00864B81" w:rsidRDefault="00864B81" w:rsidP="002B7C06">
      <w:pPr>
        <w:numPr>
          <w:ilvl w:val="0"/>
          <w:numId w:val="2"/>
        </w:numPr>
        <w:tabs>
          <w:tab w:val="clear" w:pos="360"/>
          <w:tab w:val="clear" w:pos="4320"/>
          <w:tab w:val="clear" w:pos="9072"/>
        </w:tabs>
        <w:spacing w:line="360" w:lineRule="auto"/>
        <w:jc w:val="both"/>
        <w:rPr>
          <w:bCs/>
          <w:lang w:val="en-GB"/>
        </w:rPr>
      </w:pPr>
      <w:r>
        <w:rPr>
          <w:bCs/>
          <w:lang w:val="en-GB"/>
        </w:rPr>
        <w:t>I do not accept Ms Kwok’s argument that when Dr Chun gave his opinion on sick leave in May 2016, he had overlook</w:t>
      </w:r>
      <w:r>
        <w:rPr>
          <w:rFonts w:hint="eastAsia"/>
          <w:bCs/>
          <w:lang w:val="en-GB"/>
        </w:rPr>
        <w:t>ed</w:t>
      </w:r>
      <w:r>
        <w:rPr>
          <w:bCs/>
          <w:lang w:val="en-GB"/>
        </w:rPr>
        <w:t xml:space="preserve"> the bottom half of Dr Tio’s consultation notes dated 8 March 2016.  This is pure speculation.  If that was really the case, I would expect Dr Chun to mention it </w:t>
      </w:r>
      <w:r w:rsidR="003051F6">
        <w:rPr>
          <w:bCs/>
          <w:lang w:val="en-GB"/>
        </w:rPr>
        <w:t xml:space="preserve">specifically </w:t>
      </w:r>
      <w:r>
        <w:rPr>
          <w:bCs/>
          <w:lang w:val="en-GB"/>
        </w:rPr>
        <w:t>in the Joint Expert Report when he revised his opinion on sick leave.</w:t>
      </w:r>
    </w:p>
    <w:p w:rsidR="003B613A" w:rsidRDefault="003B613A" w:rsidP="002B7C06">
      <w:pPr>
        <w:pStyle w:val="ListParagraph"/>
        <w:spacing w:line="360" w:lineRule="auto"/>
        <w:rPr>
          <w:bCs/>
          <w:lang w:val="en-GB"/>
        </w:rPr>
      </w:pPr>
    </w:p>
    <w:p w:rsidR="003B613A" w:rsidRDefault="003B613A" w:rsidP="002B7C06">
      <w:pPr>
        <w:numPr>
          <w:ilvl w:val="0"/>
          <w:numId w:val="2"/>
        </w:numPr>
        <w:tabs>
          <w:tab w:val="clear" w:pos="360"/>
          <w:tab w:val="clear" w:pos="4320"/>
          <w:tab w:val="clear" w:pos="9072"/>
        </w:tabs>
        <w:spacing w:line="360" w:lineRule="auto"/>
        <w:jc w:val="both"/>
        <w:rPr>
          <w:bCs/>
          <w:lang w:val="en-GB"/>
        </w:rPr>
      </w:pPr>
      <w:r w:rsidRPr="003B613A">
        <w:rPr>
          <w:b/>
          <w:bCs/>
          <w:u w:val="single"/>
          <w:lang w:val="en-GB"/>
        </w:rPr>
        <w:t>Fifthly</w:t>
      </w:r>
      <w:r>
        <w:rPr>
          <w:bCs/>
          <w:lang w:val="en-GB"/>
        </w:rPr>
        <w:t xml:space="preserve">, I would not accept Dr Kong’s opinion on sick leave because the basis of his opinion was that the plaintiff had received lengthy physiotherapy and occupational treatment, as well as treatment from private orthopaedic surgeons and bone setters.  Apparently, such an opinion was given on the assumption that the plaintiff’s complaints of persistent pain were genuine, in respect of which I have already rejected. </w:t>
      </w:r>
    </w:p>
    <w:p w:rsidR="00B50D76" w:rsidRDefault="00B50D76" w:rsidP="002B7C06">
      <w:pPr>
        <w:pStyle w:val="ListParagraph"/>
        <w:spacing w:line="360" w:lineRule="auto"/>
        <w:rPr>
          <w:bCs/>
          <w:lang w:val="en-GB"/>
        </w:rPr>
      </w:pPr>
    </w:p>
    <w:p w:rsidR="00871E0D" w:rsidRDefault="00871E0D" w:rsidP="002B7C06">
      <w:pPr>
        <w:numPr>
          <w:ilvl w:val="0"/>
          <w:numId w:val="2"/>
        </w:numPr>
        <w:tabs>
          <w:tab w:val="clear" w:pos="360"/>
          <w:tab w:val="clear" w:pos="4320"/>
          <w:tab w:val="clear" w:pos="9072"/>
        </w:tabs>
        <w:spacing w:line="360" w:lineRule="auto"/>
        <w:jc w:val="both"/>
        <w:rPr>
          <w:bCs/>
          <w:lang w:val="en-GB"/>
        </w:rPr>
      </w:pPr>
      <w:r>
        <w:rPr>
          <w:bCs/>
          <w:lang w:val="en-GB"/>
        </w:rPr>
        <w:t>Accordingly, the plaintiff’s pre-trial loss would be assessed on the basis that the reasonable and appropriate sick leave period should be from the date of the accident (8 October 2015) up to 20 May 2016.  No further period should be allowed for the plaintiff to look for a job as advocated by Mr Lam, because the plaintiff could have resumed his job with the defendant at any time back in May 2016.</w:t>
      </w:r>
    </w:p>
    <w:p w:rsidR="00E946FA" w:rsidRDefault="00E946FA" w:rsidP="002B7C06">
      <w:pPr>
        <w:pStyle w:val="ListParagraph"/>
        <w:spacing w:line="360" w:lineRule="auto"/>
        <w:rPr>
          <w:bCs/>
          <w:lang w:val="en-GB"/>
        </w:rPr>
      </w:pPr>
    </w:p>
    <w:p w:rsidR="00871E0D" w:rsidRPr="00E946FA" w:rsidRDefault="00E946FA" w:rsidP="002B7C06">
      <w:pPr>
        <w:numPr>
          <w:ilvl w:val="0"/>
          <w:numId w:val="2"/>
        </w:numPr>
        <w:tabs>
          <w:tab w:val="clear" w:pos="360"/>
          <w:tab w:val="clear" w:pos="4320"/>
          <w:tab w:val="clear" w:pos="9072"/>
        </w:tabs>
        <w:spacing w:line="360" w:lineRule="auto"/>
        <w:jc w:val="both"/>
        <w:rPr>
          <w:bCs/>
          <w:lang w:val="en-GB"/>
        </w:rPr>
      </w:pPr>
      <w:r w:rsidRPr="00E946FA">
        <w:rPr>
          <w:bCs/>
          <w:lang w:val="en-GB"/>
        </w:rPr>
        <w:t xml:space="preserve">Parties agreed that, when calculating the plaintiff’s pre-trial loss of earning, the court should adopt the monthly salary of $11,000 for 2015 and $12,250 for 2016.  </w:t>
      </w:r>
    </w:p>
    <w:p w:rsidR="00E946FA" w:rsidRDefault="00E946FA" w:rsidP="002B7C06">
      <w:pPr>
        <w:tabs>
          <w:tab w:val="clear" w:pos="4320"/>
          <w:tab w:val="clear" w:pos="9072"/>
        </w:tabs>
        <w:spacing w:line="360" w:lineRule="auto"/>
        <w:jc w:val="both"/>
        <w:rPr>
          <w:bCs/>
          <w:lang w:val="en-GB"/>
        </w:rPr>
      </w:pPr>
    </w:p>
    <w:p w:rsidR="00871E0D" w:rsidRDefault="00871E0D" w:rsidP="002B7C06">
      <w:pPr>
        <w:numPr>
          <w:ilvl w:val="0"/>
          <w:numId w:val="2"/>
        </w:numPr>
        <w:tabs>
          <w:tab w:val="clear" w:pos="360"/>
          <w:tab w:val="clear" w:pos="4320"/>
          <w:tab w:val="clear" w:pos="9072"/>
        </w:tabs>
        <w:spacing w:line="360" w:lineRule="auto"/>
        <w:jc w:val="both"/>
        <w:rPr>
          <w:bCs/>
          <w:lang w:val="en-GB"/>
        </w:rPr>
      </w:pPr>
      <w:r>
        <w:rPr>
          <w:bCs/>
          <w:lang w:val="en-GB"/>
        </w:rPr>
        <w:t>Damages under this head should therefore be assessed at:</w:t>
      </w:r>
    </w:p>
    <w:p w:rsidR="00871E0D" w:rsidRDefault="00871E0D" w:rsidP="002B7C06">
      <w:pPr>
        <w:pStyle w:val="ListParagraph"/>
        <w:spacing w:line="360" w:lineRule="auto"/>
        <w:rPr>
          <w:bCs/>
          <w:lang w:val="en-GB"/>
        </w:rPr>
      </w:pPr>
    </w:p>
    <w:p w:rsidR="00871E0D" w:rsidRDefault="00871E0D" w:rsidP="002B7C06">
      <w:pPr>
        <w:pStyle w:val="ListParagraph"/>
        <w:spacing w:line="360" w:lineRule="auto"/>
        <w:ind w:left="1440"/>
        <w:rPr>
          <w:bCs/>
          <w:lang w:val="en-GB"/>
        </w:rPr>
      </w:pPr>
      <w:r>
        <w:rPr>
          <w:bCs/>
          <w:lang w:val="en-GB"/>
        </w:rPr>
        <w:t>$11,000 x</w:t>
      </w:r>
      <w:r w:rsidR="00E946FA">
        <w:rPr>
          <w:bCs/>
          <w:lang w:val="en-GB"/>
        </w:rPr>
        <w:t xml:space="preserve"> 85</w:t>
      </w:r>
      <w:r>
        <w:rPr>
          <w:bCs/>
          <w:lang w:val="en-GB"/>
        </w:rPr>
        <w:t>/365 x 12 months x 1.05</w:t>
      </w:r>
      <w:r w:rsidR="00E946FA">
        <w:rPr>
          <w:bCs/>
          <w:lang w:val="en-GB"/>
        </w:rPr>
        <w:t xml:space="preserve"> + $12,250 x 141/366 x 12 months x 1.05</w:t>
      </w:r>
      <w:r>
        <w:rPr>
          <w:bCs/>
          <w:lang w:val="en-GB"/>
        </w:rPr>
        <w:t xml:space="preserve"> = </w:t>
      </w:r>
      <w:r w:rsidR="005B58B7" w:rsidRPr="00E946FA">
        <w:rPr>
          <w:b/>
          <w:bCs/>
          <w:lang w:val="en-GB"/>
        </w:rPr>
        <w:t>$</w:t>
      </w:r>
      <w:r w:rsidR="00E946FA" w:rsidRPr="00E946FA">
        <w:rPr>
          <w:b/>
          <w:bCs/>
          <w:lang w:val="en-GB"/>
        </w:rPr>
        <w:t>91</w:t>
      </w:r>
      <w:r w:rsidR="005B58B7" w:rsidRPr="00E946FA">
        <w:rPr>
          <w:b/>
          <w:bCs/>
          <w:lang w:val="en-GB"/>
        </w:rPr>
        <w:t>,</w:t>
      </w:r>
      <w:r w:rsidR="00E946FA" w:rsidRPr="00E946FA">
        <w:rPr>
          <w:b/>
          <w:bCs/>
          <w:lang w:val="en-GB"/>
        </w:rPr>
        <w:t>739</w:t>
      </w:r>
      <w:r w:rsidR="005B58B7" w:rsidRPr="00E946FA">
        <w:rPr>
          <w:b/>
          <w:bCs/>
          <w:lang w:val="en-GB"/>
        </w:rPr>
        <w:t>.</w:t>
      </w:r>
      <w:r w:rsidR="00443D06">
        <w:rPr>
          <w:b/>
          <w:bCs/>
          <w:lang w:val="en-GB"/>
        </w:rPr>
        <w:t>42</w:t>
      </w:r>
    </w:p>
    <w:p w:rsidR="00B27EF2" w:rsidRPr="008201D8" w:rsidRDefault="00B27EF2" w:rsidP="002B7C06">
      <w:pPr>
        <w:tabs>
          <w:tab w:val="clear" w:pos="4320"/>
          <w:tab w:val="clear" w:pos="9072"/>
        </w:tabs>
        <w:spacing w:line="360" w:lineRule="auto"/>
        <w:jc w:val="both"/>
        <w:rPr>
          <w:bCs/>
          <w:lang w:val="en-GB"/>
        </w:rPr>
      </w:pPr>
    </w:p>
    <w:p w:rsidR="00BA01A2" w:rsidRPr="00BA01A2" w:rsidRDefault="00BA01A2" w:rsidP="002B7C06">
      <w:pPr>
        <w:tabs>
          <w:tab w:val="clear" w:pos="4320"/>
          <w:tab w:val="clear" w:pos="9072"/>
        </w:tabs>
        <w:snapToGrid/>
        <w:spacing w:line="360" w:lineRule="auto"/>
        <w:jc w:val="both"/>
        <w:rPr>
          <w:bCs/>
          <w:i/>
          <w:lang w:val="en-GB"/>
        </w:rPr>
      </w:pPr>
      <w:r w:rsidRPr="00BA01A2">
        <w:rPr>
          <w:bCs/>
          <w:i/>
          <w:lang w:val="en-GB"/>
        </w:rPr>
        <w:t>MEDICAL EXPENSES</w:t>
      </w:r>
    </w:p>
    <w:p w:rsidR="00BA01A2" w:rsidRDefault="00BA01A2" w:rsidP="002B7C06">
      <w:pPr>
        <w:pStyle w:val="ListParagraph"/>
        <w:spacing w:line="360" w:lineRule="auto"/>
        <w:rPr>
          <w:bCs/>
          <w:lang w:val="en-GB"/>
        </w:rPr>
      </w:pPr>
    </w:p>
    <w:p w:rsidR="00BA01A2" w:rsidRDefault="00A4269B" w:rsidP="002B7C06">
      <w:pPr>
        <w:numPr>
          <w:ilvl w:val="0"/>
          <w:numId w:val="2"/>
        </w:numPr>
        <w:tabs>
          <w:tab w:val="clear" w:pos="360"/>
          <w:tab w:val="clear" w:pos="4320"/>
          <w:tab w:val="clear" w:pos="9072"/>
        </w:tabs>
        <w:snapToGrid/>
        <w:spacing w:line="360" w:lineRule="auto"/>
        <w:jc w:val="both"/>
        <w:rPr>
          <w:bCs/>
          <w:lang w:val="en-GB"/>
        </w:rPr>
      </w:pPr>
      <w:r>
        <w:rPr>
          <w:bCs/>
          <w:lang w:val="en-GB"/>
        </w:rPr>
        <w:t>T</w:t>
      </w:r>
      <w:r w:rsidR="00056B19">
        <w:rPr>
          <w:bCs/>
          <w:lang w:val="en-GB"/>
        </w:rPr>
        <w:t>he plaintiff claims $141,003.40</w:t>
      </w:r>
      <w:r>
        <w:rPr>
          <w:bCs/>
          <w:lang w:val="en-GB"/>
        </w:rPr>
        <w:t xml:space="preserve"> under this head.</w:t>
      </w:r>
    </w:p>
    <w:p w:rsidR="00E946FA" w:rsidRDefault="00E946FA" w:rsidP="002B7C06">
      <w:pPr>
        <w:tabs>
          <w:tab w:val="clear" w:pos="4320"/>
          <w:tab w:val="clear" w:pos="9072"/>
        </w:tabs>
        <w:snapToGrid/>
        <w:spacing w:line="360" w:lineRule="auto"/>
        <w:jc w:val="both"/>
        <w:rPr>
          <w:bCs/>
          <w:lang w:val="en-GB"/>
        </w:rPr>
      </w:pPr>
    </w:p>
    <w:p w:rsidR="00A4269B" w:rsidRDefault="00107AAE"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 accept Dr Chun’s opinion </w:t>
      </w:r>
      <w:r w:rsidR="00745C2E">
        <w:rPr>
          <w:bCs/>
          <w:lang w:val="en-GB"/>
        </w:rPr>
        <w:t xml:space="preserve">(as expressed in Dr Chun’s Report) </w:t>
      </w:r>
      <w:r>
        <w:rPr>
          <w:bCs/>
          <w:lang w:val="en-GB"/>
        </w:rPr>
        <w:t>that the plaintiff should not need further treatment beyond 20 May 2016</w:t>
      </w:r>
      <w:r>
        <w:rPr>
          <w:rStyle w:val="FootnoteReference"/>
          <w:bCs/>
          <w:lang w:val="en-GB"/>
        </w:rPr>
        <w:footnoteReference w:id="33"/>
      </w:r>
      <w:r>
        <w:rPr>
          <w:rFonts w:hint="eastAsia"/>
          <w:bCs/>
          <w:lang w:val="en-GB"/>
        </w:rPr>
        <w:t>.</w:t>
      </w:r>
    </w:p>
    <w:p w:rsidR="00E946FA" w:rsidRDefault="00E946FA" w:rsidP="002B7C06">
      <w:pPr>
        <w:tabs>
          <w:tab w:val="clear" w:pos="4320"/>
          <w:tab w:val="clear" w:pos="9072"/>
        </w:tabs>
        <w:snapToGrid/>
        <w:spacing w:line="360" w:lineRule="auto"/>
        <w:jc w:val="both"/>
        <w:rPr>
          <w:bCs/>
          <w:lang w:val="en-GB"/>
        </w:rPr>
      </w:pPr>
    </w:p>
    <w:p w:rsidR="00107AAE" w:rsidRDefault="00107AAE"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 would therefore only allow </w:t>
      </w:r>
      <w:r w:rsidRPr="00B74FB9">
        <w:rPr>
          <w:b/>
          <w:bCs/>
          <w:lang w:val="en-GB"/>
        </w:rPr>
        <w:t>$</w:t>
      </w:r>
      <w:r w:rsidR="00ED4340" w:rsidRPr="00B74FB9">
        <w:rPr>
          <w:b/>
          <w:bCs/>
          <w:lang w:val="en-GB"/>
        </w:rPr>
        <w:t>3,993.40</w:t>
      </w:r>
      <w:r w:rsidR="00B74FB9">
        <w:rPr>
          <w:rStyle w:val="FootnoteReference"/>
          <w:bCs/>
          <w:lang w:val="en-GB"/>
        </w:rPr>
        <w:footnoteReference w:id="34"/>
      </w:r>
      <w:r>
        <w:rPr>
          <w:bCs/>
          <w:lang w:val="en-GB"/>
        </w:rPr>
        <w:t xml:space="preserve"> as damages under this head.</w:t>
      </w:r>
    </w:p>
    <w:p w:rsidR="00BA01A2" w:rsidRDefault="00BA01A2" w:rsidP="002B7C06">
      <w:pPr>
        <w:tabs>
          <w:tab w:val="clear" w:pos="4320"/>
          <w:tab w:val="clear" w:pos="9072"/>
        </w:tabs>
        <w:snapToGrid/>
        <w:spacing w:line="360" w:lineRule="auto"/>
        <w:jc w:val="both"/>
        <w:rPr>
          <w:bCs/>
          <w:lang w:val="en-GB"/>
        </w:rPr>
      </w:pPr>
    </w:p>
    <w:p w:rsidR="00BA01A2" w:rsidRPr="00BA01A2" w:rsidRDefault="00BA01A2" w:rsidP="002B7C06">
      <w:pPr>
        <w:tabs>
          <w:tab w:val="clear" w:pos="4320"/>
          <w:tab w:val="clear" w:pos="9072"/>
        </w:tabs>
        <w:snapToGrid/>
        <w:spacing w:line="360" w:lineRule="auto"/>
        <w:jc w:val="both"/>
        <w:rPr>
          <w:bCs/>
          <w:i/>
          <w:lang w:val="en-GB"/>
        </w:rPr>
      </w:pPr>
      <w:r w:rsidRPr="00BA01A2">
        <w:rPr>
          <w:bCs/>
          <w:i/>
          <w:lang w:val="en-GB"/>
        </w:rPr>
        <w:t>TRANSPORTATION EXPENSES</w:t>
      </w:r>
    </w:p>
    <w:p w:rsidR="00BA01A2" w:rsidRDefault="00BA01A2" w:rsidP="002B7C06">
      <w:pPr>
        <w:tabs>
          <w:tab w:val="clear" w:pos="4320"/>
          <w:tab w:val="clear" w:pos="9072"/>
        </w:tabs>
        <w:snapToGrid/>
        <w:spacing w:line="360" w:lineRule="auto"/>
        <w:jc w:val="both"/>
        <w:rPr>
          <w:bCs/>
          <w:lang w:val="en-GB"/>
        </w:rPr>
      </w:pPr>
    </w:p>
    <w:p w:rsidR="002D1549" w:rsidRDefault="00E21D7F" w:rsidP="002B7C06">
      <w:pPr>
        <w:numPr>
          <w:ilvl w:val="0"/>
          <w:numId w:val="2"/>
        </w:numPr>
        <w:tabs>
          <w:tab w:val="clear" w:pos="360"/>
          <w:tab w:val="clear" w:pos="4320"/>
          <w:tab w:val="clear" w:pos="9072"/>
        </w:tabs>
        <w:snapToGrid/>
        <w:spacing w:line="360" w:lineRule="auto"/>
        <w:jc w:val="both"/>
        <w:rPr>
          <w:bCs/>
          <w:lang w:val="en-GB"/>
        </w:rPr>
      </w:pPr>
      <w:r>
        <w:rPr>
          <w:bCs/>
          <w:lang w:val="en-GB"/>
        </w:rPr>
        <w:t>The plaintiff claim</w:t>
      </w:r>
      <w:r w:rsidR="00443D06">
        <w:rPr>
          <w:bCs/>
          <w:lang w:val="en-GB"/>
        </w:rPr>
        <w:t>s</w:t>
      </w:r>
      <w:r>
        <w:rPr>
          <w:bCs/>
          <w:lang w:val="en-GB"/>
        </w:rPr>
        <w:t xml:space="preserve"> $6,000 under this head.  </w:t>
      </w:r>
    </w:p>
    <w:p w:rsidR="002D1549" w:rsidRDefault="002D1549" w:rsidP="002B7C06">
      <w:pPr>
        <w:tabs>
          <w:tab w:val="clear" w:pos="4320"/>
          <w:tab w:val="clear" w:pos="9072"/>
        </w:tabs>
        <w:snapToGrid/>
        <w:spacing w:line="360" w:lineRule="auto"/>
        <w:jc w:val="both"/>
        <w:rPr>
          <w:bCs/>
          <w:lang w:val="en-GB"/>
        </w:rPr>
      </w:pPr>
    </w:p>
    <w:p w:rsidR="002D1549" w:rsidRDefault="002D1549" w:rsidP="002B7C06">
      <w:pPr>
        <w:numPr>
          <w:ilvl w:val="0"/>
          <w:numId w:val="2"/>
        </w:numPr>
        <w:tabs>
          <w:tab w:val="clear" w:pos="360"/>
          <w:tab w:val="clear" w:pos="4320"/>
          <w:tab w:val="clear" w:pos="9072"/>
        </w:tabs>
        <w:snapToGrid/>
        <w:spacing w:line="360" w:lineRule="auto"/>
        <w:jc w:val="both"/>
        <w:rPr>
          <w:bCs/>
          <w:lang w:val="en-GB"/>
        </w:rPr>
      </w:pPr>
      <w:r>
        <w:rPr>
          <w:bCs/>
          <w:lang w:val="en-GB"/>
        </w:rPr>
        <w:t>According to the plaintiff’s evidence (as per his witness statement dated 26 September 2019),</w:t>
      </w:r>
      <w:r w:rsidRPr="002D1549">
        <w:rPr>
          <w:bCs/>
          <w:lang w:val="en-GB"/>
        </w:rPr>
        <w:t xml:space="preserve"> </w:t>
      </w:r>
      <w:r>
        <w:rPr>
          <w:bCs/>
          <w:lang w:val="en-GB"/>
        </w:rPr>
        <w:t xml:space="preserve">he had normally taken MTR, buses or vans to attend medical consultations, and he had only travelled by taxi on 1 or 2 occasions.  </w:t>
      </w:r>
    </w:p>
    <w:p w:rsidR="002D1549" w:rsidRDefault="002D1549" w:rsidP="002B7C06">
      <w:pPr>
        <w:pStyle w:val="ListParagraph"/>
        <w:spacing w:line="360" w:lineRule="auto"/>
        <w:rPr>
          <w:bCs/>
          <w:lang w:val="en-GB"/>
        </w:rPr>
      </w:pPr>
    </w:p>
    <w:p w:rsidR="00C6360F" w:rsidRDefault="002D1549" w:rsidP="002B7C06">
      <w:pPr>
        <w:numPr>
          <w:ilvl w:val="0"/>
          <w:numId w:val="2"/>
        </w:numPr>
        <w:tabs>
          <w:tab w:val="clear" w:pos="360"/>
          <w:tab w:val="clear" w:pos="4320"/>
          <w:tab w:val="clear" w:pos="9072"/>
        </w:tabs>
        <w:snapToGrid/>
        <w:spacing w:line="360" w:lineRule="auto"/>
        <w:jc w:val="both"/>
        <w:rPr>
          <w:bCs/>
          <w:lang w:val="en-GB"/>
        </w:rPr>
      </w:pPr>
      <w:r>
        <w:rPr>
          <w:bCs/>
          <w:lang w:val="en-GB"/>
        </w:rPr>
        <w:t>It can be seen from Schedule 3 (medical attendance) that he had attended 413 consultation sessions up to 26 September 2019.</w:t>
      </w:r>
    </w:p>
    <w:p w:rsidR="00C6360F" w:rsidRDefault="00C6360F" w:rsidP="002B7C06">
      <w:pPr>
        <w:tabs>
          <w:tab w:val="clear" w:pos="4320"/>
          <w:tab w:val="clear" w:pos="9072"/>
        </w:tabs>
        <w:snapToGrid/>
        <w:spacing w:line="360" w:lineRule="auto"/>
        <w:jc w:val="both"/>
        <w:rPr>
          <w:bCs/>
          <w:lang w:val="en-GB"/>
        </w:rPr>
      </w:pPr>
    </w:p>
    <w:p w:rsidR="002D1549" w:rsidRDefault="002D1549" w:rsidP="002B7C06">
      <w:pPr>
        <w:numPr>
          <w:ilvl w:val="0"/>
          <w:numId w:val="2"/>
        </w:numPr>
        <w:tabs>
          <w:tab w:val="clear" w:pos="360"/>
          <w:tab w:val="clear" w:pos="4320"/>
          <w:tab w:val="clear" w:pos="9072"/>
        </w:tabs>
        <w:snapToGrid/>
        <w:spacing w:line="360" w:lineRule="auto"/>
        <w:jc w:val="both"/>
        <w:rPr>
          <w:bCs/>
          <w:lang w:val="en-GB"/>
        </w:rPr>
      </w:pPr>
      <w:r>
        <w:rPr>
          <w:bCs/>
          <w:lang w:val="en-GB"/>
        </w:rPr>
        <w:t>In my view,</w:t>
      </w:r>
      <w:r w:rsidR="00E21D7F">
        <w:rPr>
          <w:bCs/>
          <w:lang w:val="en-GB"/>
        </w:rPr>
        <w:t xml:space="preserve"> the plaintiff would not need treatment beyond 20 May 2016</w:t>
      </w:r>
      <w:r>
        <w:rPr>
          <w:bCs/>
          <w:lang w:val="en-GB"/>
        </w:rPr>
        <w:t>.  A</w:t>
      </w:r>
      <w:r w:rsidR="00E21D7F">
        <w:rPr>
          <w:bCs/>
          <w:lang w:val="en-GB"/>
        </w:rPr>
        <w:t xml:space="preserve">ccording to </w:t>
      </w:r>
      <w:r>
        <w:rPr>
          <w:bCs/>
          <w:lang w:val="en-GB"/>
        </w:rPr>
        <w:t>the said Schedule 3</w:t>
      </w:r>
      <w:r w:rsidR="00E21D7F">
        <w:rPr>
          <w:bCs/>
          <w:lang w:val="en-GB"/>
        </w:rPr>
        <w:t>, the plaintiff would only be required to attend around 40 consultation sessions</w:t>
      </w:r>
      <w:r>
        <w:rPr>
          <w:bCs/>
          <w:lang w:val="en-GB"/>
        </w:rPr>
        <w:t xml:space="preserve"> (in other words, less than 10% of the number of medical attendance claimed)</w:t>
      </w:r>
      <w:r w:rsidR="00E21D7F">
        <w:rPr>
          <w:bCs/>
          <w:lang w:val="en-GB"/>
        </w:rPr>
        <w:t xml:space="preserve">.  </w:t>
      </w:r>
    </w:p>
    <w:p w:rsidR="002D1549" w:rsidRDefault="002D1549" w:rsidP="002B7C06">
      <w:pPr>
        <w:pStyle w:val="ListParagraph"/>
        <w:spacing w:line="360" w:lineRule="auto"/>
        <w:rPr>
          <w:bCs/>
          <w:lang w:val="en-GB"/>
        </w:rPr>
      </w:pPr>
    </w:p>
    <w:p w:rsidR="00BA01A2" w:rsidRDefault="002D1549"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 will </w:t>
      </w:r>
      <w:r w:rsidR="00C6360F">
        <w:rPr>
          <w:bCs/>
          <w:lang w:val="en-GB"/>
        </w:rPr>
        <w:t xml:space="preserve">award </w:t>
      </w:r>
      <w:r>
        <w:rPr>
          <w:bCs/>
          <w:lang w:val="en-GB"/>
        </w:rPr>
        <w:t xml:space="preserve">the amount of </w:t>
      </w:r>
      <w:r w:rsidRPr="002D1549">
        <w:rPr>
          <w:b/>
          <w:bCs/>
          <w:lang w:val="en-GB"/>
        </w:rPr>
        <w:t>$600</w:t>
      </w:r>
      <w:r>
        <w:rPr>
          <w:bCs/>
          <w:lang w:val="en-GB"/>
        </w:rPr>
        <w:t xml:space="preserve"> </w:t>
      </w:r>
      <w:r w:rsidR="001506EF">
        <w:rPr>
          <w:bCs/>
          <w:lang w:val="en-GB"/>
        </w:rPr>
        <w:t xml:space="preserve">(10% of the claimed amount) </w:t>
      </w:r>
      <w:r>
        <w:rPr>
          <w:bCs/>
          <w:lang w:val="en-GB"/>
        </w:rPr>
        <w:t>under this head.</w:t>
      </w:r>
    </w:p>
    <w:p w:rsidR="00BA01A2" w:rsidRDefault="00BA01A2" w:rsidP="002B7C06">
      <w:pPr>
        <w:tabs>
          <w:tab w:val="clear" w:pos="4320"/>
          <w:tab w:val="clear" w:pos="9072"/>
        </w:tabs>
        <w:snapToGrid/>
        <w:spacing w:line="360" w:lineRule="auto"/>
        <w:jc w:val="both"/>
        <w:rPr>
          <w:bCs/>
          <w:lang w:val="en-GB"/>
        </w:rPr>
      </w:pPr>
    </w:p>
    <w:p w:rsidR="00BA01A2" w:rsidRDefault="00BA01A2" w:rsidP="002B7C06">
      <w:pPr>
        <w:tabs>
          <w:tab w:val="clear" w:pos="4320"/>
          <w:tab w:val="clear" w:pos="9072"/>
        </w:tabs>
        <w:snapToGrid/>
        <w:spacing w:line="360" w:lineRule="auto"/>
        <w:jc w:val="both"/>
        <w:rPr>
          <w:bCs/>
          <w:i/>
          <w:lang w:val="en-GB"/>
        </w:rPr>
      </w:pPr>
      <w:r w:rsidRPr="00BA01A2">
        <w:rPr>
          <w:bCs/>
          <w:i/>
          <w:lang w:val="en-GB"/>
        </w:rPr>
        <w:t>EXPENSES</w:t>
      </w:r>
      <w:r w:rsidR="00052276">
        <w:rPr>
          <w:bCs/>
          <w:i/>
          <w:lang w:val="en-GB"/>
        </w:rPr>
        <w:t xml:space="preserve"> FOR TONIC FOOD</w:t>
      </w:r>
    </w:p>
    <w:p w:rsidR="00BA01A2" w:rsidRPr="00BA01A2" w:rsidRDefault="00BA01A2" w:rsidP="002B7C06">
      <w:pPr>
        <w:tabs>
          <w:tab w:val="clear" w:pos="4320"/>
          <w:tab w:val="clear" w:pos="9072"/>
        </w:tabs>
        <w:snapToGrid/>
        <w:spacing w:line="360" w:lineRule="auto"/>
        <w:jc w:val="both"/>
        <w:rPr>
          <w:bCs/>
          <w:i/>
          <w:lang w:val="en-GB"/>
        </w:rPr>
      </w:pPr>
    </w:p>
    <w:p w:rsidR="00C66BBF" w:rsidRDefault="00052276" w:rsidP="002B7C06">
      <w:pPr>
        <w:numPr>
          <w:ilvl w:val="0"/>
          <w:numId w:val="2"/>
        </w:numPr>
        <w:tabs>
          <w:tab w:val="clear" w:pos="360"/>
          <w:tab w:val="clear" w:pos="4320"/>
          <w:tab w:val="clear" w:pos="9072"/>
        </w:tabs>
        <w:snapToGrid/>
        <w:spacing w:line="360" w:lineRule="auto"/>
        <w:jc w:val="both"/>
        <w:rPr>
          <w:bCs/>
          <w:lang w:val="en-GB"/>
        </w:rPr>
      </w:pPr>
      <w:r>
        <w:rPr>
          <w:bCs/>
          <w:lang w:val="en-GB"/>
        </w:rPr>
        <w:t>The plaintiff claim</w:t>
      </w:r>
      <w:r w:rsidR="00443D06">
        <w:rPr>
          <w:bCs/>
          <w:lang w:val="en-GB"/>
        </w:rPr>
        <w:t>s</w:t>
      </w:r>
      <w:r>
        <w:rPr>
          <w:bCs/>
          <w:lang w:val="en-GB"/>
        </w:rPr>
        <w:t xml:space="preserve"> $10,000 for tonic food.</w:t>
      </w:r>
    </w:p>
    <w:p w:rsidR="009436FF" w:rsidRDefault="009436FF" w:rsidP="002B7C06">
      <w:pPr>
        <w:tabs>
          <w:tab w:val="clear" w:pos="4320"/>
          <w:tab w:val="clear" w:pos="9072"/>
        </w:tabs>
        <w:snapToGrid/>
        <w:spacing w:line="360" w:lineRule="auto"/>
        <w:jc w:val="both"/>
        <w:rPr>
          <w:bCs/>
          <w:lang w:val="en-GB"/>
        </w:rPr>
      </w:pPr>
    </w:p>
    <w:p w:rsidR="0048097F" w:rsidRPr="00467293" w:rsidRDefault="0048097F" w:rsidP="002B7C06">
      <w:pPr>
        <w:numPr>
          <w:ilvl w:val="0"/>
          <w:numId w:val="2"/>
        </w:numPr>
        <w:tabs>
          <w:tab w:val="clear" w:pos="360"/>
          <w:tab w:val="clear" w:pos="4320"/>
          <w:tab w:val="clear" w:pos="9072"/>
        </w:tabs>
        <w:snapToGrid/>
        <w:spacing w:line="360" w:lineRule="auto"/>
        <w:jc w:val="both"/>
        <w:rPr>
          <w:bCs/>
          <w:lang w:val="en-GB"/>
        </w:rPr>
      </w:pPr>
      <w:r>
        <w:t xml:space="preserve">In </w:t>
      </w:r>
      <w:r w:rsidRPr="00467293">
        <w:rPr>
          <w:i/>
          <w:iCs/>
        </w:rPr>
        <w:t>King Light Industrial Ltd. v. Lo Wai Keung</w:t>
      </w:r>
      <w:r>
        <w:t xml:space="preserve"> [1994] 3 HKC 54, the Court of Appeal found that there was insuffi</w:t>
      </w:r>
      <w:r w:rsidR="00467293">
        <w:t xml:space="preserve">cient evidence </w:t>
      </w:r>
      <w:r>
        <w:t>to prove that the expenditure incurred on tonic food had been for the purpose of medical treatment of the plaintiff</w:t>
      </w:r>
      <w:r w:rsidR="00B77A7C">
        <w:t xml:space="preserve"> therein</w:t>
      </w:r>
      <w:r>
        <w:t>.  However, the Court</w:t>
      </w:r>
      <w:r w:rsidR="00B77A7C">
        <w:t xml:space="preserve"> considered </w:t>
      </w:r>
      <w:r>
        <w:t xml:space="preserve">it proper to follow the case of </w:t>
      </w:r>
      <w:r w:rsidRPr="00467293">
        <w:rPr>
          <w:i/>
          <w:iCs/>
        </w:rPr>
        <w:t>Yu Ki v. Chin Kit Lam</w:t>
      </w:r>
      <w:r>
        <w:t xml:space="preserve"> [1981] HKLR 419 and allow a nominal sum under this head where relatives of the plaintiff had spent money on food which the injured person or the relatives reasonably believed to be helpful in the recovery process even though there was no evidence to support the advisability or suitability of the food.</w:t>
      </w:r>
    </w:p>
    <w:p w:rsidR="0048097F" w:rsidRDefault="0048097F" w:rsidP="002B7C06">
      <w:pPr>
        <w:tabs>
          <w:tab w:val="left" w:pos="720"/>
        </w:tabs>
        <w:spacing w:line="360" w:lineRule="auto"/>
        <w:ind w:hanging="720"/>
        <w:jc w:val="both"/>
      </w:pPr>
    </w:p>
    <w:p w:rsidR="00467293" w:rsidRDefault="0048097F" w:rsidP="002B7C06">
      <w:pPr>
        <w:numPr>
          <w:ilvl w:val="0"/>
          <w:numId w:val="2"/>
        </w:numPr>
        <w:tabs>
          <w:tab w:val="clear" w:pos="360"/>
          <w:tab w:val="clear" w:pos="4320"/>
          <w:tab w:val="clear" w:pos="9072"/>
        </w:tabs>
        <w:snapToGrid/>
        <w:spacing w:line="360" w:lineRule="auto"/>
        <w:jc w:val="both"/>
      </w:pPr>
      <w:r>
        <w:t xml:space="preserve">The same approach had been adopted in </w:t>
      </w:r>
      <w:r w:rsidRPr="00467293">
        <w:rPr>
          <w:i/>
          <w:iCs/>
        </w:rPr>
        <w:t>To Wei Kei v. Vickcore Engineering Ltd. and Another</w:t>
      </w:r>
      <w:r>
        <w:t xml:space="preserve"> (HCPI 290/2000, unreported, 11</w:t>
      </w:r>
      <w:r w:rsidR="00467293">
        <w:t xml:space="preserve"> November 2002), in which</w:t>
      </w:r>
      <w:r>
        <w:t xml:space="preserve"> a sum of $10,000 was awarded where the deceased suffered from prolapsed C3/C4 disc with residual spinal cord compression and had been hospitalised for 3 months.</w:t>
      </w:r>
    </w:p>
    <w:p w:rsidR="00467293" w:rsidRDefault="00467293" w:rsidP="002B7C06">
      <w:pPr>
        <w:pStyle w:val="ListParagraph"/>
        <w:spacing w:line="360" w:lineRule="auto"/>
      </w:pPr>
    </w:p>
    <w:p w:rsidR="0048097F" w:rsidRDefault="0048097F" w:rsidP="002B7C06">
      <w:pPr>
        <w:numPr>
          <w:ilvl w:val="0"/>
          <w:numId w:val="2"/>
        </w:numPr>
        <w:tabs>
          <w:tab w:val="clear" w:pos="360"/>
          <w:tab w:val="clear" w:pos="4320"/>
          <w:tab w:val="clear" w:pos="9072"/>
        </w:tabs>
        <w:snapToGrid/>
        <w:spacing w:line="360" w:lineRule="auto"/>
        <w:jc w:val="both"/>
      </w:pPr>
      <w:r>
        <w:t xml:space="preserve">In the present case, there is no proof that any tonic food had been taken upon medical advice.  </w:t>
      </w:r>
      <w:r w:rsidR="00467293">
        <w:t xml:space="preserve"> I would follow the aforesaid approach and </w:t>
      </w:r>
      <w:r>
        <w:t xml:space="preserve">allow a nominal sum under this head.  I would adopt a figure of </w:t>
      </w:r>
      <w:r w:rsidR="00467293">
        <w:rPr>
          <w:b/>
          <w:bCs/>
        </w:rPr>
        <w:t>$3</w:t>
      </w:r>
      <w:r w:rsidRPr="00467293">
        <w:rPr>
          <w:b/>
          <w:bCs/>
        </w:rPr>
        <w:t>,000</w:t>
      </w:r>
      <w:r>
        <w:t>.</w:t>
      </w:r>
    </w:p>
    <w:p w:rsidR="00C66BBF" w:rsidRDefault="00C66BBF" w:rsidP="002B7C06">
      <w:pPr>
        <w:tabs>
          <w:tab w:val="clear" w:pos="4320"/>
          <w:tab w:val="clear" w:pos="9072"/>
        </w:tabs>
        <w:snapToGrid/>
        <w:spacing w:line="360" w:lineRule="auto"/>
        <w:jc w:val="both"/>
        <w:rPr>
          <w:bCs/>
          <w:lang w:val="en-GB"/>
        </w:rPr>
      </w:pPr>
    </w:p>
    <w:p w:rsidR="00C66BBF" w:rsidRDefault="00C66BBF" w:rsidP="002B7C06">
      <w:pPr>
        <w:tabs>
          <w:tab w:val="clear" w:pos="4320"/>
          <w:tab w:val="clear" w:pos="9072"/>
        </w:tabs>
        <w:snapToGrid/>
        <w:spacing w:line="360" w:lineRule="auto"/>
        <w:jc w:val="both"/>
        <w:rPr>
          <w:bCs/>
          <w:i/>
          <w:lang w:val="en-GB"/>
        </w:rPr>
      </w:pPr>
      <w:r w:rsidRPr="00C66BBF">
        <w:rPr>
          <w:bCs/>
          <w:i/>
          <w:lang w:val="en-GB"/>
        </w:rPr>
        <w:t>LOSS OF OPPORTUNITY</w:t>
      </w:r>
    </w:p>
    <w:p w:rsidR="00C66BBF" w:rsidRPr="00C66BBF" w:rsidRDefault="00C66BBF" w:rsidP="002B7C06">
      <w:pPr>
        <w:tabs>
          <w:tab w:val="clear" w:pos="4320"/>
          <w:tab w:val="clear" w:pos="9072"/>
        </w:tabs>
        <w:snapToGrid/>
        <w:spacing w:line="360" w:lineRule="auto"/>
        <w:jc w:val="both"/>
        <w:rPr>
          <w:bCs/>
          <w:i/>
          <w:lang w:val="en-GB"/>
        </w:rPr>
      </w:pPr>
    </w:p>
    <w:p w:rsidR="008201D8" w:rsidRPr="008201D8" w:rsidRDefault="007651B0" w:rsidP="002B7C06">
      <w:pPr>
        <w:numPr>
          <w:ilvl w:val="0"/>
          <w:numId w:val="2"/>
        </w:numPr>
        <w:tabs>
          <w:tab w:val="clear" w:pos="360"/>
          <w:tab w:val="clear" w:pos="4320"/>
          <w:tab w:val="clear" w:pos="9072"/>
        </w:tabs>
        <w:snapToGrid/>
        <w:spacing w:line="360" w:lineRule="auto"/>
        <w:jc w:val="both"/>
        <w:rPr>
          <w:bCs/>
          <w:lang w:val="en-GB"/>
        </w:rPr>
      </w:pPr>
      <w:r>
        <w:rPr>
          <w:bCs/>
          <w:lang w:val="en-GB"/>
        </w:rPr>
        <w:t>This claim was abandoned by the plaintiff at the trial</w:t>
      </w:r>
      <w:r w:rsidR="0022469B">
        <w:rPr>
          <w:bCs/>
          <w:lang w:val="en-GB"/>
        </w:rPr>
        <w:t>.</w:t>
      </w:r>
    </w:p>
    <w:p w:rsidR="008201D8" w:rsidRPr="008201D8" w:rsidRDefault="008201D8" w:rsidP="002B7C06">
      <w:pPr>
        <w:tabs>
          <w:tab w:val="clear" w:pos="1440"/>
          <w:tab w:val="clear" w:pos="4320"/>
          <w:tab w:val="clear" w:pos="9072"/>
          <w:tab w:val="left" w:pos="1418"/>
        </w:tabs>
        <w:snapToGrid/>
        <w:spacing w:line="360" w:lineRule="auto"/>
        <w:jc w:val="both"/>
        <w:rPr>
          <w:bCs/>
          <w:i/>
          <w:lang w:val="en-GB"/>
        </w:rPr>
      </w:pPr>
    </w:p>
    <w:p w:rsidR="008201D8" w:rsidRDefault="00BA01A2" w:rsidP="002B7C06">
      <w:pPr>
        <w:tabs>
          <w:tab w:val="clear" w:pos="1440"/>
          <w:tab w:val="clear" w:pos="4320"/>
          <w:tab w:val="clear" w:pos="9072"/>
          <w:tab w:val="left" w:pos="1418"/>
        </w:tabs>
        <w:snapToGrid/>
        <w:spacing w:line="360" w:lineRule="auto"/>
        <w:jc w:val="both"/>
        <w:rPr>
          <w:bCs/>
          <w:i/>
          <w:lang w:val="en-GB"/>
        </w:rPr>
      </w:pPr>
      <w:r>
        <w:rPr>
          <w:bCs/>
          <w:i/>
          <w:lang w:val="en-GB"/>
        </w:rPr>
        <w:t>LOSS OF EARNING CAPACITY</w:t>
      </w:r>
    </w:p>
    <w:p w:rsidR="0022469B" w:rsidRPr="008201D8" w:rsidRDefault="0022469B" w:rsidP="002B7C06">
      <w:pPr>
        <w:tabs>
          <w:tab w:val="clear" w:pos="1440"/>
          <w:tab w:val="clear" w:pos="4320"/>
          <w:tab w:val="clear" w:pos="9072"/>
          <w:tab w:val="left" w:pos="1418"/>
        </w:tabs>
        <w:snapToGrid/>
        <w:spacing w:line="360" w:lineRule="auto"/>
        <w:jc w:val="both"/>
        <w:rPr>
          <w:bCs/>
          <w:lang w:val="en-GB"/>
        </w:rPr>
      </w:pPr>
    </w:p>
    <w:p w:rsidR="00F77D4F" w:rsidRPr="00F77D4F" w:rsidRDefault="00F77D4F" w:rsidP="002B7C06">
      <w:pPr>
        <w:numPr>
          <w:ilvl w:val="0"/>
          <w:numId w:val="2"/>
        </w:numPr>
        <w:tabs>
          <w:tab w:val="clear" w:pos="360"/>
          <w:tab w:val="clear" w:pos="4320"/>
          <w:tab w:val="clear" w:pos="9072"/>
        </w:tabs>
        <w:snapToGrid/>
        <w:spacing w:line="360" w:lineRule="auto"/>
        <w:jc w:val="both"/>
        <w:rPr>
          <w:bCs/>
          <w:lang w:val="en-GB"/>
        </w:rPr>
      </w:pPr>
      <w:r>
        <w:t>In</w:t>
      </w:r>
      <w:r w:rsidRPr="0014269F">
        <w:t xml:space="preserve"> </w:t>
      </w:r>
      <w:r w:rsidRPr="0014269F">
        <w:rPr>
          <w:i/>
        </w:rPr>
        <w:t xml:space="preserve">Moeliker v. </w:t>
      </w:r>
      <w:r w:rsidR="00137D58">
        <w:rPr>
          <w:i/>
        </w:rPr>
        <w:t xml:space="preserve">A </w:t>
      </w:r>
      <w:r w:rsidRPr="00137D58">
        <w:rPr>
          <w:i/>
        </w:rPr>
        <w:t xml:space="preserve">Reyrolle </w:t>
      </w:r>
      <w:r w:rsidR="00137D58" w:rsidRPr="00137D58">
        <w:rPr>
          <w:i/>
        </w:rPr>
        <w:t>and Co Ltd</w:t>
      </w:r>
      <w:r w:rsidR="00137D58">
        <w:t xml:space="preserve"> </w:t>
      </w:r>
      <w:r w:rsidRPr="0014269F">
        <w:t>[1977] 1 WLR 132 at 140</w:t>
      </w:r>
      <w:r>
        <w:t>A – B</w:t>
      </w:r>
      <w:r w:rsidRPr="0014269F">
        <w:t xml:space="preserve"> </w:t>
      </w:r>
      <w:r>
        <w:t xml:space="preserve">(which was </w:t>
      </w:r>
      <w:r w:rsidRPr="0014269F">
        <w:t xml:space="preserve">approved in </w:t>
      </w:r>
      <w:r w:rsidRPr="0014269F">
        <w:rPr>
          <w:i/>
        </w:rPr>
        <w:t>Kings Light Industrial Limited v Lo Wai Keung</w:t>
      </w:r>
      <w:r w:rsidRPr="0014269F">
        <w:t xml:space="preserve"> [1994] 3 HKC 54 at 62 B – G)</w:t>
      </w:r>
      <w:r>
        <w:t>, it was held that:</w:t>
      </w:r>
    </w:p>
    <w:p w:rsidR="008201D8" w:rsidRPr="00F77D4F" w:rsidRDefault="00F77D4F" w:rsidP="00F77D4F">
      <w:pPr>
        <w:tabs>
          <w:tab w:val="clear" w:pos="4320"/>
          <w:tab w:val="clear" w:pos="9072"/>
        </w:tabs>
        <w:snapToGrid/>
        <w:ind w:left="1440" w:right="746"/>
        <w:jc w:val="both"/>
        <w:rPr>
          <w:bCs/>
          <w:sz w:val="24"/>
          <w:szCs w:val="24"/>
        </w:rPr>
      </w:pPr>
      <w:r w:rsidRPr="00F77D4F">
        <w:rPr>
          <w:sz w:val="24"/>
          <w:szCs w:val="24"/>
        </w:rPr>
        <w:t>“This head of damage generally only arises where a plaintiff is, at the time of the trial, in employment, but there is a risk that he may lose this employment at some time in the future, and may then, as a result of his injury, be at a disadvantage in getting another job or an equally well paid job.  It is a different head of damages from an actual loss of future earnings which can already be proved at the time of the trial.”</w:t>
      </w: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Default="00F77D4F" w:rsidP="004B4CD4">
      <w:pPr>
        <w:numPr>
          <w:ilvl w:val="0"/>
          <w:numId w:val="2"/>
        </w:numPr>
        <w:tabs>
          <w:tab w:val="clear" w:pos="360"/>
          <w:tab w:val="clear" w:pos="4320"/>
          <w:tab w:val="clear" w:pos="9072"/>
        </w:tabs>
        <w:snapToGrid/>
        <w:spacing w:line="360" w:lineRule="auto"/>
        <w:jc w:val="both"/>
        <w:rPr>
          <w:bCs/>
          <w:lang w:val="en-GB"/>
        </w:rPr>
      </w:pPr>
      <w:r>
        <w:rPr>
          <w:bCs/>
          <w:lang w:val="en-GB"/>
        </w:rPr>
        <w:t xml:space="preserve">In </w:t>
      </w:r>
      <w:r w:rsidRPr="00F77D4F">
        <w:rPr>
          <w:bCs/>
          <w:i/>
          <w:lang w:val="en-GB"/>
        </w:rPr>
        <w:t>Moeliker</w:t>
      </w:r>
      <w:r>
        <w:rPr>
          <w:bCs/>
          <w:lang w:val="en-GB"/>
        </w:rPr>
        <w:t>, Browne L.J. further explained that:</w:t>
      </w:r>
    </w:p>
    <w:p w:rsidR="00F77D4F" w:rsidRPr="00F77D4F" w:rsidRDefault="00F77D4F" w:rsidP="00F77D4F">
      <w:pPr>
        <w:tabs>
          <w:tab w:val="clear" w:pos="4320"/>
          <w:tab w:val="clear" w:pos="9072"/>
        </w:tabs>
        <w:snapToGrid/>
        <w:ind w:left="1440" w:right="746"/>
        <w:jc w:val="both"/>
        <w:rPr>
          <w:bCs/>
          <w:sz w:val="24"/>
          <w:szCs w:val="24"/>
          <w:lang w:val="en-GB"/>
        </w:rPr>
      </w:pPr>
      <w:r w:rsidRPr="00F77D4F">
        <w:rPr>
          <w:rFonts w:eastAsia="PMingLiU"/>
          <w:sz w:val="24"/>
          <w:szCs w:val="24"/>
          <w:lang w:eastAsia="zh-TW"/>
        </w:rPr>
        <w:t xml:space="preserve">“I do not think one can say more by way of principle than this.  The consideration of this head of damages should be made in two stages.  1. Is there a ‘substantial’ or ‘real’ risk that a plaintiff </w:t>
      </w:r>
      <w:r w:rsidRPr="00F77D4F">
        <w:rPr>
          <w:sz w:val="24"/>
          <w:szCs w:val="24"/>
        </w:rPr>
        <w:t xml:space="preserve">will lose his present job at some time before the estimated end of his working life? 2. If there is (but not otherwise), the court must assess and quantify the present value of the risk of the financial damage which the plaintiff will suffer if that risk materialise, having regard to the degree of the risk, the time when it may materialise, and the factors, both favourable and unfavourable, which in a particular case will, or may, affect the plaintiff’s chances of getting a job at all, or an equally well paid job.” (see </w:t>
      </w:r>
      <w:r w:rsidRPr="00F77D4F">
        <w:rPr>
          <w:i/>
          <w:sz w:val="24"/>
          <w:szCs w:val="24"/>
        </w:rPr>
        <w:t>Moeliker v. Reyrolle</w:t>
      </w:r>
      <w:r w:rsidRPr="00F77D4F">
        <w:rPr>
          <w:sz w:val="24"/>
          <w:szCs w:val="24"/>
        </w:rPr>
        <w:t xml:space="preserve"> [1977] 1 WLR 132 at 142A – C)</w:t>
      </w:r>
    </w:p>
    <w:p w:rsidR="00F77D4F" w:rsidRDefault="00F77D4F" w:rsidP="005B58B7">
      <w:pPr>
        <w:tabs>
          <w:tab w:val="clear" w:pos="4320"/>
          <w:tab w:val="clear" w:pos="9072"/>
        </w:tabs>
        <w:snapToGrid/>
        <w:spacing w:line="360" w:lineRule="auto"/>
        <w:jc w:val="both"/>
        <w:rPr>
          <w:bCs/>
          <w:lang w:val="en-GB"/>
        </w:rPr>
      </w:pPr>
    </w:p>
    <w:p w:rsidR="005B58B7" w:rsidRDefault="005B58B7"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 will have residual intermittent pain even though such pain should be modest.  </w:t>
      </w:r>
    </w:p>
    <w:p w:rsidR="00CB2715" w:rsidRDefault="00CB2715" w:rsidP="002B7C06">
      <w:pPr>
        <w:tabs>
          <w:tab w:val="clear" w:pos="4320"/>
          <w:tab w:val="clear" w:pos="9072"/>
        </w:tabs>
        <w:snapToGrid/>
        <w:spacing w:line="360" w:lineRule="auto"/>
        <w:jc w:val="both"/>
        <w:rPr>
          <w:bCs/>
          <w:lang w:val="en-GB"/>
        </w:rPr>
      </w:pPr>
    </w:p>
    <w:p w:rsidR="005B58B7" w:rsidRDefault="005B58B7" w:rsidP="002B7C06">
      <w:pPr>
        <w:numPr>
          <w:ilvl w:val="0"/>
          <w:numId w:val="2"/>
        </w:numPr>
        <w:tabs>
          <w:tab w:val="clear" w:pos="360"/>
          <w:tab w:val="clear" w:pos="4320"/>
          <w:tab w:val="clear" w:pos="9072"/>
        </w:tabs>
        <w:snapToGrid/>
        <w:spacing w:line="360" w:lineRule="auto"/>
        <w:jc w:val="both"/>
        <w:rPr>
          <w:bCs/>
          <w:lang w:val="en-GB"/>
        </w:rPr>
      </w:pPr>
      <w:r>
        <w:rPr>
          <w:bCs/>
          <w:lang w:val="en-GB"/>
        </w:rPr>
        <w:t>The plaintiff is currently only 32 years old.  It is expected that he will still have a long working life ahead of him.</w:t>
      </w:r>
    </w:p>
    <w:p w:rsidR="00CB2715" w:rsidRDefault="00CB2715" w:rsidP="002B7C06">
      <w:pPr>
        <w:tabs>
          <w:tab w:val="clear" w:pos="4320"/>
          <w:tab w:val="clear" w:pos="9072"/>
        </w:tabs>
        <w:snapToGrid/>
        <w:spacing w:line="360" w:lineRule="auto"/>
        <w:jc w:val="both"/>
        <w:rPr>
          <w:bCs/>
          <w:lang w:val="en-GB"/>
        </w:rPr>
      </w:pPr>
    </w:p>
    <w:p w:rsidR="005B58B7" w:rsidRPr="00CB2715" w:rsidRDefault="00CB2715"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Parties agreed that the damages under this head should be assessed by using the base figure of $20,000.  </w:t>
      </w:r>
      <w:r w:rsidR="00B978C9">
        <w:rPr>
          <w:bCs/>
          <w:lang w:val="en-GB"/>
        </w:rPr>
        <w:t xml:space="preserve">Mr Lam suggested that </w:t>
      </w:r>
      <w:r w:rsidR="00B978C9" w:rsidRPr="00B978C9">
        <w:rPr>
          <w:b/>
          <w:bCs/>
          <w:lang w:val="en-GB"/>
        </w:rPr>
        <w:t>$150,000</w:t>
      </w:r>
      <w:r w:rsidR="00B978C9">
        <w:rPr>
          <w:bCs/>
          <w:lang w:val="en-GB"/>
        </w:rPr>
        <w:t xml:space="preserve"> (which is around 7.5 months’ salary) should be awarded.  This is a reasonable amount, and </w:t>
      </w:r>
      <w:r w:rsidR="005B58B7">
        <w:rPr>
          <w:bCs/>
          <w:lang w:val="en-GB"/>
        </w:rPr>
        <w:t xml:space="preserve">I will therefore </w:t>
      </w:r>
      <w:r w:rsidR="00B978C9">
        <w:rPr>
          <w:bCs/>
          <w:lang w:val="en-GB"/>
        </w:rPr>
        <w:t>award this sum accordingly</w:t>
      </w:r>
      <w:r w:rsidRPr="00CB2715">
        <w:rPr>
          <w:bCs/>
          <w:lang w:val="en-GB"/>
        </w:rPr>
        <w:t>.</w:t>
      </w:r>
    </w:p>
    <w:p w:rsidR="008201D8" w:rsidRDefault="008201D8" w:rsidP="002B7C06">
      <w:pPr>
        <w:tabs>
          <w:tab w:val="clear" w:pos="1440"/>
          <w:tab w:val="clear" w:pos="4320"/>
          <w:tab w:val="clear" w:pos="9072"/>
          <w:tab w:val="left" w:pos="1418"/>
        </w:tabs>
        <w:snapToGrid/>
        <w:spacing w:line="360" w:lineRule="auto"/>
        <w:jc w:val="both"/>
        <w:rPr>
          <w:bCs/>
          <w:i/>
          <w:lang w:val="en-GB"/>
        </w:rPr>
      </w:pPr>
    </w:p>
    <w:p w:rsidR="008201D8" w:rsidRDefault="00BA01A2" w:rsidP="002B7C06">
      <w:pPr>
        <w:tabs>
          <w:tab w:val="clear" w:pos="1440"/>
          <w:tab w:val="clear" w:pos="4320"/>
          <w:tab w:val="clear" w:pos="9072"/>
          <w:tab w:val="left" w:pos="1418"/>
        </w:tabs>
        <w:snapToGrid/>
        <w:spacing w:line="360" w:lineRule="auto"/>
        <w:jc w:val="both"/>
        <w:rPr>
          <w:bCs/>
          <w:i/>
          <w:lang w:val="en-GB"/>
        </w:rPr>
      </w:pPr>
      <w:r>
        <w:rPr>
          <w:bCs/>
          <w:i/>
          <w:lang w:val="en-GB"/>
        </w:rPr>
        <w:t>PSLA</w:t>
      </w:r>
    </w:p>
    <w:p w:rsidR="004B4CD4" w:rsidRPr="008201D8" w:rsidRDefault="004B4CD4" w:rsidP="002B7C06">
      <w:pPr>
        <w:tabs>
          <w:tab w:val="clear" w:pos="1440"/>
          <w:tab w:val="clear" w:pos="4320"/>
          <w:tab w:val="clear" w:pos="9072"/>
          <w:tab w:val="left" w:pos="1418"/>
        </w:tabs>
        <w:snapToGrid/>
        <w:spacing w:line="360" w:lineRule="auto"/>
        <w:jc w:val="both"/>
        <w:rPr>
          <w:bCs/>
          <w:i/>
          <w:lang w:val="en-GB"/>
        </w:rPr>
      </w:pPr>
    </w:p>
    <w:p w:rsidR="008201D8" w:rsidRDefault="00AB28F1"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Mr Lam has referred this court to </w:t>
      </w:r>
      <w:r w:rsidRPr="00AB28F1">
        <w:rPr>
          <w:bCs/>
          <w:i/>
          <w:lang w:val="en-GB"/>
        </w:rPr>
        <w:t>Ali Shoukat v Hang Seng Bank Limited</w:t>
      </w:r>
      <w:r>
        <w:rPr>
          <w:bCs/>
          <w:lang w:val="en-GB"/>
        </w:rPr>
        <w:t xml:space="preserve"> (HCPI 3</w:t>
      </w:r>
      <w:r>
        <w:rPr>
          <w:rFonts w:hint="eastAsia"/>
          <w:bCs/>
          <w:lang w:val="en-GB"/>
        </w:rPr>
        <w:t>/2003, unreported, 23 June 2004) and</w:t>
      </w:r>
      <w:r>
        <w:rPr>
          <w:bCs/>
          <w:lang w:val="en-GB"/>
        </w:rPr>
        <w:t xml:space="preserve"> </w:t>
      </w:r>
      <w:r w:rsidRPr="00AB28F1">
        <w:rPr>
          <w:bCs/>
          <w:i/>
          <w:lang w:val="en-GB"/>
        </w:rPr>
        <w:t>Altaf Ahmed v Innovative Network Engineering Company Limited &amp; Another</w:t>
      </w:r>
      <w:r>
        <w:rPr>
          <w:bCs/>
          <w:lang w:val="en-GB"/>
        </w:rPr>
        <w:t xml:space="preserve"> (HCPI 237/2008, unreported, 21 December 2010) and submitted that </w:t>
      </w:r>
      <w:r w:rsidR="00DB0E66">
        <w:rPr>
          <w:bCs/>
          <w:lang w:val="en-GB"/>
        </w:rPr>
        <w:t>the appropriate amount for the damages for PSLA</w:t>
      </w:r>
      <w:r>
        <w:rPr>
          <w:bCs/>
          <w:lang w:val="en-GB"/>
        </w:rPr>
        <w:t xml:space="preserve"> is $400,000</w:t>
      </w:r>
      <w:r w:rsidR="008201D8" w:rsidRPr="008201D8">
        <w:rPr>
          <w:bCs/>
          <w:lang w:val="en-GB"/>
        </w:rPr>
        <w:t>.</w:t>
      </w:r>
    </w:p>
    <w:p w:rsidR="002B558A" w:rsidRDefault="002B558A" w:rsidP="002B7C06">
      <w:pPr>
        <w:tabs>
          <w:tab w:val="clear" w:pos="4320"/>
          <w:tab w:val="clear" w:pos="9072"/>
        </w:tabs>
        <w:snapToGrid/>
        <w:spacing w:line="360" w:lineRule="auto"/>
        <w:jc w:val="both"/>
        <w:rPr>
          <w:bCs/>
          <w:lang w:val="en-GB"/>
        </w:rPr>
      </w:pPr>
    </w:p>
    <w:p w:rsidR="00104283" w:rsidRDefault="00104283"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On the other hand, </w:t>
      </w:r>
      <w:r w:rsidR="00BA652C">
        <w:rPr>
          <w:bCs/>
          <w:lang w:val="en-GB"/>
        </w:rPr>
        <w:t xml:space="preserve">Ms Kwok submitted that the court should take into account the authorities of </w:t>
      </w:r>
      <w:r w:rsidR="00BA652C" w:rsidRPr="00BA652C">
        <w:rPr>
          <w:bCs/>
          <w:i/>
          <w:lang w:val="en-GB"/>
        </w:rPr>
        <w:t>Chu Sio Iong v Cheung Ho Yin &amp; Another</w:t>
      </w:r>
      <w:r w:rsidR="00BA652C">
        <w:rPr>
          <w:bCs/>
          <w:lang w:val="en-GB"/>
        </w:rPr>
        <w:t xml:space="preserve"> (DCPI 580/2011, unreported, 7 May 2013), </w:t>
      </w:r>
      <w:r w:rsidR="00BA652C" w:rsidRPr="00BA652C">
        <w:rPr>
          <w:bCs/>
          <w:i/>
          <w:lang w:val="en-GB"/>
        </w:rPr>
        <w:t xml:space="preserve">Hussain Basharat </w:t>
      </w:r>
      <w:r w:rsidR="00BA652C" w:rsidRPr="00BA652C">
        <w:rPr>
          <w:rFonts w:hint="eastAsia"/>
          <w:bCs/>
          <w:i/>
          <w:lang w:val="en-GB"/>
        </w:rPr>
        <w:t>v</w:t>
      </w:r>
      <w:r w:rsidR="00BA652C" w:rsidRPr="00BA652C">
        <w:rPr>
          <w:bCs/>
          <w:i/>
          <w:lang w:val="en-GB"/>
        </w:rPr>
        <w:t xml:space="preserve"> </w:t>
      </w:r>
      <w:r w:rsidR="00CB2715" w:rsidRPr="00CB2715">
        <w:rPr>
          <w:i/>
        </w:rPr>
        <w:t>曾慶</w:t>
      </w:r>
      <w:r w:rsidR="00CB2715" w:rsidRPr="00CB2715">
        <w:rPr>
          <w:rFonts w:ascii="SimSun" w:hAnsi="SimSun" w:cs="SimSun" w:hint="eastAsia"/>
          <w:i/>
        </w:rPr>
        <w:t>裕</w:t>
      </w:r>
      <w:r w:rsidR="00BA652C" w:rsidRPr="00BA652C">
        <w:rPr>
          <w:bCs/>
          <w:i/>
          <w:lang w:val="en-GB"/>
        </w:rPr>
        <w:t xml:space="preserve"> &amp; Another</w:t>
      </w:r>
      <w:r w:rsidR="00BA652C">
        <w:rPr>
          <w:bCs/>
          <w:lang w:val="en-GB"/>
        </w:rPr>
        <w:t xml:space="preserve"> (DCPI 508/2012, unreported, 1 June 2015), </w:t>
      </w:r>
      <w:r w:rsidR="00BA652C" w:rsidRPr="00BA652C">
        <w:rPr>
          <w:bCs/>
          <w:i/>
          <w:lang w:val="en-GB"/>
        </w:rPr>
        <w:t>Li Cheuk Lam v Cheung Sun Tai &amp; Others</w:t>
      </w:r>
      <w:r w:rsidR="00BA652C">
        <w:rPr>
          <w:bCs/>
          <w:lang w:val="en-GB"/>
        </w:rPr>
        <w:t xml:space="preserve"> (HCPI 1102/2015, unreported, 13 October 2017) and </w:t>
      </w:r>
      <w:r w:rsidR="00BA652C" w:rsidRPr="00BA652C">
        <w:rPr>
          <w:bCs/>
          <w:i/>
          <w:lang w:val="en-GB"/>
        </w:rPr>
        <w:t>Cheung Sau Lin v Tsui Wah Efford Management Limited</w:t>
      </w:r>
      <w:r w:rsidR="00BA652C">
        <w:rPr>
          <w:bCs/>
          <w:lang w:val="en-GB"/>
        </w:rPr>
        <w:t xml:space="preserve"> [2019] HKCFI 1960 and submitted that only $100,000 should be awarded as damages for PSLA.</w:t>
      </w:r>
    </w:p>
    <w:p w:rsidR="002B558A" w:rsidRDefault="002B558A" w:rsidP="002B7C06">
      <w:pPr>
        <w:tabs>
          <w:tab w:val="clear" w:pos="4320"/>
          <w:tab w:val="clear" w:pos="9072"/>
        </w:tabs>
        <w:snapToGrid/>
        <w:spacing w:line="360" w:lineRule="auto"/>
        <w:jc w:val="both"/>
        <w:rPr>
          <w:bCs/>
          <w:lang w:val="en-GB"/>
        </w:rPr>
      </w:pPr>
    </w:p>
    <w:p w:rsidR="002B558A" w:rsidRDefault="00104283"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 have already set out my findings on the plaintiff’s </w:t>
      </w:r>
      <w:r w:rsidR="00313D20">
        <w:rPr>
          <w:bCs/>
          <w:lang w:val="en-GB"/>
        </w:rPr>
        <w:t>injuries, treatments and medical</w:t>
      </w:r>
      <w:r>
        <w:rPr>
          <w:bCs/>
          <w:lang w:val="en-GB"/>
        </w:rPr>
        <w:t xml:space="preserve"> conditions above and I am not going to repeat them here.  </w:t>
      </w:r>
    </w:p>
    <w:p w:rsidR="002B558A" w:rsidRDefault="002B558A" w:rsidP="002B7C06">
      <w:pPr>
        <w:pStyle w:val="ListParagraph"/>
        <w:spacing w:line="360" w:lineRule="auto"/>
        <w:rPr>
          <w:bCs/>
          <w:lang w:val="en-GB"/>
        </w:rPr>
      </w:pPr>
    </w:p>
    <w:p w:rsidR="00DB0E66" w:rsidRDefault="00104283"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In my view, </w:t>
      </w:r>
      <w:r w:rsidR="00CB2715">
        <w:rPr>
          <w:bCs/>
          <w:lang w:val="en-GB"/>
        </w:rPr>
        <w:t xml:space="preserve">subject to my ruling below on discount, </w:t>
      </w:r>
      <w:r>
        <w:rPr>
          <w:bCs/>
          <w:lang w:val="en-GB"/>
        </w:rPr>
        <w:t xml:space="preserve">the appropriate amount of damages is </w:t>
      </w:r>
      <w:r w:rsidR="002B558A" w:rsidRPr="005166DD">
        <w:rPr>
          <w:b/>
          <w:bCs/>
          <w:lang w:val="en-GB"/>
        </w:rPr>
        <w:t>$2</w:t>
      </w:r>
      <w:r w:rsidR="00A624D7" w:rsidRPr="005166DD">
        <w:rPr>
          <w:b/>
          <w:bCs/>
          <w:lang w:val="en-GB"/>
        </w:rPr>
        <w:t>5</w:t>
      </w:r>
      <w:r w:rsidR="002B558A" w:rsidRPr="005166DD">
        <w:rPr>
          <w:b/>
          <w:bCs/>
          <w:lang w:val="en-GB"/>
        </w:rPr>
        <w:t>0,000</w:t>
      </w:r>
      <w:r>
        <w:rPr>
          <w:bCs/>
          <w:lang w:val="en-GB"/>
        </w:rPr>
        <w:t xml:space="preserve">. </w:t>
      </w:r>
    </w:p>
    <w:p w:rsidR="00017AE0" w:rsidRDefault="00017AE0" w:rsidP="002B7C06">
      <w:pPr>
        <w:pStyle w:val="ListParagraph"/>
        <w:spacing w:line="360" w:lineRule="auto"/>
        <w:ind w:left="0"/>
        <w:rPr>
          <w:bCs/>
          <w:lang w:val="en-GB"/>
        </w:rPr>
      </w:pPr>
    </w:p>
    <w:p w:rsidR="00017AE0" w:rsidRPr="00017AE0" w:rsidRDefault="00017AE0" w:rsidP="002B7C06">
      <w:pPr>
        <w:pStyle w:val="ListParagraph"/>
        <w:spacing w:line="360" w:lineRule="auto"/>
        <w:ind w:left="0"/>
        <w:rPr>
          <w:bCs/>
          <w:i/>
          <w:lang w:val="en-GB"/>
        </w:rPr>
      </w:pPr>
      <w:r w:rsidRPr="00017AE0">
        <w:rPr>
          <w:bCs/>
          <w:i/>
          <w:lang w:val="en-GB"/>
        </w:rPr>
        <w:t>PRE-EXISTING CONDITION</w:t>
      </w:r>
    </w:p>
    <w:p w:rsidR="00017AE0" w:rsidRDefault="00017AE0" w:rsidP="002B7C06">
      <w:pPr>
        <w:pStyle w:val="ListParagraph"/>
        <w:spacing w:line="360" w:lineRule="auto"/>
        <w:ind w:left="0"/>
        <w:rPr>
          <w:bCs/>
          <w:lang w:val="en-GB"/>
        </w:rPr>
      </w:pPr>
    </w:p>
    <w:p w:rsidR="00113618" w:rsidRDefault="00113618" w:rsidP="002B7C06">
      <w:pPr>
        <w:numPr>
          <w:ilvl w:val="0"/>
          <w:numId w:val="2"/>
        </w:numPr>
        <w:tabs>
          <w:tab w:val="clear" w:pos="360"/>
          <w:tab w:val="clear" w:pos="4320"/>
          <w:tab w:val="clear" w:pos="9072"/>
        </w:tabs>
        <w:snapToGrid/>
        <w:spacing w:line="360" w:lineRule="auto"/>
        <w:jc w:val="both"/>
        <w:rPr>
          <w:bCs/>
          <w:lang w:val="en-GB"/>
        </w:rPr>
      </w:pPr>
      <w:r>
        <w:rPr>
          <w:bCs/>
          <w:lang w:val="en-GB"/>
        </w:rPr>
        <w:t>MRI done on 23 April 2016 revealed that the plaintiff ha</w:t>
      </w:r>
      <w:r w:rsidR="00554D57">
        <w:rPr>
          <w:bCs/>
          <w:lang w:val="en-GB"/>
        </w:rPr>
        <w:t>d</w:t>
      </w:r>
      <w:r>
        <w:rPr>
          <w:bCs/>
          <w:lang w:val="en-GB"/>
        </w:rPr>
        <w:t xml:space="preserve"> the following pre-existing conditions:</w:t>
      </w:r>
    </w:p>
    <w:p w:rsidR="005166DD" w:rsidRDefault="005166DD" w:rsidP="002B7C06">
      <w:pPr>
        <w:tabs>
          <w:tab w:val="clear" w:pos="4320"/>
          <w:tab w:val="clear" w:pos="9072"/>
        </w:tabs>
        <w:snapToGrid/>
        <w:spacing w:line="360" w:lineRule="auto"/>
        <w:jc w:val="both"/>
        <w:rPr>
          <w:bCs/>
          <w:lang w:val="en-GB"/>
        </w:rPr>
      </w:pPr>
    </w:p>
    <w:p w:rsidR="00113618" w:rsidRDefault="00113618" w:rsidP="002B7C06">
      <w:pPr>
        <w:numPr>
          <w:ilvl w:val="2"/>
          <w:numId w:val="2"/>
        </w:numPr>
        <w:tabs>
          <w:tab w:val="clear" w:pos="4320"/>
          <w:tab w:val="clear" w:pos="9072"/>
        </w:tabs>
        <w:snapToGrid/>
        <w:spacing w:line="360" w:lineRule="auto"/>
        <w:jc w:val="both"/>
        <w:rPr>
          <w:bCs/>
          <w:lang w:val="en-GB"/>
        </w:rPr>
      </w:pPr>
      <w:r>
        <w:rPr>
          <w:bCs/>
          <w:lang w:val="en-GB"/>
        </w:rPr>
        <w:t>Bilateral L5 pars defect;</w:t>
      </w:r>
    </w:p>
    <w:p w:rsidR="00113618" w:rsidRDefault="00113618" w:rsidP="002B7C06">
      <w:pPr>
        <w:numPr>
          <w:ilvl w:val="2"/>
          <w:numId w:val="2"/>
        </w:numPr>
        <w:tabs>
          <w:tab w:val="clear" w:pos="4320"/>
          <w:tab w:val="clear" w:pos="9072"/>
        </w:tabs>
        <w:snapToGrid/>
        <w:spacing w:line="360" w:lineRule="auto"/>
        <w:jc w:val="both"/>
        <w:rPr>
          <w:bCs/>
          <w:lang w:val="en-GB"/>
        </w:rPr>
      </w:pPr>
      <w:r>
        <w:rPr>
          <w:bCs/>
          <w:lang w:val="en-GB"/>
        </w:rPr>
        <w:t>Minimal lumbar spondylosis;</w:t>
      </w:r>
    </w:p>
    <w:p w:rsidR="00113618" w:rsidRDefault="00113618" w:rsidP="002B7C06">
      <w:pPr>
        <w:numPr>
          <w:ilvl w:val="2"/>
          <w:numId w:val="2"/>
        </w:numPr>
        <w:tabs>
          <w:tab w:val="clear" w:pos="4320"/>
          <w:tab w:val="clear" w:pos="9072"/>
        </w:tabs>
        <w:snapToGrid/>
        <w:spacing w:line="360" w:lineRule="auto"/>
        <w:jc w:val="both"/>
        <w:rPr>
          <w:bCs/>
          <w:lang w:val="en-GB"/>
        </w:rPr>
      </w:pPr>
      <w:r>
        <w:rPr>
          <w:bCs/>
          <w:lang w:val="en-GB"/>
        </w:rPr>
        <w:t>Mild PID L4/5 with annulus tear.</w:t>
      </w:r>
    </w:p>
    <w:p w:rsidR="00113618" w:rsidRDefault="00113618" w:rsidP="002B7C06">
      <w:pPr>
        <w:tabs>
          <w:tab w:val="clear" w:pos="4320"/>
          <w:tab w:val="clear" w:pos="9072"/>
        </w:tabs>
        <w:snapToGrid/>
        <w:spacing w:line="360" w:lineRule="auto"/>
        <w:ind w:left="2040"/>
        <w:jc w:val="both"/>
        <w:rPr>
          <w:bCs/>
          <w:lang w:val="en-GB"/>
        </w:rPr>
      </w:pPr>
    </w:p>
    <w:p w:rsidR="00113618" w:rsidRDefault="00F5117C"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The plaintiff was only </w:t>
      </w:r>
      <w:r w:rsidR="00FB133B">
        <w:rPr>
          <w:bCs/>
          <w:lang w:val="en-GB"/>
        </w:rPr>
        <w:t xml:space="preserve">around 27 years old at the time of the accident.  </w:t>
      </w:r>
      <w:r w:rsidR="00113618">
        <w:rPr>
          <w:bCs/>
          <w:lang w:val="en-GB"/>
        </w:rPr>
        <w:t>I accept that the pre-existing conditions were asymptomatic</w:t>
      </w:r>
      <w:r w:rsidR="00FB133B">
        <w:rPr>
          <w:bCs/>
          <w:lang w:val="en-GB"/>
        </w:rPr>
        <w:t xml:space="preserve"> before the accident. </w:t>
      </w:r>
    </w:p>
    <w:p w:rsidR="005166DD" w:rsidRDefault="005166DD" w:rsidP="002B7C06">
      <w:pPr>
        <w:tabs>
          <w:tab w:val="clear" w:pos="4320"/>
          <w:tab w:val="clear" w:pos="9072"/>
        </w:tabs>
        <w:snapToGrid/>
        <w:spacing w:line="360" w:lineRule="auto"/>
        <w:jc w:val="both"/>
        <w:rPr>
          <w:bCs/>
          <w:lang w:val="en-GB"/>
        </w:rPr>
      </w:pPr>
    </w:p>
    <w:p w:rsidR="00D23E0A" w:rsidRDefault="00D23E0A" w:rsidP="002B7C06">
      <w:pPr>
        <w:numPr>
          <w:ilvl w:val="0"/>
          <w:numId w:val="2"/>
        </w:numPr>
        <w:tabs>
          <w:tab w:val="clear" w:pos="360"/>
          <w:tab w:val="clear" w:pos="4320"/>
          <w:tab w:val="clear" w:pos="9072"/>
        </w:tabs>
        <w:snapToGrid/>
        <w:spacing w:line="360" w:lineRule="auto"/>
        <w:jc w:val="both"/>
        <w:rPr>
          <w:bCs/>
          <w:lang w:val="en-GB"/>
        </w:rPr>
      </w:pPr>
      <w:r>
        <w:rPr>
          <w:bCs/>
          <w:lang w:val="en-GB"/>
        </w:rPr>
        <w:t>Dr Chun stated that “for the pre-existing degeneration of the lumber spine, there is 5% whole person impairment which should be pre-existing”</w:t>
      </w:r>
      <w:r>
        <w:rPr>
          <w:rStyle w:val="FootnoteReference"/>
          <w:bCs/>
          <w:lang w:val="en-GB"/>
        </w:rPr>
        <w:footnoteReference w:id="35"/>
      </w:r>
      <w:r>
        <w:rPr>
          <w:bCs/>
          <w:lang w:val="en-GB"/>
        </w:rPr>
        <w:t>.  He apportioned 3% whole person impairment to the accident on 8 October 2015 in triggering or aggravating the pre-existing condition.  The figure of 3% was smaller than that given by him in his report dated 15 July 2016 in which he said 4% out of the total of 5% was attributable to the injury.</w:t>
      </w:r>
      <w:r w:rsidR="00554D57">
        <w:rPr>
          <w:rStyle w:val="FootnoteReference"/>
          <w:bCs/>
          <w:lang w:val="en-GB"/>
        </w:rPr>
        <w:footnoteReference w:id="36"/>
      </w:r>
      <w:r>
        <w:rPr>
          <w:bCs/>
          <w:lang w:val="en-GB"/>
        </w:rPr>
        <w:t xml:space="preserve"> </w:t>
      </w:r>
    </w:p>
    <w:p w:rsidR="00D23E0A" w:rsidRDefault="00D23E0A" w:rsidP="002B7C06">
      <w:pPr>
        <w:pStyle w:val="ListParagraph"/>
        <w:spacing w:line="360" w:lineRule="auto"/>
        <w:rPr>
          <w:bCs/>
          <w:lang w:val="en-GB"/>
        </w:rPr>
      </w:pPr>
    </w:p>
    <w:p w:rsidR="00D23E0A" w:rsidRDefault="00113618"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Dr Chun </w:t>
      </w:r>
      <w:r w:rsidR="00D23E0A">
        <w:rPr>
          <w:bCs/>
          <w:lang w:val="en-GB"/>
        </w:rPr>
        <w:t xml:space="preserve">further </w:t>
      </w:r>
      <w:r>
        <w:rPr>
          <w:bCs/>
          <w:lang w:val="en-GB"/>
        </w:rPr>
        <w:t xml:space="preserve">opined in the Joint Expert Report that, in the absence of the accident in question, </w:t>
      </w:r>
      <w:r w:rsidR="00267E00">
        <w:rPr>
          <w:bCs/>
          <w:lang w:val="en-GB"/>
        </w:rPr>
        <w:t>there is a strong possibility that the plaintiff would/will have mechanical type of low bac</w:t>
      </w:r>
      <w:r w:rsidR="00D23E0A">
        <w:rPr>
          <w:bCs/>
          <w:lang w:val="en-GB"/>
        </w:rPr>
        <w:t>k pain at any time in any event:</w:t>
      </w:r>
    </w:p>
    <w:p w:rsidR="00D23E0A" w:rsidRDefault="00D23E0A" w:rsidP="00D23E0A">
      <w:pPr>
        <w:pStyle w:val="ListParagraph"/>
        <w:rPr>
          <w:bCs/>
          <w:lang w:val="en-GB"/>
        </w:rPr>
      </w:pPr>
    </w:p>
    <w:p w:rsidR="005166DD" w:rsidRPr="00D23E0A" w:rsidRDefault="00D23E0A" w:rsidP="00D23E0A">
      <w:pPr>
        <w:tabs>
          <w:tab w:val="clear" w:pos="4320"/>
          <w:tab w:val="clear" w:pos="9072"/>
        </w:tabs>
        <w:snapToGrid/>
        <w:ind w:left="1440" w:right="746"/>
        <w:jc w:val="both"/>
        <w:rPr>
          <w:bCs/>
          <w:sz w:val="24"/>
          <w:szCs w:val="24"/>
          <w:lang w:val="en-GB"/>
        </w:rPr>
      </w:pPr>
      <w:r w:rsidRPr="00D23E0A">
        <w:rPr>
          <w:bCs/>
          <w:sz w:val="24"/>
          <w:szCs w:val="24"/>
          <w:lang w:val="en-GB"/>
        </w:rPr>
        <w:t>“With the pre-existing degenerative changes in the lumber spine, with the spondylolysis, with the common occurrence of low back pain without traumatic incidence in the general population being very common, in the absence of the 8/10/2015 injury, there is a strong possibility that he would/will have mechanical type of low back pain at any time in any event.”</w:t>
      </w:r>
      <w:r>
        <w:rPr>
          <w:rStyle w:val="FootnoteReference"/>
          <w:bCs/>
          <w:sz w:val="24"/>
          <w:szCs w:val="24"/>
          <w:lang w:val="en-GB"/>
        </w:rPr>
        <w:footnoteReference w:id="37"/>
      </w:r>
      <w:r w:rsidR="00267E00" w:rsidRPr="00D23E0A">
        <w:rPr>
          <w:bCs/>
          <w:sz w:val="24"/>
          <w:szCs w:val="24"/>
          <w:lang w:val="en-GB"/>
        </w:rPr>
        <w:t xml:space="preserve">  </w:t>
      </w:r>
    </w:p>
    <w:p w:rsidR="005166DD" w:rsidRDefault="005166DD" w:rsidP="002B7C06">
      <w:pPr>
        <w:pStyle w:val="ListParagraph"/>
        <w:spacing w:line="360" w:lineRule="auto"/>
        <w:rPr>
          <w:bCs/>
          <w:lang w:val="en-GB"/>
        </w:rPr>
      </w:pPr>
    </w:p>
    <w:p w:rsidR="005166DD" w:rsidRDefault="00267E00"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Dr Kong did not express his view </w:t>
      </w:r>
      <w:r w:rsidR="00457768">
        <w:rPr>
          <w:bCs/>
          <w:lang w:val="en-GB"/>
        </w:rPr>
        <w:t>on the above matters</w:t>
      </w:r>
      <w:r>
        <w:rPr>
          <w:bCs/>
          <w:lang w:val="en-GB"/>
        </w:rPr>
        <w:t xml:space="preserve"> in the </w:t>
      </w:r>
      <w:r w:rsidR="005166DD">
        <w:rPr>
          <w:bCs/>
          <w:lang w:val="en-GB"/>
        </w:rPr>
        <w:t>Joint Expert R</w:t>
      </w:r>
      <w:r>
        <w:rPr>
          <w:bCs/>
          <w:lang w:val="en-GB"/>
        </w:rPr>
        <w:t xml:space="preserve">eport.  </w:t>
      </w:r>
    </w:p>
    <w:p w:rsidR="005166DD" w:rsidRDefault="005166DD" w:rsidP="002B7C06">
      <w:pPr>
        <w:pStyle w:val="ListParagraph"/>
        <w:spacing w:line="360" w:lineRule="auto"/>
        <w:rPr>
          <w:bCs/>
          <w:lang w:val="en-GB"/>
        </w:rPr>
      </w:pPr>
    </w:p>
    <w:p w:rsidR="00D23E0A" w:rsidRDefault="00D23E0A"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Mr Lam argued that Dr Chun </w:t>
      </w:r>
      <w:r w:rsidR="00457768">
        <w:rPr>
          <w:bCs/>
          <w:lang w:val="en-GB"/>
        </w:rPr>
        <w:t xml:space="preserve">has not put forward any “literature” in support of his opinion on the possibility of the degeneration turning symptomatic.  That may be so.  However, this is a matter which is within the expertise of Dr Chun, who had to give his opinion on the basis of his experience as well as the plaintiff’s condition.  More importantly, his opinion was not queried by Dr Kong, who would have expressed his own view on the matter if he disagreed with Dr Chun.  </w:t>
      </w:r>
    </w:p>
    <w:p w:rsidR="00D23E0A" w:rsidRDefault="00D23E0A" w:rsidP="002B7C06">
      <w:pPr>
        <w:pStyle w:val="ListParagraph"/>
        <w:spacing w:line="360" w:lineRule="auto"/>
        <w:rPr>
          <w:bCs/>
          <w:lang w:val="en-GB"/>
        </w:rPr>
      </w:pPr>
    </w:p>
    <w:p w:rsidR="005166DD" w:rsidRDefault="005166DD"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Mr Lam </w:t>
      </w:r>
      <w:r w:rsidR="00457768">
        <w:rPr>
          <w:bCs/>
          <w:lang w:val="en-GB"/>
        </w:rPr>
        <w:t xml:space="preserve">went on to </w:t>
      </w:r>
      <w:r>
        <w:rPr>
          <w:bCs/>
          <w:lang w:val="en-GB"/>
        </w:rPr>
        <w:t xml:space="preserve">submit that Dr Chun’s opinion does not sit well with </w:t>
      </w:r>
      <w:r w:rsidR="003A63E2">
        <w:rPr>
          <w:bCs/>
          <w:lang w:val="en-GB"/>
        </w:rPr>
        <w:t>that</w:t>
      </w:r>
      <w:r>
        <w:rPr>
          <w:bCs/>
          <w:lang w:val="en-GB"/>
        </w:rPr>
        <w:t xml:space="preserve"> expressed in Dr Chun’s Report in which he stated that:</w:t>
      </w:r>
    </w:p>
    <w:p w:rsidR="005166DD" w:rsidRDefault="005166DD" w:rsidP="005166DD">
      <w:pPr>
        <w:tabs>
          <w:tab w:val="clear" w:pos="4320"/>
          <w:tab w:val="clear" w:pos="9072"/>
        </w:tabs>
        <w:snapToGrid/>
        <w:spacing w:line="360" w:lineRule="auto"/>
        <w:jc w:val="both"/>
        <w:rPr>
          <w:bCs/>
          <w:sz w:val="24"/>
          <w:szCs w:val="24"/>
          <w:lang w:val="en-GB"/>
        </w:rPr>
      </w:pPr>
    </w:p>
    <w:p w:rsidR="005166DD" w:rsidRDefault="005166DD" w:rsidP="0079142A">
      <w:pPr>
        <w:tabs>
          <w:tab w:val="clear" w:pos="4320"/>
          <w:tab w:val="clear" w:pos="9072"/>
        </w:tabs>
        <w:snapToGrid/>
        <w:ind w:left="1440" w:right="746"/>
        <w:jc w:val="both"/>
        <w:rPr>
          <w:bCs/>
          <w:lang w:val="en-GB"/>
        </w:rPr>
      </w:pPr>
      <w:r w:rsidRPr="005166DD">
        <w:rPr>
          <w:bCs/>
          <w:sz w:val="24"/>
          <w:szCs w:val="24"/>
          <w:lang w:val="en-GB"/>
        </w:rPr>
        <w:t>“There are many MRI studies</w:t>
      </w:r>
      <w:r>
        <w:rPr>
          <w:bCs/>
          <w:sz w:val="24"/>
          <w:szCs w:val="24"/>
          <w:lang w:val="en-GB"/>
        </w:rPr>
        <w:t xml:space="preserve"> [Dr Chun quoted the authorities relied on] </w:t>
      </w:r>
      <w:r w:rsidRPr="005166DD">
        <w:rPr>
          <w:bCs/>
          <w:sz w:val="24"/>
          <w:szCs w:val="24"/>
          <w:lang w:val="en-GB"/>
        </w:rPr>
        <w:t xml:space="preserve">on asymptomatic </w:t>
      </w:r>
      <w:r>
        <w:rPr>
          <w:bCs/>
          <w:sz w:val="24"/>
          <w:szCs w:val="24"/>
          <w:lang w:val="en-GB"/>
        </w:rPr>
        <w:t xml:space="preserve">volunteers, showing features such as disc dehydration, disc bulging, disc protrusion, annular tear in a high percentage of these volunteers but they are without low back pain at all.  Further, the prevalence of degenerative changes, bulges, and herniations increases </w:t>
      </w:r>
      <w:r w:rsidR="00F5117C">
        <w:rPr>
          <w:bCs/>
          <w:sz w:val="24"/>
          <w:szCs w:val="24"/>
          <w:lang w:val="en-GB"/>
        </w:rPr>
        <w:t>with advancing age but not necessarily presented with symptoms</w:t>
      </w:r>
      <w:r w:rsidRPr="005166DD">
        <w:rPr>
          <w:bCs/>
          <w:sz w:val="24"/>
          <w:szCs w:val="24"/>
          <w:lang w:val="en-GB"/>
        </w:rPr>
        <w:t>.”</w:t>
      </w:r>
      <w:r>
        <w:rPr>
          <w:rStyle w:val="FootnoteReference"/>
          <w:bCs/>
          <w:lang w:val="en-GB"/>
        </w:rPr>
        <w:footnoteReference w:id="38"/>
      </w:r>
    </w:p>
    <w:p w:rsidR="005166DD" w:rsidRDefault="005166DD" w:rsidP="002B7C06">
      <w:pPr>
        <w:pStyle w:val="ListParagraph"/>
        <w:spacing w:line="360" w:lineRule="auto"/>
        <w:rPr>
          <w:bCs/>
          <w:lang w:val="en-GB"/>
        </w:rPr>
      </w:pPr>
    </w:p>
    <w:p w:rsidR="003A63E2" w:rsidRDefault="003A63E2" w:rsidP="002B7C06">
      <w:pPr>
        <w:numPr>
          <w:ilvl w:val="0"/>
          <w:numId w:val="2"/>
        </w:numPr>
        <w:tabs>
          <w:tab w:val="clear" w:pos="360"/>
          <w:tab w:val="clear" w:pos="4320"/>
          <w:tab w:val="clear" w:pos="9072"/>
        </w:tabs>
        <w:snapToGrid/>
        <w:spacing w:line="360" w:lineRule="auto"/>
        <w:jc w:val="both"/>
        <w:rPr>
          <w:bCs/>
          <w:lang w:val="en-GB"/>
        </w:rPr>
      </w:pPr>
      <w:r>
        <w:rPr>
          <w:bCs/>
          <w:lang w:val="en-GB"/>
        </w:rPr>
        <w:t>I do not understand how it can be said that Dr Chun was contradicting himself.  In the quoted paragraph, he was explaining that degenerations could well be asymptomatic</w:t>
      </w:r>
      <w:r w:rsidR="001C63F9">
        <w:rPr>
          <w:bCs/>
          <w:lang w:val="en-GB"/>
        </w:rPr>
        <w:t xml:space="preserve"> as in the case of the plaintiff</w:t>
      </w:r>
      <w:r>
        <w:rPr>
          <w:bCs/>
          <w:lang w:val="en-GB"/>
        </w:rPr>
        <w:t xml:space="preserve">.  However, that does not mean that the degenerations will be asymptomatic </w:t>
      </w:r>
      <w:r w:rsidRPr="0079142A">
        <w:rPr>
          <w:bCs/>
          <w:lang w:val="en-GB"/>
        </w:rPr>
        <w:t>forever.  Whether the pre-existing condition is likely to lead to disability and loss in the absence of the injury</w:t>
      </w:r>
      <w:r w:rsidR="0079142A">
        <w:rPr>
          <w:bCs/>
          <w:lang w:val="en-GB"/>
        </w:rPr>
        <w:t xml:space="preserve"> concerned would of course have to be assessed on a case-by-case basis.  Furthermore, I note that, again, Dr Kong did not express any opinion contrary to that held by Dr Chun.</w:t>
      </w:r>
    </w:p>
    <w:p w:rsidR="0079142A" w:rsidRPr="0079142A" w:rsidRDefault="0079142A" w:rsidP="002B7C06">
      <w:pPr>
        <w:tabs>
          <w:tab w:val="clear" w:pos="4320"/>
          <w:tab w:val="clear" w:pos="9072"/>
        </w:tabs>
        <w:snapToGrid/>
        <w:spacing w:line="360" w:lineRule="auto"/>
        <w:jc w:val="both"/>
        <w:rPr>
          <w:bCs/>
          <w:lang w:val="en-GB"/>
        </w:rPr>
      </w:pPr>
    </w:p>
    <w:p w:rsidR="00113618" w:rsidRDefault="00267E00" w:rsidP="002B7C06">
      <w:pPr>
        <w:numPr>
          <w:ilvl w:val="0"/>
          <w:numId w:val="2"/>
        </w:numPr>
        <w:tabs>
          <w:tab w:val="clear" w:pos="360"/>
          <w:tab w:val="clear" w:pos="4320"/>
          <w:tab w:val="clear" w:pos="9072"/>
        </w:tabs>
        <w:snapToGrid/>
        <w:spacing w:line="360" w:lineRule="auto"/>
        <w:jc w:val="both"/>
        <w:rPr>
          <w:bCs/>
          <w:lang w:val="en-GB"/>
        </w:rPr>
      </w:pPr>
      <w:r>
        <w:rPr>
          <w:bCs/>
          <w:lang w:val="en-GB"/>
        </w:rPr>
        <w:t>I</w:t>
      </w:r>
      <w:r w:rsidR="0079142A">
        <w:rPr>
          <w:bCs/>
          <w:lang w:val="en-GB"/>
        </w:rPr>
        <w:t xml:space="preserve"> would therefore</w:t>
      </w:r>
      <w:r>
        <w:rPr>
          <w:bCs/>
          <w:lang w:val="en-GB"/>
        </w:rPr>
        <w:t xml:space="preserve"> accept Dr Chun’s opinion.  </w:t>
      </w:r>
    </w:p>
    <w:p w:rsidR="00D52ED4" w:rsidRDefault="00D52ED4" w:rsidP="002B7C06">
      <w:pPr>
        <w:tabs>
          <w:tab w:val="clear" w:pos="4320"/>
          <w:tab w:val="clear" w:pos="9072"/>
        </w:tabs>
        <w:snapToGrid/>
        <w:spacing w:line="360" w:lineRule="auto"/>
        <w:jc w:val="both"/>
        <w:rPr>
          <w:bCs/>
          <w:lang w:val="en-GB"/>
        </w:rPr>
      </w:pPr>
    </w:p>
    <w:p w:rsidR="00017AE0" w:rsidRDefault="00017AE0"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In the case of </w:t>
      </w:r>
      <w:r w:rsidRPr="00017AE0">
        <w:rPr>
          <w:bCs/>
          <w:i/>
          <w:lang w:val="en-GB"/>
        </w:rPr>
        <w:t>Chan Kam Hoi v Dragages et Travaux Publics</w:t>
      </w:r>
      <w:r>
        <w:rPr>
          <w:bCs/>
          <w:lang w:val="en-GB"/>
        </w:rPr>
        <w:t xml:space="preserve"> [1998] 2 HKLRD 958</w:t>
      </w:r>
      <w:r w:rsidR="00514FE0">
        <w:rPr>
          <w:bCs/>
          <w:lang w:val="en-GB"/>
        </w:rPr>
        <w:t>,</w:t>
      </w:r>
      <w:r>
        <w:rPr>
          <w:bCs/>
          <w:lang w:val="en-GB"/>
        </w:rPr>
        <w:t xml:space="preserve"> it was held that:</w:t>
      </w:r>
    </w:p>
    <w:p w:rsidR="0079142A" w:rsidRDefault="0079142A" w:rsidP="0079142A">
      <w:pPr>
        <w:tabs>
          <w:tab w:val="clear" w:pos="4320"/>
          <w:tab w:val="clear" w:pos="9072"/>
        </w:tabs>
        <w:snapToGrid/>
        <w:ind w:left="1440" w:right="746"/>
        <w:jc w:val="both"/>
        <w:rPr>
          <w:bCs/>
          <w:sz w:val="24"/>
          <w:szCs w:val="24"/>
          <w:lang w:val="en-GB"/>
        </w:rPr>
      </w:pPr>
    </w:p>
    <w:p w:rsidR="00017AE0" w:rsidRDefault="00017AE0" w:rsidP="0079142A">
      <w:pPr>
        <w:tabs>
          <w:tab w:val="clear" w:pos="4320"/>
          <w:tab w:val="clear" w:pos="9072"/>
        </w:tabs>
        <w:snapToGrid/>
        <w:ind w:left="1440" w:right="746"/>
        <w:jc w:val="both"/>
        <w:rPr>
          <w:bCs/>
          <w:sz w:val="24"/>
          <w:szCs w:val="24"/>
          <w:lang w:val="en-GB"/>
        </w:rPr>
      </w:pPr>
      <w:r w:rsidRPr="00017AE0">
        <w:rPr>
          <w:bCs/>
          <w:sz w:val="24"/>
          <w:szCs w:val="24"/>
          <w:lang w:val="en-GB"/>
        </w:rPr>
        <w:t>“Where a pre-existing condition is likely to lead to disability and loss in the absence of the injury for which the plaintiff is entitled to recover, the usual method of assessing the recoverable loss is to take account of the risks by an appropriate assessment of general damages.  The pre-trial loss of earnings may also be reduced if the risks during the years concerned are sufficiently high</w:t>
      </w:r>
      <w:r w:rsidR="0079142A">
        <w:rPr>
          <w:bCs/>
          <w:sz w:val="24"/>
          <w:szCs w:val="24"/>
          <w:lang w:val="en-GB"/>
        </w:rPr>
        <w:t>..</w:t>
      </w:r>
      <w:r w:rsidRPr="00017AE0">
        <w:rPr>
          <w:bCs/>
          <w:sz w:val="24"/>
          <w:szCs w:val="24"/>
          <w:lang w:val="en-GB"/>
        </w:rPr>
        <w:t>.”</w:t>
      </w:r>
      <w:r w:rsidR="0079142A">
        <w:rPr>
          <w:bCs/>
          <w:sz w:val="24"/>
          <w:szCs w:val="24"/>
          <w:lang w:val="en-GB"/>
        </w:rPr>
        <w:t xml:space="preserve"> (at 965E – F)</w:t>
      </w:r>
    </w:p>
    <w:p w:rsidR="0079142A" w:rsidRPr="00017AE0" w:rsidRDefault="0079142A" w:rsidP="002B7C06">
      <w:pPr>
        <w:tabs>
          <w:tab w:val="clear" w:pos="4320"/>
          <w:tab w:val="clear" w:pos="9072"/>
        </w:tabs>
        <w:snapToGrid/>
        <w:spacing w:line="360" w:lineRule="auto"/>
        <w:ind w:left="1440" w:right="746"/>
        <w:jc w:val="both"/>
        <w:rPr>
          <w:bCs/>
          <w:sz w:val="24"/>
          <w:szCs w:val="24"/>
          <w:lang w:val="en-GB"/>
        </w:rPr>
      </w:pPr>
    </w:p>
    <w:p w:rsidR="00131A12" w:rsidRDefault="00A744A7"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Mr Lam drew the attention of this court to the case of </w:t>
      </w:r>
      <w:r w:rsidRPr="00A744A7">
        <w:rPr>
          <w:bCs/>
          <w:i/>
          <w:lang w:val="en-GB"/>
        </w:rPr>
        <w:t>Iau Kau Ih v Wan Kei Geotechnical Engineering Company Limited &amp; Others</w:t>
      </w:r>
      <w:r>
        <w:rPr>
          <w:bCs/>
          <w:lang w:val="en-GB"/>
        </w:rPr>
        <w:t xml:space="preserve"> [2002] 4 HKC 76 and submitted that in the absence of any evidence as to whether the plaintiff’s pre-existing condition would, in the absence of the accident, have given rise to the </w:t>
      </w:r>
      <w:r w:rsidRPr="00EF1C3C">
        <w:rPr>
          <w:b/>
          <w:bCs/>
          <w:u w:val="single"/>
          <w:lang w:val="en-GB"/>
        </w:rPr>
        <w:t>same</w:t>
      </w:r>
      <w:r>
        <w:rPr>
          <w:bCs/>
          <w:lang w:val="en-GB"/>
        </w:rPr>
        <w:t xml:space="preserve"> disability now suffered by the plaintiff, and as to the number of years that the accident had accelerated the appearance of the symptoms, the damages which the plaintiff is entitled should not be discounted.</w:t>
      </w:r>
      <w:r w:rsidR="004E347F">
        <w:rPr>
          <w:bCs/>
          <w:lang w:val="en-GB"/>
        </w:rPr>
        <w:t xml:space="preserve">  He relied on paragraph 22 of the Judgment</w:t>
      </w:r>
      <w:r w:rsidR="00443D06">
        <w:rPr>
          <w:bCs/>
          <w:lang w:val="en-GB"/>
        </w:rPr>
        <w:t xml:space="preserve"> in </w:t>
      </w:r>
      <w:r w:rsidR="00443D06" w:rsidRPr="00A744A7">
        <w:rPr>
          <w:bCs/>
          <w:i/>
          <w:lang w:val="en-GB"/>
        </w:rPr>
        <w:t>Iau Kau Ih</w:t>
      </w:r>
      <w:r w:rsidR="004E347F">
        <w:rPr>
          <w:bCs/>
          <w:lang w:val="en-GB"/>
        </w:rPr>
        <w:t xml:space="preserve"> as follows:</w:t>
      </w:r>
    </w:p>
    <w:p w:rsidR="004E347F" w:rsidRDefault="004E347F" w:rsidP="004E347F">
      <w:pPr>
        <w:tabs>
          <w:tab w:val="clear" w:pos="4320"/>
          <w:tab w:val="clear" w:pos="9072"/>
        </w:tabs>
        <w:snapToGrid/>
        <w:ind w:left="1440" w:right="746"/>
        <w:jc w:val="both"/>
        <w:rPr>
          <w:bCs/>
          <w:sz w:val="24"/>
          <w:szCs w:val="24"/>
          <w:lang w:val="en-GB"/>
        </w:rPr>
      </w:pPr>
    </w:p>
    <w:p w:rsidR="004E347F" w:rsidRPr="004E347F" w:rsidRDefault="004E347F" w:rsidP="004E347F">
      <w:pPr>
        <w:tabs>
          <w:tab w:val="clear" w:pos="4320"/>
          <w:tab w:val="clear" w:pos="9072"/>
        </w:tabs>
        <w:snapToGrid/>
        <w:ind w:left="1440" w:right="746"/>
        <w:jc w:val="both"/>
        <w:rPr>
          <w:bCs/>
          <w:sz w:val="24"/>
          <w:szCs w:val="24"/>
          <w:lang w:val="en-GB"/>
        </w:rPr>
      </w:pPr>
      <w:r w:rsidRPr="004E347F">
        <w:rPr>
          <w:bCs/>
          <w:sz w:val="24"/>
          <w:szCs w:val="24"/>
          <w:lang w:val="en-GB"/>
        </w:rPr>
        <w:t xml:space="preserve">“There is, in the present case, no evidence before me as to whether the plaintiff’s pre-existing condition would, in the absence of the accident, have given rise to the same disability now suffered by the plaintiff.  I cannot speculate in the absence of such evidence, and accordingly do not find the case of </w:t>
      </w:r>
      <w:r w:rsidRPr="004E347F">
        <w:rPr>
          <w:bCs/>
          <w:i/>
          <w:sz w:val="24"/>
          <w:szCs w:val="24"/>
          <w:lang w:val="en-GB"/>
        </w:rPr>
        <w:t>Chan Kam Hoi</w:t>
      </w:r>
      <w:r w:rsidRPr="004E347F">
        <w:rPr>
          <w:bCs/>
          <w:sz w:val="24"/>
          <w:szCs w:val="24"/>
          <w:lang w:val="en-GB"/>
        </w:rPr>
        <w:t xml:space="preserve"> to assist the defendants in their attempt to reduce the damages on account of the plaintiff’s pre-existing condition.” </w:t>
      </w:r>
    </w:p>
    <w:p w:rsidR="001C28A0" w:rsidRDefault="001C28A0" w:rsidP="001C28A0">
      <w:pPr>
        <w:tabs>
          <w:tab w:val="clear" w:pos="4320"/>
          <w:tab w:val="clear" w:pos="9072"/>
        </w:tabs>
        <w:snapToGrid/>
        <w:spacing w:line="360" w:lineRule="auto"/>
        <w:jc w:val="both"/>
        <w:rPr>
          <w:bCs/>
          <w:lang w:val="en-GB"/>
        </w:rPr>
      </w:pPr>
    </w:p>
    <w:p w:rsidR="00F15446" w:rsidRDefault="00EF1C3C" w:rsidP="004B4CD4">
      <w:pPr>
        <w:numPr>
          <w:ilvl w:val="0"/>
          <w:numId w:val="2"/>
        </w:numPr>
        <w:tabs>
          <w:tab w:val="clear" w:pos="360"/>
          <w:tab w:val="clear" w:pos="4320"/>
          <w:tab w:val="clear" w:pos="9072"/>
        </w:tabs>
        <w:snapToGrid/>
        <w:spacing w:line="360" w:lineRule="auto"/>
        <w:jc w:val="both"/>
        <w:rPr>
          <w:bCs/>
          <w:lang w:val="en-GB"/>
        </w:rPr>
      </w:pPr>
      <w:r>
        <w:rPr>
          <w:bCs/>
          <w:lang w:val="en-GB"/>
        </w:rPr>
        <w:t>After the hearing for final submissions, this court</w:t>
      </w:r>
      <w:r w:rsidR="006836C8">
        <w:rPr>
          <w:bCs/>
          <w:lang w:val="en-GB"/>
        </w:rPr>
        <w:t xml:space="preserve"> discovered</w:t>
      </w:r>
      <w:r w:rsidR="005E7618">
        <w:rPr>
          <w:bCs/>
          <w:lang w:val="en-GB"/>
        </w:rPr>
        <w:t xml:space="preserve"> that </w:t>
      </w:r>
      <w:r>
        <w:rPr>
          <w:bCs/>
          <w:lang w:val="en-GB"/>
        </w:rPr>
        <w:t>Mr Lam</w:t>
      </w:r>
      <w:r w:rsidR="005E7618">
        <w:rPr>
          <w:bCs/>
          <w:lang w:val="en-GB"/>
        </w:rPr>
        <w:t xml:space="preserve"> was the junior counsel acting for the plaintiff in </w:t>
      </w:r>
      <w:r w:rsidR="000518C0" w:rsidRPr="000518C0">
        <w:rPr>
          <w:bCs/>
          <w:i/>
          <w:lang w:val="en-GB"/>
        </w:rPr>
        <w:t>Li Sau Keung</w:t>
      </w:r>
      <w:r w:rsidR="005E7618">
        <w:rPr>
          <w:bCs/>
          <w:i/>
          <w:lang w:val="en-GB"/>
        </w:rPr>
        <w:t xml:space="preserve"> v Maxcredit Eengineering Limited &amp; Another </w:t>
      </w:r>
      <w:r w:rsidR="005E7618">
        <w:rPr>
          <w:bCs/>
          <w:lang w:val="en-GB"/>
        </w:rPr>
        <w:t>(CACV 16/2003, unreported, 25 November 2003)</w:t>
      </w:r>
      <w:r w:rsidR="004A0ABA">
        <w:rPr>
          <w:bCs/>
          <w:lang w:val="en-GB"/>
        </w:rPr>
        <w:t>, in which</w:t>
      </w:r>
      <w:r w:rsidR="004E347F">
        <w:rPr>
          <w:bCs/>
          <w:lang w:val="en-GB"/>
        </w:rPr>
        <w:t xml:space="preserve"> case </w:t>
      </w:r>
      <w:r>
        <w:rPr>
          <w:bCs/>
          <w:lang w:val="en-GB"/>
        </w:rPr>
        <w:t>he,</w:t>
      </w:r>
      <w:r w:rsidR="004E347F">
        <w:rPr>
          <w:bCs/>
          <w:lang w:val="en-GB"/>
        </w:rPr>
        <w:t xml:space="preserve"> together with M</w:t>
      </w:r>
      <w:r w:rsidR="004A0ABA">
        <w:rPr>
          <w:bCs/>
          <w:lang w:val="en-GB"/>
        </w:rPr>
        <w:t xml:space="preserve">r Warren Chan SC, initially also relied on the case of </w:t>
      </w:r>
      <w:r w:rsidR="000518C0" w:rsidRPr="00A744A7">
        <w:rPr>
          <w:bCs/>
          <w:i/>
          <w:lang w:val="en-GB"/>
        </w:rPr>
        <w:t>Iau Kau Ih</w:t>
      </w:r>
      <w:r w:rsidR="004A0ABA">
        <w:rPr>
          <w:bCs/>
          <w:lang w:val="en-GB"/>
        </w:rPr>
        <w:t xml:space="preserve">, but it seems that they had conceded </w:t>
      </w:r>
      <w:r w:rsidR="004E347F">
        <w:rPr>
          <w:bCs/>
          <w:lang w:val="en-GB"/>
        </w:rPr>
        <w:t xml:space="preserve">at the hearing before the Court of Appeal </w:t>
      </w:r>
      <w:r w:rsidR="004A0ABA">
        <w:rPr>
          <w:bCs/>
          <w:lang w:val="en-GB"/>
        </w:rPr>
        <w:t xml:space="preserve">that </w:t>
      </w:r>
      <w:r w:rsidR="00F15446">
        <w:rPr>
          <w:bCs/>
          <w:lang w:val="en-GB"/>
        </w:rPr>
        <w:t xml:space="preserve">the approach in </w:t>
      </w:r>
      <w:r w:rsidR="00F15446" w:rsidRPr="00F15446">
        <w:rPr>
          <w:bCs/>
          <w:i/>
          <w:lang w:val="en-GB"/>
        </w:rPr>
        <w:t>Chan Kam Hoi</w:t>
      </w:r>
      <w:r w:rsidR="00F15446">
        <w:rPr>
          <w:bCs/>
          <w:lang w:val="en-GB"/>
        </w:rPr>
        <w:t xml:space="preserve"> should be followed instead</w:t>
      </w:r>
      <w:r w:rsidR="00047E0C">
        <w:rPr>
          <w:bCs/>
          <w:lang w:val="en-GB"/>
        </w:rPr>
        <w:t>.  In the Judgment of the Court of Appeal, it was stated that</w:t>
      </w:r>
      <w:r w:rsidR="00F15446">
        <w:rPr>
          <w:bCs/>
          <w:lang w:val="en-GB"/>
        </w:rPr>
        <w:t>:</w:t>
      </w:r>
    </w:p>
    <w:p w:rsidR="00F15446" w:rsidRDefault="00F15446" w:rsidP="00F15446">
      <w:pPr>
        <w:pStyle w:val="ListParagraph"/>
        <w:rPr>
          <w:bCs/>
          <w:lang w:val="en-GB"/>
        </w:rPr>
      </w:pPr>
    </w:p>
    <w:p w:rsidR="00F15446" w:rsidRPr="00F15446" w:rsidRDefault="00F15446" w:rsidP="00F15446">
      <w:pPr>
        <w:tabs>
          <w:tab w:val="clear" w:pos="4320"/>
          <w:tab w:val="clear" w:pos="9072"/>
        </w:tabs>
        <w:snapToGrid/>
        <w:ind w:left="1440" w:right="746"/>
        <w:jc w:val="both"/>
        <w:rPr>
          <w:bCs/>
          <w:sz w:val="24"/>
          <w:szCs w:val="24"/>
          <w:lang w:val="en-GB"/>
        </w:rPr>
      </w:pPr>
      <w:r w:rsidRPr="00F15446">
        <w:rPr>
          <w:bCs/>
          <w:sz w:val="24"/>
          <w:szCs w:val="24"/>
          <w:lang w:val="en-GB"/>
        </w:rPr>
        <w:t>“</w:t>
      </w:r>
      <w:r w:rsidRPr="00F15446">
        <w:rPr>
          <w:rFonts w:hint="eastAsia"/>
          <w:sz w:val="24"/>
          <w:szCs w:val="24"/>
        </w:rPr>
        <w:t xml:space="preserve">Initially Mr Chan SC had invited this court to follow the approach of Deputy Judge B Yu SC in </w:t>
      </w:r>
      <w:r w:rsidRPr="00F15446">
        <w:rPr>
          <w:rFonts w:hint="eastAsia"/>
          <w:i/>
          <w:iCs/>
          <w:sz w:val="24"/>
          <w:szCs w:val="24"/>
        </w:rPr>
        <w:t xml:space="preserve">Iau Kau Ih v Wan Kei Geotechnical Engineering Co Ltd &amp; Ors </w:t>
      </w:r>
      <w:r w:rsidRPr="00F15446">
        <w:rPr>
          <w:rFonts w:hint="eastAsia"/>
          <w:sz w:val="24"/>
          <w:szCs w:val="24"/>
        </w:rPr>
        <w:t>[2002] 4 HKC 76 at 82I that the tortfeasor must take the victim as he finds him.</w:t>
      </w:r>
      <w:r w:rsidR="0045678A">
        <w:rPr>
          <w:rStyle w:val="FootnoteReference"/>
          <w:sz w:val="24"/>
          <w:szCs w:val="24"/>
        </w:rPr>
        <w:footnoteReference w:id="39"/>
      </w:r>
      <w:r w:rsidRPr="00F15446">
        <w:rPr>
          <w:rFonts w:hint="eastAsia"/>
          <w:sz w:val="24"/>
          <w:szCs w:val="24"/>
        </w:rPr>
        <w:t xml:space="preserve">  After considering </w:t>
      </w:r>
      <w:r w:rsidRPr="00F15446">
        <w:rPr>
          <w:rFonts w:hint="eastAsia"/>
          <w:i/>
          <w:iCs/>
          <w:sz w:val="24"/>
          <w:szCs w:val="24"/>
        </w:rPr>
        <w:t>Chan Kam Hoi v Dragages et Travaux Publics</w:t>
      </w:r>
      <w:r w:rsidRPr="00F15446">
        <w:rPr>
          <w:rFonts w:hint="eastAsia"/>
          <w:sz w:val="24"/>
          <w:szCs w:val="24"/>
        </w:rPr>
        <w:t xml:space="preserve"> [1998] 2 HKLRD 958 to which his attention had been drawn, Mr Chan SC agreed that the approach set out in </w:t>
      </w:r>
      <w:r w:rsidRPr="00F15446">
        <w:rPr>
          <w:rFonts w:hint="eastAsia"/>
          <w:i/>
          <w:iCs/>
          <w:sz w:val="24"/>
          <w:szCs w:val="24"/>
        </w:rPr>
        <w:t>Chan Kam Hoi</w:t>
      </w:r>
      <w:r w:rsidRPr="00F15446">
        <w:rPr>
          <w:rFonts w:hint="eastAsia"/>
          <w:sz w:val="24"/>
          <w:szCs w:val="24"/>
        </w:rPr>
        <w:t xml:space="preserve"> should be adopted.  As explained in that case, the conventional approach is to make a deduction from the multiplier to take into account the risks associated with the plaintiff</w:t>
      </w:r>
      <w:r w:rsidRPr="00F15446">
        <w:rPr>
          <w:sz w:val="24"/>
          <w:szCs w:val="24"/>
        </w:rPr>
        <w:t>’</w:t>
      </w:r>
      <w:r w:rsidRPr="00F15446">
        <w:rPr>
          <w:rFonts w:hint="eastAsia"/>
          <w:sz w:val="24"/>
          <w:szCs w:val="24"/>
        </w:rPr>
        <w:t>s pre-existing condition</w:t>
      </w:r>
      <w:r w:rsidRPr="00F15446">
        <w:rPr>
          <w:sz w:val="24"/>
          <w:szCs w:val="24"/>
        </w:rPr>
        <w:t>..</w:t>
      </w:r>
      <w:r w:rsidRPr="00F15446">
        <w:rPr>
          <w:rFonts w:hint="eastAsia"/>
          <w:sz w:val="24"/>
          <w:szCs w:val="24"/>
        </w:rPr>
        <w:t>.</w:t>
      </w:r>
      <w:r w:rsidRPr="00F15446">
        <w:rPr>
          <w:sz w:val="24"/>
          <w:szCs w:val="24"/>
        </w:rPr>
        <w:t>”</w:t>
      </w:r>
      <w:r w:rsidRPr="00F15446">
        <w:rPr>
          <w:rFonts w:hint="eastAsia"/>
          <w:sz w:val="24"/>
          <w:szCs w:val="24"/>
        </w:rPr>
        <w:t xml:space="preserve">  </w:t>
      </w:r>
      <w:r>
        <w:rPr>
          <w:sz w:val="24"/>
          <w:szCs w:val="24"/>
        </w:rPr>
        <w:t xml:space="preserve">(at paragraph 42) </w:t>
      </w:r>
    </w:p>
    <w:p w:rsidR="00F15446" w:rsidRDefault="00F15446" w:rsidP="002B7C06">
      <w:pPr>
        <w:pStyle w:val="ListParagraph"/>
        <w:spacing w:line="360" w:lineRule="auto"/>
        <w:rPr>
          <w:bCs/>
          <w:lang w:val="en-GB"/>
        </w:rPr>
      </w:pPr>
    </w:p>
    <w:p w:rsidR="00F15446" w:rsidRPr="00B61B1A" w:rsidRDefault="00047E0C" w:rsidP="002B7C06">
      <w:pPr>
        <w:numPr>
          <w:ilvl w:val="0"/>
          <w:numId w:val="2"/>
        </w:numPr>
        <w:tabs>
          <w:tab w:val="clear" w:pos="360"/>
          <w:tab w:val="clear" w:pos="4320"/>
          <w:tab w:val="clear" w:pos="9072"/>
        </w:tabs>
        <w:snapToGrid/>
        <w:spacing w:line="360" w:lineRule="auto"/>
        <w:jc w:val="both"/>
        <w:rPr>
          <w:bCs/>
          <w:lang w:val="en-GB"/>
        </w:rPr>
      </w:pPr>
      <w:r>
        <w:rPr>
          <w:bCs/>
          <w:lang w:val="en-GB"/>
        </w:rPr>
        <w:t>It is important to</w:t>
      </w:r>
      <w:r w:rsidR="00F15446">
        <w:rPr>
          <w:bCs/>
          <w:lang w:val="en-GB"/>
        </w:rPr>
        <w:t xml:space="preserve"> note</w:t>
      </w:r>
      <w:r>
        <w:rPr>
          <w:bCs/>
          <w:lang w:val="en-GB"/>
        </w:rPr>
        <w:t xml:space="preserve"> </w:t>
      </w:r>
      <w:r w:rsidR="00F15446">
        <w:rPr>
          <w:bCs/>
          <w:lang w:val="en-GB"/>
        </w:rPr>
        <w:t xml:space="preserve">that </w:t>
      </w:r>
      <w:r>
        <w:rPr>
          <w:bCs/>
          <w:lang w:val="en-GB"/>
        </w:rPr>
        <w:t xml:space="preserve">the experts </w:t>
      </w:r>
      <w:r w:rsidR="00F15446">
        <w:rPr>
          <w:bCs/>
          <w:lang w:val="en-GB"/>
        </w:rPr>
        <w:t xml:space="preserve">in the case of </w:t>
      </w:r>
      <w:r w:rsidR="00F15446" w:rsidRPr="00F15446">
        <w:rPr>
          <w:bCs/>
          <w:i/>
          <w:lang w:val="en-GB"/>
        </w:rPr>
        <w:t>Li Sau Keung</w:t>
      </w:r>
      <w:r>
        <w:rPr>
          <w:bCs/>
          <w:lang w:val="en-GB"/>
        </w:rPr>
        <w:t xml:space="preserve"> diverged </w:t>
      </w:r>
      <w:r w:rsidR="00917345">
        <w:rPr>
          <w:bCs/>
          <w:lang w:val="en-GB"/>
        </w:rPr>
        <w:t xml:space="preserve">on their opinions in relation to the plaintiff’s pre-existing condition. </w:t>
      </w:r>
      <w:r>
        <w:rPr>
          <w:bCs/>
          <w:lang w:val="en-GB"/>
        </w:rPr>
        <w:t xml:space="preserve"> </w:t>
      </w:r>
      <w:r w:rsidR="00917345">
        <w:rPr>
          <w:bCs/>
          <w:lang w:val="en-GB"/>
        </w:rPr>
        <w:t>O</w:t>
      </w:r>
      <w:r w:rsidR="004E347F">
        <w:rPr>
          <w:bCs/>
          <w:lang w:val="en-GB"/>
        </w:rPr>
        <w:t xml:space="preserve">n one hand, </w:t>
      </w:r>
      <w:r w:rsidR="00F15446">
        <w:rPr>
          <w:bCs/>
          <w:lang w:val="en-GB"/>
        </w:rPr>
        <w:t>the defendant’s expert opined that</w:t>
      </w:r>
      <w:r w:rsidR="00B61B1A">
        <w:rPr>
          <w:bCs/>
          <w:lang w:val="en-GB"/>
        </w:rPr>
        <w:t xml:space="preserve"> </w:t>
      </w:r>
      <w:r w:rsidR="00F15446">
        <w:rPr>
          <w:rFonts w:hint="eastAsia"/>
        </w:rPr>
        <w:t xml:space="preserve">it </w:t>
      </w:r>
      <w:r w:rsidR="00B61B1A">
        <w:t>wa</w:t>
      </w:r>
      <w:r w:rsidR="00F15446">
        <w:rPr>
          <w:rFonts w:hint="eastAsia"/>
        </w:rPr>
        <w:t xml:space="preserve">s possible that the pre-existing degenerative spine might have </w:t>
      </w:r>
      <w:r w:rsidR="00F15446">
        <w:t>remained</w:t>
      </w:r>
      <w:r w:rsidR="00F15446">
        <w:rPr>
          <w:rFonts w:hint="eastAsia"/>
        </w:rPr>
        <w:t xml:space="preserve"> in asymptomatic stage and </w:t>
      </w:r>
      <w:r w:rsidR="00B61B1A">
        <w:t xml:space="preserve">the plaintiff therein </w:t>
      </w:r>
      <w:r w:rsidR="00F15446">
        <w:rPr>
          <w:rFonts w:hint="eastAsia"/>
        </w:rPr>
        <w:t>would have been able to contin</w:t>
      </w:r>
      <w:r w:rsidR="00B61B1A">
        <w:rPr>
          <w:rFonts w:hint="eastAsia"/>
        </w:rPr>
        <w:t>ue to work for a few more years, and that</w:t>
      </w:r>
      <w:r w:rsidR="00F15446">
        <w:rPr>
          <w:rFonts w:hint="eastAsia"/>
        </w:rPr>
        <w:t>, judging from the degree of degeneration and</w:t>
      </w:r>
      <w:r w:rsidR="00B61B1A">
        <w:rPr>
          <w:rFonts w:hint="eastAsia"/>
        </w:rPr>
        <w:t xml:space="preserve"> his pre-injury job nature, it wa</w:t>
      </w:r>
      <w:r w:rsidR="00F15446">
        <w:rPr>
          <w:rFonts w:hint="eastAsia"/>
        </w:rPr>
        <w:t>s more likely than not that had he not met both the accidents, back pain would have developed around the age of forty-five</w:t>
      </w:r>
      <w:r>
        <w:t>;</w:t>
      </w:r>
      <w:r w:rsidR="00B61B1A">
        <w:t xml:space="preserve"> </w:t>
      </w:r>
      <w:r w:rsidR="004E347F">
        <w:t xml:space="preserve">on the other hand, </w:t>
      </w:r>
      <w:r w:rsidR="00B61B1A">
        <w:t xml:space="preserve">the plaintiff’s expert disagreed, </w:t>
      </w:r>
      <w:r w:rsidR="00BE0019">
        <w:t xml:space="preserve">and opined that the prognosis of the plaintiff therein was too uncertain for any firm view to be formed as to the likely number of working years the plaintiff could reasonably expect to have.  However, despite the disagreement, </w:t>
      </w:r>
      <w:r w:rsidR="00B61B1A">
        <w:t>the trial judge did not make any finding on the</w:t>
      </w:r>
      <w:r w:rsidR="00BE0019">
        <w:t xml:space="preserve"> conflicting medical expert evidence</w:t>
      </w:r>
      <w:r w:rsidR="00B61B1A">
        <w:t xml:space="preserve">. </w:t>
      </w:r>
      <w:r w:rsidR="00BE0019">
        <w:t xml:space="preserve"> </w:t>
      </w:r>
      <w:r w:rsidR="00B61B1A">
        <w:t>In other words, the evidence that “</w:t>
      </w:r>
      <w:r w:rsidR="00B61B1A">
        <w:rPr>
          <w:rFonts w:hint="eastAsia"/>
        </w:rPr>
        <w:t>back pain would have developed around the age of forty-five</w:t>
      </w:r>
      <w:r w:rsidR="00EF1C3C">
        <w:t xml:space="preserve"> anyway even without the accidents</w:t>
      </w:r>
      <w:r w:rsidR="00B61B1A">
        <w:t xml:space="preserve">” was not accepted by the trial judge.  Two </w:t>
      </w:r>
      <w:r w:rsidR="00BE0019">
        <w:t>crucial</w:t>
      </w:r>
      <w:r w:rsidR="00B61B1A">
        <w:t xml:space="preserve"> points must be made here:</w:t>
      </w:r>
    </w:p>
    <w:p w:rsidR="004E347F" w:rsidRPr="004E347F" w:rsidRDefault="004E347F" w:rsidP="002B7C06">
      <w:pPr>
        <w:tabs>
          <w:tab w:val="clear" w:pos="1440"/>
          <w:tab w:val="clear" w:pos="4320"/>
          <w:tab w:val="clear" w:pos="9072"/>
          <w:tab w:val="left" w:pos="2160"/>
        </w:tabs>
        <w:snapToGrid/>
        <w:spacing w:line="360" w:lineRule="auto"/>
        <w:ind w:left="2160"/>
        <w:jc w:val="both"/>
        <w:rPr>
          <w:bCs/>
          <w:lang w:val="en-GB"/>
        </w:rPr>
      </w:pPr>
    </w:p>
    <w:p w:rsidR="009F4E0C" w:rsidRPr="009F4E0C" w:rsidRDefault="00B61B1A" w:rsidP="002B7C06">
      <w:pPr>
        <w:numPr>
          <w:ilvl w:val="2"/>
          <w:numId w:val="2"/>
        </w:numPr>
        <w:tabs>
          <w:tab w:val="clear" w:pos="1440"/>
          <w:tab w:val="clear" w:pos="4320"/>
          <w:tab w:val="clear" w:pos="9072"/>
          <w:tab w:val="left" w:pos="2160"/>
        </w:tabs>
        <w:snapToGrid/>
        <w:spacing w:line="360" w:lineRule="auto"/>
        <w:ind w:left="2160" w:hanging="720"/>
        <w:jc w:val="both"/>
        <w:rPr>
          <w:bCs/>
          <w:lang w:val="en-GB"/>
        </w:rPr>
      </w:pPr>
      <w:r>
        <w:t xml:space="preserve">Even in the case of </w:t>
      </w:r>
      <w:r w:rsidRPr="00B61B1A">
        <w:rPr>
          <w:i/>
        </w:rPr>
        <w:t>Li Sau Keung</w:t>
      </w:r>
      <w:r>
        <w:t xml:space="preserve">, the </w:t>
      </w:r>
      <w:r w:rsidR="00BE0019">
        <w:t xml:space="preserve">expert </w:t>
      </w:r>
      <w:r>
        <w:t xml:space="preserve">evidence </w:t>
      </w:r>
      <w:r w:rsidR="00BE0019">
        <w:t xml:space="preserve">adduced </w:t>
      </w:r>
      <w:r>
        <w:t xml:space="preserve">was </w:t>
      </w:r>
      <w:r w:rsidR="004E347F">
        <w:t xml:space="preserve">not the type of evidence allegedly </w:t>
      </w:r>
      <w:r>
        <w:t xml:space="preserve">required, namely, </w:t>
      </w:r>
      <w:r w:rsidR="009F4E0C">
        <w:t xml:space="preserve">when the plaintiff’s pre-existing condition would, in the absence of the accident, have given rise to the </w:t>
      </w:r>
      <w:r w:rsidR="00BE0019">
        <w:rPr>
          <w:b/>
          <w:u w:val="single"/>
        </w:rPr>
        <w:t>same disability</w:t>
      </w:r>
      <w:r w:rsidR="009F4E0C" w:rsidRPr="00BE0019">
        <w:t xml:space="preserve"> suffered</w:t>
      </w:r>
      <w:r w:rsidR="009F4E0C">
        <w:t xml:space="preserve"> by the plaintiff;</w:t>
      </w:r>
    </w:p>
    <w:p w:rsidR="004E347F" w:rsidRPr="004E347F" w:rsidRDefault="004E347F" w:rsidP="002B7C06">
      <w:pPr>
        <w:tabs>
          <w:tab w:val="clear" w:pos="1440"/>
          <w:tab w:val="clear" w:pos="4320"/>
          <w:tab w:val="clear" w:pos="9072"/>
          <w:tab w:val="left" w:pos="2160"/>
        </w:tabs>
        <w:snapToGrid/>
        <w:spacing w:line="360" w:lineRule="auto"/>
        <w:ind w:left="2160"/>
        <w:jc w:val="both"/>
        <w:rPr>
          <w:bCs/>
          <w:lang w:val="en-GB"/>
        </w:rPr>
      </w:pPr>
    </w:p>
    <w:p w:rsidR="00B61B1A" w:rsidRPr="00B61B1A" w:rsidRDefault="009F4E0C" w:rsidP="002B7C06">
      <w:pPr>
        <w:numPr>
          <w:ilvl w:val="2"/>
          <w:numId w:val="2"/>
        </w:numPr>
        <w:tabs>
          <w:tab w:val="clear" w:pos="1440"/>
          <w:tab w:val="clear" w:pos="4320"/>
          <w:tab w:val="clear" w:pos="9072"/>
          <w:tab w:val="left" w:pos="2160"/>
        </w:tabs>
        <w:snapToGrid/>
        <w:spacing w:line="360" w:lineRule="auto"/>
        <w:ind w:left="2160" w:hanging="720"/>
        <w:jc w:val="both"/>
        <w:rPr>
          <w:rFonts w:hint="eastAsia"/>
          <w:bCs/>
          <w:lang w:val="en-GB"/>
        </w:rPr>
      </w:pPr>
      <w:r>
        <w:rPr>
          <w:lang w:val="en-GB"/>
        </w:rPr>
        <w:t xml:space="preserve">Because the trial judge’s judgment was overturned </w:t>
      </w:r>
      <w:r w:rsidR="00BE0019">
        <w:rPr>
          <w:lang w:val="en-GB"/>
        </w:rPr>
        <w:t>for some other reason</w:t>
      </w:r>
      <w:r>
        <w:rPr>
          <w:lang w:val="en-GB"/>
        </w:rPr>
        <w:t>, the Court of Appeal</w:t>
      </w:r>
      <w:r>
        <w:t xml:space="preserve"> had to assess the plaintif</w:t>
      </w:r>
      <w:r w:rsidR="00BE0019">
        <w:t xml:space="preserve">f’s loss of future earnings and decide on the reduction necessary to reflect the risks associated with the plaintiff’s pre-existing condition of degeneration.  In the course of working out the appropriate multiplier, the court had not taken into account </w:t>
      </w:r>
      <w:r w:rsidR="007D7892">
        <w:t xml:space="preserve">the plaintiff’s expert evidence referred to above at all </w:t>
      </w:r>
      <w:r w:rsidR="00BE0019">
        <w:t>(see paragraph 43 and 44 of the Judgment)</w:t>
      </w:r>
      <w:r w:rsidR="007D7892">
        <w:t>.</w:t>
      </w:r>
    </w:p>
    <w:p w:rsidR="000518C0" w:rsidRDefault="000518C0" w:rsidP="002B7C06">
      <w:pPr>
        <w:pStyle w:val="ListParagraph"/>
        <w:spacing w:line="360" w:lineRule="auto"/>
        <w:rPr>
          <w:bCs/>
          <w:lang w:val="en-GB"/>
        </w:rPr>
      </w:pPr>
    </w:p>
    <w:p w:rsidR="005E7618" w:rsidRDefault="009F4E0C"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An argument similar to that made by Mr Lam </w:t>
      </w:r>
      <w:r w:rsidR="00C24252">
        <w:rPr>
          <w:bCs/>
          <w:lang w:val="en-GB"/>
        </w:rPr>
        <w:t xml:space="preserve">had also been made before the Court of Appeal in </w:t>
      </w:r>
      <w:r w:rsidR="00C24252" w:rsidRPr="00C24252">
        <w:rPr>
          <w:bCs/>
          <w:i/>
          <w:lang w:val="en-GB"/>
        </w:rPr>
        <w:t>Liu Chun Kow Joe v Lee Sau Wing</w:t>
      </w:r>
      <w:r w:rsidR="00C24252">
        <w:rPr>
          <w:bCs/>
          <w:lang w:val="en-GB"/>
        </w:rPr>
        <w:t xml:space="preserve"> (CACV 304/2007, unreported, 16 April 2008) and</w:t>
      </w:r>
      <w:r w:rsidR="007D7892">
        <w:rPr>
          <w:bCs/>
          <w:lang w:val="en-GB"/>
        </w:rPr>
        <w:t xml:space="preserve"> was</w:t>
      </w:r>
      <w:r w:rsidR="00C24252">
        <w:rPr>
          <w:bCs/>
          <w:lang w:val="en-GB"/>
        </w:rPr>
        <w:t xml:space="preserve"> rejected.  </w:t>
      </w:r>
      <w:r w:rsidR="005E7618">
        <w:rPr>
          <w:bCs/>
          <w:lang w:val="en-GB"/>
        </w:rPr>
        <w:t>It is adequate for me to quote Cheung JA’s Judgment as follows:</w:t>
      </w:r>
    </w:p>
    <w:p w:rsidR="005E7618" w:rsidRDefault="005E7618" w:rsidP="005E7618">
      <w:pPr>
        <w:pStyle w:val="ListParagraph"/>
        <w:rPr>
          <w:bCs/>
          <w:lang w:val="en-GB"/>
        </w:rPr>
      </w:pPr>
    </w:p>
    <w:p w:rsidR="005E7618" w:rsidRPr="005E7618" w:rsidRDefault="005E7618" w:rsidP="005E7618">
      <w:pPr>
        <w:tabs>
          <w:tab w:val="clear" w:pos="4320"/>
          <w:tab w:val="clear" w:pos="9072"/>
        </w:tabs>
        <w:snapToGrid/>
        <w:ind w:left="1440" w:right="746"/>
        <w:jc w:val="both"/>
        <w:rPr>
          <w:spacing w:val="20"/>
          <w:sz w:val="24"/>
          <w:szCs w:val="24"/>
        </w:rPr>
      </w:pPr>
      <w:r w:rsidRPr="005E7618">
        <w:rPr>
          <w:bCs/>
          <w:sz w:val="24"/>
          <w:szCs w:val="24"/>
          <w:lang w:val="en-GB"/>
        </w:rPr>
        <w:t>“</w:t>
      </w:r>
      <w:r>
        <w:rPr>
          <w:bCs/>
          <w:sz w:val="24"/>
          <w:szCs w:val="24"/>
          <w:lang w:val="en-GB"/>
        </w:rPr>
        <w:t>37.</w:t>
      </w:r>
      <w:r>
        <w:rPr>
          <w:bCs/>
          <w:sz w:val="24"/>
          <w:szCs w:val="24"/>
          <w:lang w:val="en-GB"/>
        </w:rPr>
        <w:tab/>
      </w:r>
      <w:r w:rsidRPr="005E7618">
        <w:rPr>
          <w:rFonts w:hint="eastAsia"/>
          <w:spacing w:val="20"/>
          <w:sz w:val="24"/>
          <w:szCs w:val="24"/>
        </w:rPr>
        <w:t>Mr. Sakhrani</w:t>
      </w:r>
      <w:r w:rsidRPr="005E7618">
        <w:rPr>
          <w:spacing w:val="20"/>
          <w:sz w:val="24"/>
          <w:szCs w:val="24"/>
        </w:rPr>
        <w:t>’</w:t>
      </w:r>
      <w:r w:rsidRPr="005E7618">
        <w:rPr>
          <w:rFonts w:hint="eastAsia"/>
          <w:spacing w:val="20"/>
          <w:sz w:val="24"/>
          <w:szCs w:val="24"/>
        </w:rPr>
        <w:t xml:space="preserve">s (counsel for the plaintiff) argument against the apportionment is that </w:t>
      </w:r>
      <w:r w:rsidRPr="005E7618">
        <w:rPr>
          <w:rFonts w:hint="eastAsia"/>
          <w:b/>
          <w:spacing w:val="20"/>
          <w:sz w:val="24"/>
          <w:szCs w:val="24"/>
          <w:u w:val="single"/>
        </w:rPr>
        <w:t>there was no evidence which could indicate when the preconditions would manifest themselves into disability and loss</w:t>
      </w:r>
      <w:r w:rsidRPr="005E7618">
        <w:rPr>
          <w:rFonts w:hint="eastAsia"/>
          <w:spacing w:val="20"/>
          <w:sz w:val="24"/>
          <w:szCs w:val="24"/>
        </w:rPr>
        <w:t xml:space="preserve">.  He referred to the evidence in </w:t>
      </w:r>
      <w:r w:rsidRPr="005E7618">
        <w:rPr>
          <w:rFonts w:hint="eastAsia"/>
          <w:i/>
          <w:iCs/>
          <w:spacing w:val="20"/>
          <w:sz w:val="24"/>
          <w:szCs w:val="24"/>
        </w:rPr>
        <w:t>Chan Kam Hoi</w:t>
      </w:r>
      <w:r w:rsidRPr="005E7618">
        <w:rPr>
          <w:rFonts w:hint="eastAsia"/>
          <w:spacing w:val="20"/>
          <w:sz w:val="24"/>
          <w:szCs w:val="24"/>
        </w:rPr>
        <w:t xml:space="preserve"> which showed that the </w:t>
      </w:r>
      <w:r w:rsidRPr="005E7618">
        <w:rPr>
          <w:spacing w:val="20"/>
          <w:sz w:val="24"/>
          <w:szCs w:val="24"/>
        </w:rPr>
        <w:t>precondition</w:t>
      </w:r>
      <w:r w:rsidRPr="005E7618">
        <w:rPr>
          <w:rFonts w:hint="eastAsia"/>
          <w:spacing w:val="20"/>
          <w:sz w:val="24"/>
          <w:szCs w:val="24"/>
        </w:rPr>
        <w:t xml:space="preserve"> would have affected the plaintiff</w:t>
      </w:r>
      <w:r w:rsidRPr="005E7618">
        <w:rPr>
          <w:spacing w:val="20"/>
          <w:sz w:val="24"/>
          <w:szCs w:val="24"/>
        </w:rPr>
        <w:t>’</w:t>
      </w:r>
      <w:r w:rsidRPr="005E7618">
        <w:rPr>
          <w:rFonts w:hint="eastAsia"/>
          <w:spacing w:val="20"/>
          <w:sz w:val="24"/>
          <w:szCs w:val="24"/>
        </w:rPr>
        <w:t>s working life from his mid-50</w:t>
      </w:r>
      <w:r w:rsidRPr="005E7618">
        <w:rPr>
          <w:spacing w:val="20"/>
          <w:sz w:val="24"/>
          <w:szCs w:val="24"/>
        </w:rPr>
        <w:t>’</w:t>
      </w:r>
      <w:r w:rsidRPr="005E7618">
        <w:rPr>
          <w:rFonts w:hint="eastAsia"/>
          <w:spacing w:val="20"/>
          <w:sz w:val="24"/>
          <w:szCs w:val="24"/>
        </w:rPr>
        <w:t xml:space="preserve">s and the medical evidence in </w:t>
      </w:r>
      <w:r w:rsidRPr="005E7618">
        <w:rPr>
          <w:rFonts w:hint="eastAsia"/>
          <w:i/>
          <w:iCs/>
          <w:spacing w:val="20"/>
          <w:sz w:val="24"/>
          <w:szCs w:val="24"/>
        </w:rPr>
        <w:t>Cheung Fat Tim v. Wong Siu Ming and Another</w:t>
      </w:r>
      <w:r w:rsidRPr="005E7618">
        <w:rPr>
          <w:rFonts w:hint="eastAsia"/>
          <w:spacing w:val="20"/>
          <w:sz w:val="24"/>
          <w:szCs w:val="24"/>
        </w:rPr>
        <w:t xml:space="preserve"> (H. C. Action No. A5079 of 1991) which showed that the plaintiff could have been able, without the accident, used his diseased elbow relatively normally for another three to five years before the pain would become noticeable and drive him to seek treatment</w:t>
      </w:r>
      <w:r w:rsidRPr="005E7618">
        <w:rPr>
          <w:spacing w:val="20"/>
          <w:sz w:val="24"/>
          <w:szCs w:val="24"/>
        </w:rPr>
        <w:t>.</w:t>
      </w:r>
    </w:p>
    <w:p w:rsidR="005E7618" w:rsidRDefault="005E7618" w:rsidP="005E7618">
      <w:pPr>
        <w:tabs>
          <w:tab w:val="clear" w:pos="4320"/>
          <w:tab w:val="clear" w:pos="9072"/>
        </w:tabs>
        <w:snapToGrid/>
        <w:ind w:left="1440" w:right="746"/>
        <w:jc w:val="both"/>
        <w:rPr>
          <w:bCs/>
          <w:sz w:val="24"/>
          <w:szCs w:val="24"/>
          <w:lang w:val="en-GB"/>
        </w:rPr>
      </w:pPr>
    </w:p>
    <w:p w:rsidR="005E7618" w:rsidRPr="005E7618" w:rsidRDefault="005E7618" w:rsidP="005E7618">
      <w:pPr>
        <w:tabs>
          <w:tab w:val="clear" w:pos="4320"/>
          <w:tab w:val="clear" w:pos="9072"/>
        </w:tabs>
        <w:snapToGrid/>
        <w:ind w:left="1440" w:right="746"/>
        <w:jc w:val="both"/>
        <w:rPr>
          <w:spacing w:val="20"/>
          <w:sz w:val="24"/>
          <w:szCs w:val="24"/>
        </w:rPr>
      </w:pPr>
      <w:r w:rsidRPr="005E7618">
        <w:rPr>
          <w:bCs/>
          <w:sz w:val="24"/>
          <w:szCs w:val="24"/>
          <w:lang w:val="en-GB"/>
        </w:rPr>
        <w:t>38.</w:t>
      </w:r>
      <w:r w:rsidRPr="005E7618">
        <w:rPr>
          <w:bCs/>
          <w:sz w:val="24"/>
          <w:szCs w:val="24"/>
          <w:lang w:val="en-GB"/>
        </w:rPr>
        <w:tab/>
      </w:r>
      <w:r w:rsidRPr="005E7618">
        <w:rPr>
          <w:rFonts w:hint="eastAsia"/>
          <w:b/>
          <w:spacing w:val="20"/>
          <w:sz w:val="24"/>
          <w:szCs w:val="24"/>
          <w:u w:val="single"/>
        </w:rPr>
        <w:t>It is true that there was no such evidence in the present case.  However, I do not regard such evidence to be the pre-requisite for an apportionment.</w:t>
      </w:r>
      <w:r w:rsidRPr="005E7618">
        <w:rPr>
          <w:rFonts w:hint="eastAsia"/>
          <w:spacing w:val="20"/>
          <w:sz w:val="24"/>
          <w:szCs w:val="24"/>
        </w:rPr>
        <w:t xml:space="preserve">  Ultimately the issue has to be decided by the overall evidence that is available in a case.  In this case the two orthopaedic specialists had stated that the degenerative back of the plaintiff was already symptomatic prior to the accident and that in the course of time is likely to deteriorate on its own right to cause symptoms even if the accident did not take place.  By apportioning 70% of the plaintiff</w:t>
      </w:r>
      <w:r w:rsidRPr="005E7618">
        <w:rPr>
          <w:spacing w:val="20"/>
          <w:sz w:val="24"/>
          <w:szCs w:val="24"/>
        </w:rPr>
        <w:t>’</w:t>
      </w:r>
      <w:r w:rsidRPr="005E7618">
        <w:rPr>
          <w:rFonts w:hint="eastAsia"/>
          <w:spacing w:val="20"/>
          <w:sz w:val="24"/>
          <w:szCs w:val="24"/>
        </w:rPr>
        <w:t xml:space="preserve">s impairment to the pre-existing condition and 30% to the accident, the doctors clearly recognized the seriousness of the pre-accident condition.  Dr. Singer likewise observed that </w:t>
      </w:r>
      <w:r w:rsidRPr="005E7618">
        <w:rPr>
          <w:spacing w:val="20"/>
          <w:sz w:val="24"/>
          <w:szCs w:val="24"/>
        </w:rPr>
        <w:t>‘at least without the pre-existing back pain the likelihood of triggering of the Adju</w:t>
      </w:r>
      <w:r w:rsidRPr="005E7618">
        <w:rPr>
          <w:rFonts w:hint="eastAsia"/>
          <w:spacing w:val="20"/>
          <w:sz w:val="24"/>
          <w:szCs w:val="24"/>
        </w:rPr>
        <w:t>s</w:t>
      </w:r>
      <w:r w:rsidRPr="005E7618">
        <w:rPr>
          <w:spacing w:val="20"/>
          <w:sz w:val="24"/>
          <w:szCs w:val="24"/>
        </w:rPr>
        <w:t xml:space="preserve">tment Disorder would have been much reduced say by 70%’ and </w:t>
      </w:r>
      <w:r w:rsidRPr="005E7618">
        <w:rPr>
          <w:rFonts w:hint="eastAsia"/>
          <w:spacing w:val="20"/>
          <w:sz w:val="24"/>
          <w:szCs w:val="24"/>
        </w:rPr>
        <w:t xml:space="preserve">that </w:t>
      </w:r>
      <w:r w:rsidRPr="005E7618">
        <w:rPr>
          <w:spacing w:val="20"/>
          <w:sz w:val="24"/>
          <w:szCs w:val="24"/>
        </w:rPr>
        <w:t>‘</w:t>
      </w:r>
      <w:r w:rsidRPr="005E7618">
        <w:rPr>
          <w:rFonts w:hint="eastAsia"/>
          <w:spacing w:val="20"/>
          <w:sz w:val="24"/>
          <w:szCs w:val="24"/>
        </w:rPr>
        <w:t xml:space="preserve">his pre-existing </w:t>
      </w:r>
      <w:r w:rsidRPr="005E7618">
        <w:rPr>
          <w:spacing w:val="20"/>
          <w:sz w:val="24"/>
          <w:szCs w:val="24"/>
        </w:rPr>
        <w:t>psychiatric</w:t>
      </w:r>
      <w:r w:rsidRPr="005E7618">
        <w:rPr>
          <w:rFonts w:hint="eastAsia"/>
          <w:spacing w:val="20"/>
          <w:sz w:val="24"/>
          <w:szCs w:val="24"/>
        </w:rPr>
        <w:t xml:space="preserve"> condition also partly caused his Adjustment Disorder</w:t>
      </w:r>
      <w:r w:rsidRPr="005E7618">
        <w:rPr>
          <w:spacing w:val="20"/>
          <w:sz w:val="24"/>
          <w:szCs w:val="24"/>
        </w:rPr>
        <w:t>’</w:t>
      </w:r>
      <w:r w:rsidRPr="005E7618">
        <w:rPr>
          <w:rFonts w:hint="eastAsia"/>
          <w:spacing w:val="20"/>
          <w:sz w:val="24"/>
          <w:szCs w:val="24"/>
        </w:rPr>
        <w:t>.  In my view the Judge was clearly entitled to make an apportionment in this case in the light of such evidence</w:t>
      </w:r>
      <w:r w:rsidRPr="005E7618">
        <w:rPr>
          <w:spacing w:val="20"/>
          <w:sz w:val="24"/>
          <w:szCs w:val="24"/>
        </w:rPr>
        <w:t>.</w:t>
      </w:r>
    </w:p>
    <w:p w:rsidR="005E7618" w:rsidRPr="005E7618" w:rsidRDefault="005E7618" w:rsidP="005E7618">
      <w:pPr>
        <w:tabs>
          <w:tab w:val="clear" w:pos="4320"/>
          <w:tab w:val="clear" w:pos="9072"/>
        </w:tabs>
        <w:snapToGrid/>
        <w:ind w:left="1350"/>
        <w:jc w:val="both"/>
        <w:rPr>
          <w:spacing w:val="20"/>
          <w:sz w:val="24"/>
          <w:szCs w:val="24"/>
        </w:rPr>
      </w:pPr>
    </w:p>
    <w:p w:rsidR="005E7618" w:rsidRDefault="005E7618" w:rsidP="005E7618">
      <w:pPr>
        <w:tabs>
          <w:tab w:val="clear" w:pos="4320"/>
          <w:tab w:val="clear" w:pos="9072"/>
        </w:tabs>
        <w:snapToGrid/>
        <w:ind w:left="1440" w:right="746"/>
        <w:jc w:val="both"/>
        <w:rPr>
          <w:spacing w:val="20"/>
        </w:rPr>
      </w:pPr>
      <w:r w:rsidRPr="005E7618">
        <w:rPr>
          <w:spacing w:val="20"/>
          <w:sz w:val="24"/>
          <w:szCs w:val="24"/>
        </w:rPr>
        <w:t>39.</w:t>
      </w:r>
      <w:r w:rsidRPr="005E7618">
        <w:rPr>
          <w:spacing w:val="20"/>
          <w:sz w:val="24"/>
          <w:szCs w:val="24"/>
        </w:rPr>
        <w:tab/>
      </w:r>
      <w:r w:rsidRPr="005E7618">
        <w:rPr>
          <w:rFonts w:hint="eastAsia"/>
          <w:spacing w:val="20"/>
          <w:sz w:val="24"/>
          <w:szCs w:val="24"/>
        </w:rPr>
        <w:t xml:space="preserve">Judges are not actuaries but their tasks frequently require them to make assessments of probabilities in quantitative terms based on available evidence.  This is not done by way of a clinical, mathematical </w:t>
      </w:r>
      <w:r w:rsidRPr="005E7618">
        <w:rPr>
          <w:spacing w:val="20"/>
          <w:sz w:val="24"/>
          <w:szCs w:val="24"/>
        </w:rPr>
        <w:t>approach nor by int</w:t>
      </w:r>
      <w:r w:rsidRPr="005E7618">
        <w:rPr>
          <w:rFonts w:hint="eastAsia"/>
          <w:spacing w:val="20"/>
          <w:sz w:val="24"/>
          <w:szCs w:val="24"/>
        </w:rPr>
        <w:t>u</w:t>
      </w:r>
      <w:r w:rsidRPr="005E7618">
        <w:rPr>
          <w:spacing w:val="20"/>
          <w:sz w:val="24"/>
          <w:szCs w:val="24"/>
        </w:rPr>
        <w:t>ition</w:t>
      </w:r>
      <w:r w:rsidRPr="005E7618">
        <w:rPr>
          <w:rFonts w:hint="eastAsia"/>
          <w:spacing w:val="20"/>
          <w:sz w:val="24"/>
          <w:szCs w:val="24"/>
        </w:rPr>
        <w:t xml:space="preserve"> but in a way which </w:t>
      </w:r>
      <w:r w:rsidRPr="005E7618">
        <w:rPr>
          <w:spacing w:val="20"/>
          <w:sz w:val="24"/>
          <w:szCs w:val="24"/>
        </w:rPr>
        <w:t>more</w:t>
      </w:r>
      <w:r w:rsidRPr="005E7618">
        <w:rPr>
          <w:rFonts w:hint="eastAsia"/>
          <w:spacing w:val="20"/>
          <w:sz w:val="24"/>
          <w:szCs w:val="24"/>
        </w:rPr>
        <w:t xml:space="preserve"> or less reflects the condition of the plaintiff based on the available evidence.</w:t>
      </w:r>
      <w:r w:rsidRPr="005E7618">
        <w:rPr>
          <w:spacing w:val="20"/>
          <w:sz w:val="24"/>
          <w:szCs w:val="24"/>
        </w:rPr>
        <w:t xml:space="preserve"> </w:t>
      </w:r>
      <w:r w:rsidRPr="005E7618">
        <w:rPr>
          <w:rFonts w:hint="eastAsia"/>
          <w:spacing w:val="20"/>
          <w:sz w:val="24"/>
          <w:szCs w:val="24"/>
        </w:rPr>
        <w:t xml:space="preserve"> In this case while a different judge may have given a different figure, I am not convinced that the Judge</w:t>
      </w:r>
      <w:r w:rsidRPr="005E7618">
        <w:rPr>
          <w:spacing w:val="20"/>
          <w:sz w:val="24"/>
          <w:szCs w:val="24"/>
        </w:rPr>
        <w:t>’</w:t>
      </w:r>
      <w:r w:rsidRPr="005E7618">
        <w:rPr>
          <w:rFonts w:hint="eastAsia"/>
          <w:spacing w:val="20"/>
          <w:sz w:val="24"/>
          <w:szCs w:val="24"/>
        </w:rPr>
        <w:t>s assessment that the plaintiff</w:t>
      </w:r>
      <w:r w:rsidRPr="005E7618">
        <w:rPr>
          <w:spacing w:val="20"/>
          <w:sz w:val="24"/>
          <w:szCs w:val="24"/>
        </w:rPr>
        <w:t>’</w:t>
      </w:r>
      <w:r w:rsidRPr="005E7618">
        <w:rPr>
          <w:rFonts w:hint="eastAsia"/>
          <w:spacing w:val="20"/>
          <w:sz w:val="24"/>
          <w:szCs w:val="24"/>
        </w:rPr>
        <w:t xml:space="preserve">s preconditions accounted for 60% of his impairment is so perverse that an appellate court should intervene.  This is in the realm of a finding of fact.  </w:t>
      </w:r>
      <w:r w:rsidRPr="005E7618">
        <w:rPr>
          <w:rFonts w:hint="eastAsia"/>
          <w:b/>
          <w:spacing w:val="20"/>
          <w:sz w:val="24"/>
          <w:szCs w:val="24"/>
          <w:u w:val="single"/>
        </w:rPr>
        <w:t>In any event it is to be noted that the discount was only applied by the Judge to the PSLA and not to loss of wage or other items.  Hence the question of when in the future the preconditions would begin to affect the plaintiff</w:t>
      </w:r>
      <w:r w:rsidRPr="005E7618">
        <w:rPr>
          <w:b/>
          <w:spacing w:val="20"/>
          <w:sz w:val="24"/>
          <w:szCs w:val="24"/>
          <w:u w:val="single"/>
        </w:rPr>
        <w:t>’</w:t>
      </w:r>
      <w:r w:rsidRPr="005E7618">
        <w:rPr>
          <w:rFonts w:hint="eastAsia"/>
          <w:b/>
          <w:spacing w:val="20"/>
          <w:sz w:val="24"/>
          <w:szCs w:val="24"/>
          <w:u w:val="single"/>
        </w:rPr>
        <w:t xml:space="preserve">s work and his </w:t>
      </w:r>
      <w:r w:rsidRPr="005E7618">
        <w:rPr>
          <w:b/>
          <w:spacing w:val="20"/>
          <w:sz w:val="24"/>
          <w:szCs w:val="24"/>
          <w:u w:val="single"/>
        </w:rPr>
        <w:t>earning</w:t>
      </w:r>
      <w:r w:rsidRPr="005E7618">
        <w:rPr>
          <w:rFonts w:hint="eastAsia"/>
          <w:b/>
          <w:spacing w:val="20"/>
          <w:sz w:val="24"/>
          <w:szCs w:val="24"/>
          <w:u w:val="single"/>
        </w:rPr>
        <w:t xml:space="preserve"> would not arise</w:t>
      </w:r>
      <w:r w:rsidRPr="005E7618">
        <w:rPr>
          <w:b/>
          <w:spacing w:val="20"/>
          <w:sz w:val="24"/>
          <w:szCs w:val="24"/>
          <w:u w:val="single"/>
        </w:rPr>
        <w:t>.</w:t>
      </w:r>
      <w:r>
        <w:rPr>
          <w:spacing w:val="20"/>
          <w:sz w:val="24"/>
          <w:szCs w:val="24"/>
        </w:rPr>
        <w:t>” (emphasis added)</w:t>
      </w:r>
    </w:p>
    <w:p w:rsidR="005E7618" w:rsidRDefault="005E7618" w:rsidP="002B7C06">
      <w:pPr>
        <w:tabs>
          <w:tab w:val="clear" w:pos="4320"/>
          <w:tab w:val="clear" w:pos="9072"/>
        </w:tabs>
        <w:snapToGrid/>
        <w:spacing w:line="360" w:lineRule="auto"/>
        <w:jc w:val="both"/>
        <w:rPr>
          <w:spacing w:val="20"/>
        </w:rPr>
      </w:pPr>
    </w:p>
    <w:p w:rsidR="006F457C" w:rsidRDefault="006F457C"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As will be seen below, given the relatively young age of the plaintiff at the time of the accident, I am of the view that, should there be any reduction, it should only be applicable to the damages for PSLA.  </w:t>
      </w:r>
    </w:p>
    <w:p w:rsidR="006F457C" w:rsidRDefault="006F457C" w:rsidP="002B7C06">
      <w:pPr>
        <w:tabs>
          <w:tab w:val="clear" w:pos="4320"/>
          <w:tab w:val="clear" w:pos="9072"/>
        </w:tabs>
        <w:snapToGrid/>
        <w:spacing w:line="360" w:lineRule="auto"/>
        <w:jc w:val="both"/>
        <w:rPr>
          <w:bCs/>
          <w:lang w:val="en-GB"/>
        </w:rPr>
      </w:pPr>
    </w:p>
    <w:p w:rsidR="009F4E0C" w:rsidRDefault="006836C8" w:rsidP="002B7C06">
      <w:pPr>
        <w:numPr>
          <w:ilvl w:val="0"/>
          <w:numId w:val="2"/>
        </w:numPr>
        <w:tabs>
          <w:tab w:val="clear" w:pos="360"/>
          <w:tab w:val="clear" w:pos="4320"/>
          <w:tab w:val="clear" w:pos="9072"/>
        </w:tabs>
        <w:snapToGrid/>
        <w:spacing w:line="360" w:lineRule="auto"/>
        <w:jc w:val="both"/>
        <w:rPr>
          <w:bCs/>
          <w:lang w:val="en-GB"/>
        </w:rPr>
      </w:pPr>
      <w:r>
        <w:rPr>
          <w:bCs/>
          <w:lang w:val="en-GB"/>
        </w:rPr>
        <w:t>To be fair to the plaintiff, this court informed the parties in writing about the discovery of the above authorities and gave the</w:t>
      </w:r>
      <w:r w:rsidR="00B0266D">
        <w:rPr>
          <w:bCs/>
          <w:lang w:val="en-GB"/>
        </w:rPr>
        <w:t xml:space="preserve">m (especially the </w:t>
      </w:r>
      <w:r w:rsidR="005A31F4">
        <w:rPr>
          <w:bCs/>
          <w:lang w:val="en-GB"/>
        </w:rPr>
        <w:t>plaintiff</w:t>
      </w:r>
      <w:r w:rsidR="00B0266D">
        <w:rPr>
          <w:bCs/>
          <w:lang w:val="en-GB"/>
        </w:rPr>
        <w:t>)</w:t>
      </w:r>
      <w:r>
        <w:rPr>
          <w:bCs/>
          <w:lang w:val="en-GB"/>
        </w:rPr>
        <w:t xml:space="preserve"> a chance to address the court on those authorities</w:t>
      </w:r>
      <w:r w:rsidR="00B0266D">
        <w:rPr>
          <w:bCs/>
          <w:lang w:val="en-GB"/>
        </w:rPr>
        <w:t xml:space="preserve">.  </w:t>
      </w:r>
    </w:p>
    <w:p w:rsidR="00B0266D" w:rsidRDefault="00B0266D" w:rsidP="00B0266D">
      <w:pPr>
        <w:pStyle w:val="ListParagraph"/>
        <w:rPr>
          <w:bCs/>
          <w:lang w:val="en-GB"/>
        </w:rPr>
      </w:pPr>
    </w:p>
    <w:p w:rsidR="00B0266D" w:rsidRPr="00B0266D" w:rsidRDefault="00B0266D"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In his further written submissions, Mr Lam argued that the Court of Appeal in </w:t>
      </w:r>
      <w:r w:rsidRPr="00B0266D">
        <w:rPr>
          <w:bCs/>
          <w:i/>
          <w:lang w:val="en-GB"/>
        </w:rPr>
        <w:t>Li Sau Keung</w:t>
      </w:r>
      <w:r>
        <w:rPr>
          <w:bCs/>
          <w:lang w:val="en-GB"/>
        </w:rPr>
        <w:t xml:space="preserve"> had actually preferred the opinion of the defendant’s expert that </w:t>
      </w:r>
      <w:r>
        <w:rPr>
          <w:rFonts w:hint="eastAsia"/>
        </w:rPr>
        <w:t xml:space="preserve">it was more likely than not that had </w:t>
      </w:r>
      <w:r>
        <w:t>t</w:t>
      </w:r>
      <w:r>
        <w:rPr>
          <w:rFonts w:hint="eastAsia"/>
        </w:rPr>
        <w:t>he</w:t>
      </w:r>
      <w:r>
        <w:t xml:space="preserve"> plaintiff therein</w:t>
      </w:r>
      <w:r>
        <w:rPr>
          <w:rFonts w:hint="eastAsia"/>
        </w:rPr>
        <w:t xml:space="preserve"> not met both the accidents, back pain would have developed around the age of forty-five</w:t>
      </w:r>
      <w:r>
        <w:t xml:space="preserve">.  With greatest respect, this submission is totally without basis. </w:t>
      </w:r>
    </w:p>
    <w:p w:rsidR="00B0266D" w:rsidRDefault="00B0266D" w:rsidP="00B0266D">
      <w:pPr>
        <w:pStyle w:val="ListParagraph"/>
        <w:rPr>
          <w:bCs/>
          <w:lang w:val="en-GB"/>
        </w:rPr>
      </w:pPr>
    </w:p>
    <w:p w:rsidR="00B0266D" w:rsidRDefault="00B0266D"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Mr Lam further attempted to distinguish the facts in </w:t>
      </w:r>
      <w:r w:rsidRPr="00B0266D">
        <w:rPr>
          <w:bCs/>
          <w:i/>
          <w:lang w:val="en-GB"/>
        </w:rPr>
        <w:t>Liu Chun Kow Joe</w:t>
      </w:r>
      <w:r>
        <w:rPr>
          <w:bCs/>
          <w:lang w:val="en-GB"/>
        </w:rPr>
        <w:t xml:space="preserve"> from those of the present case, and submitted that the pre-existing condition of the plaintiff therein was already symptomatic before the accident.  I do not think such a distinction is important for our purpose.  What is important is the approach which has to be adopted by the court.</w:t>
      </w:r>
    </w:p>
    <w:p w:rsidR="005A31F4" w:rsidRDefault="005A31F4" w:rsidP="002B7C06">
      <w:pPr>
        <w:pStyle w:val="ListParagraph"/>
        <w:spacing w:line="360" w:lineRule="auto"/>
        <w:rPr>
          <w:bCs/>
          <w:lang w:val="en-GB"/>
        </w:rPr>
      </w:pPr>
    </w:p>
    <w:p w:rsidR="005A31F4" w:rsidRDefault="005A31F4"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For reasons of the aforesaid, I reject Mr Lam’s argument. </w:t>
      </w:r>
    </w:p>
    <w:p w:rsidR="005A31F4" w:rsidRDefault="005A31F4" w:rsidP="002B7C06">
      <w:pPr>
        <w:pStyle w:val="ListParagraph"/>
        <w:spacing w:line="360" w:lineRule="auto"/>
        <w:rPr>
          <w:bCs/>
          <w:lang w:val="en-GB"/>
        </w:rPr>
      </w:pPr>
    </w:p>
    <w:p w:rsidR="00A178B1" w:rsidRDefault="00131A12"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Ms Kwok initially suggested that </w:t>
      </w:r>
      <w:r w:rsidR="00A178B1">
        <w:rPr>
          <w:bCs/>
          <w:lang w:val="en-GB"/>
        </w:rPr>
        <w:t xml:space="preserve">the </w:t>
      </w:r>
      <w:r>
        <w:rPr>
          <w:bCs/>
          <w:lang w:val="en-GB"/>
        </w:rPr>
        <w:t xml:space="preserve">discount should be applied across the board.  However, she eventually accepted that that is not appropriate in the light of </w:t>
      </w:r>
      <w:r w:rsidRPr="00C24252">
        <w:rPr>
          <w:bCs/>
          <w:i/>
          <w:lang w:val="en-GB"/>
        </w:rPr>
        <w:t>Chan Kam Hoi</w:t>
      </w:r>
      <w:r>
        <w:rPr>
          <w:bCs/>
          <w:lang w:val="en-GB"/>
        </w:rPr>
        <w:t>.  Given the plaintiff’s young age, I take the view that the pre-trial loss of earnings should not be reduced</w:t>
      </w:r>
      <w:r w:rsidR="00A178B1">
        <w:rPr>
          <w:bCs/>
          <w:lang w:val="en-GB"/>
        </w:rPr>
        <w:t>, as I do not think the pre-existing degeneration would have affected the plaintiff at such an early stage without the accident</w:t>
      </w:r>
      <w:r>
        <w:rPr>
          <w:bCs/>
          <w:lang w:val="en-GB"/>
        </w:rPr>
        <w:t>.  Hence, I hold that only damages for PSLA should be deducted by the discount.</w:t>
      </w:r>
    </w:p>
    <w:p w:rsidR="00A178B1" w:rsidRDefault="00A178B1" w:rsidP="002B7C06">
      <w:pPr>
        <w:pStyle w:val="ListParagraph"/>
        <w:spacing w:line="360" w:lineRule="auto"/>
        <w:rPr>
          <w:bCs/>
          <w:lang w:val="en-GB"/>
        </w:rPr>
      </w:pPr>
    </w:p>
    <w:p w:rsidR="005A31F4" w:rsidRDefault="00A178B1"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As far as the percentage of the discount is concerned, </w:t>
      </w:r>
      <w:r w:rsidR="00321F3F">
        <w:rPr>
          <w:bCs/>
          <w:lang w:val="en-GB"/>
        </w:rPr>
        <w:t xml:space="preserve">Ms Kwok suggested 10%.  </w:t>
      </w:r>
      <w:r w:rsidR="00443D06">
        <w:rPr>
          <w:bCs/>
          <w:lang w:val="en-GB"/>
        </w:rPr>
        <w:t>I note that it was</w:t>
      </w:r>
      <w:r w:rsidR="00321F3F">
        <w:rPr>
          <w:bCs/>
          <w:lang w:val="en-GB"/>
        </w:rPr>
        <w:t xml:space="preserve"> Dr Chun’s opinion (which Dr Kong did not disagree) that out of the 5% whole person impairment caused by the pre-existing degeneration of the lumber spine, 3% of which should be attributed to accident</w:t>
      </w:r>
      <w:r w:rsidR="00443D06">
        <w:rPr>
          <w:bCs/>
          <w:lang w:val="en-GB"/>
        </w:rPr>
        <w:t xml:space="preserve">.  For unknown reason, the percentage of impairment attributed to the accident was less than that stated in Dr Chun’s Report, in which he gave a figure of 4%.  Even if Dr Chun’s Report is adopted in this aspect, </w:t>
      </w:r>
      <w:r w:rsidR="00321F3F">
        <w:rPr>
          <w:bCs/>
          <w:lang w:val="en-GB"/>
        </w:rPr>
        <w:t xml:space="preserve">the amount of reduction proposed by Ms Kwok is </w:t>
      </w:r>
      <w:r w:rsidR="00443D06">
        <w:rPr>
          <w:bCs/>
          <w:lang w:val="en-GB"/>
        </w:rPr>
        <w:t xml:space="preserve">still </w:t>
      </w:r>
      <w:r w:rsidR="00321F3F">
        <w:rPr>
          <w:bCs/>
          <w:lang w:val="en-GB"/>
        </w:rPr>
        <w:t xml:space="preserve">a fair one, and I have no hesitation </w:t>
      </w:r>
      <w:r w:rsidR="00F654CF">
        <w:rPr>
          <w:bCs/>
          <w:lang w:val="en-GB"/>
        </w:rPr>
        <w:t>in accepting it.</w:t>
      </w:r>
    </w:p>
    <w:p w:rsidR="005A31F4" w:rsidRDefault="005A31F4" w:rsidP="002B7C06">
      <w:pPr>
        <w:pStyle w:val="ListParagraph"/>
        <w:spacing w:line="360" w:lineRule="auto"/>
        <w:rPr>
          <w:bCs/>
          <w:lang w:val="en-GB"/>
        </w:rPr>
      </w:pPr>
    </w:p>
    <w:p w:rsidR="00131A12" w:rsidRDefault="00F654CF" w:rsidP="002B7C06">
      <w:pPr>
        <w:numPr>
          <w:ilvl w:val="0"/>
          <w:numId w:val="2"/>
        </w:numPr>
        <w:tabs>
          <w:tab w:val="clear" w:pos="360"/>
          <w:tab w:val="clear" w:pos="4320"/>
          <w:tab w:val="clear" w:pos="9072"/>
        </w:tabs>
        <w:snapToGrid/>
        <w:spacing w:line="360" w:lineRule="auto"/>
        <w:jc w:val="both"/>
        <w:rPr>
          <w:bCs/>
          <w:lang w:val="en-GB"/>
        </w:rPr>
      </w:pPr>
      <w:r>
        <w:rPr>
          <w:bCs/>
          <w:lang w:val="en-GB"/>
        </w:rPr>
        <w:t xml:space="preserve">The amount of damages for PSLA should therefore be assessed at </w:t>
      </w:r>
      <w:r w:rsidRPr="00F654CF">
        <w:rPr>
          <w:b/>
          <w:bCs/>
          <w:lang w:val="en-GB"/>
        </w:rPr>
        <w:t>$225,000</w:t>
      </w:r>
      <w:r>
        <w:rPr>
          <w:bCs/>
          <w:lang w:val="en-GB"/>
        </w:rPr>
        <w:t xml:space="preserve"> ($250,000 x 90%).</w:t>
      </w:r>
    </w:p>
    <w:p w:rsidR="008201D8" w:rsidRPr="008201D8" w:rsidRDefault="008201D8" w:rsidP="002B7C06">
      <w:pPr>
        <w:tabs>
          <w:tab w:val="clear" w:pos="4320"/>
          <w:tab w:val="clear" w:pos="9072"/>
        </w:tabs>
        <w:snapToGrid/>
        <w:spacing w:line="360" w:lineRule="auto"/>
        <w:jc w:val="both"/>
        <w:rPr>
          <w:bCs/>
          <w:lang w:val="en-GB"/>
        </w:rPr>
      </w:pPr>
    </w:p>
    <w:p w:rsidR="008201D8" w:rsidRDefault="00BA01A2" w:rsidP="002B7C06">
      <w:pPr>
        <w:tabs>
          <w:tab w:val="clear" w:pos="1440"/>
          <w:tab w:val="clear" w:pos="4320"/>
          <w:tab w:val="clear" w:pos="9072"/>
          <w:tab w:val="left" w:pos="1418"/>
        </w:tabs>
        <w:snapToGrid/>
        <w:spacing w:line="360" w:lineRule="auto"/>
        <w:jc w:val="both"/>
        <w:rPr>
          <w:bCs/>
          <w:i/>
          <w:lang w:val="en-GB"/>
        </w:rPr>
      </w:pPr>
      <w:r>
        <w:rPr>
          <w:bCs/>
          <w:i/>
          <w:lang w:val="en-GB"/>
        </w:rPr>
        <w:t>SUMMARY OF DAMAGES AWARDED</w:t>
      </w:r>
    </w:p>
    <w:p w:rsidR="004B4CD4" w:rsidRPr="008201D8" w:rsidRDefault="004B4CD4" w:rsidP="002B7C06">
      <w:pPr>
        <w:tabs>
          <w:tab w:val="clear" w:pos="1440"/>
          <w:tab w:val="clear" w:pos="4320"/>
          <w:tab w:val="clear" w:pos="9072"/>
          <w:tab w:val="left" w:pos="1418"/>
        </w:tabs>
        <w:snapToGrid/>
        <w:spacing w:line="360" w:lineRule="auto"/>
        <w:jc w:val="both"/>
        <w:rPr>
          <w:bCs/>
          <w:i/>
          <w:lang w:val="en-GB"/>
        </w:rPr>
      </w:pPr>
    </w:p>
    <w:p w:rsidR="008201D8" w:rsidRDefault="002B558A" w:rsidP="002B7C06">
      <w:pPr>
        <w:numPr>
          <w:ilvl w:val="0"/>
          <w:numId w:val="2"/>
        </w:numPr>
        <w:tabs>
          <w:tab w:val="clear" w:pos="360"/>
          <w:tab w:val="clear" w:pos="4320"/>
          <w:tab w:val="clear" w:pos="9072"/>
        </w:tabs>
        <w:snapToGrid/>
        <w:spacing w:line="360" w:lineRule="auto"/>
        <w:jc w:val="both"/>
        <w:rPr>
          <w:bCs/>
          <w:lang w:val="en-GB"/>
        </w:rPr>
      </w:pPr>
      <w:r>
        <w:rPr>
          <w:bCs/>
          <w:lang w:val="en-GB"/>
        </w:rPr>
        <w:t>In summary, the plaintiff shall be awarded the following damages: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1803"/>
      </w:tblGrid>
      <w:tr w:rsidR="002B558A" w:rsidRPr="00BA24D0" w:rsidTr="00CB2715">
        <w:tc>
          <w:tcPr>
            <w:tcW w:w="4770" w:type="dxa"/>
            <w:shd w:val="clear" w:color="auto" w:fill="auto"/>
          </w:tcPr>
          <w:p w:rsidR="002B558A" w:rsidRPr="00BA24D0" w:rsidRDefault="002B558A" w:rsidP="00CB2715">
            <w:pPr>
              <w:tabs>
                <w:tab w:val="clear" w:pos="4320"/>
                <w:tab w:val="clear" w:pos="9072"/>
              </w:tabs>
              <w:snapToGrid/>
              <w:spacing w:line="360" w:lineRule="auto"/>
              <w:jc w:val="center"/>
              <w:rPr>
                <w:b/>
                <w:bCs/>
                <w:u w:val="single"/>
                <w:lang w:val="en-GB"/>
              </w:rPr>
            </w:pPr>
            <w:r w:rsidRPr="00BA24D0">
              <w:rPr>
                <w:b/>
                <w:bCs/>
                <w:u w:val="single"/>
                <w:lang w:val="en-GB"/>
              </w:rPr>
              <w:t>Heads of damages</w:t>
            </w:r>
          </w:p>
        </w:tc>
        <w:tc>
          <w:tcPr>
            <w:tcW w:w="1800" w:type="dxa"/>
            <w:shd w:val="clear" w:color="auto" w:fill="auto"/>
          </w:tcPr>
          <w:p w:rsidR="002B558A" w:rsidRPr="00BA24D0" w:rsidRDefault="002B558A" w:rsidP="00CB2715">
            <w:pPr>
              <w:tabs>
                <w:tab w:val="clear" w:pos="4320"/>
                <w:tab w:val="clear" w:pos="9072"/>
              </w:tabs>
              <w:snapToGrid/>
              <w:spacing w:line="360" w:lineRule="auto"/>
              <w:jc w:val="center"/>
              <w:rPr>
                <w:b/>
                <w:bCs/>
                <w:u w:val="single"/>
                <w:lang w:val="en-GB"/>
              </w:rPr>
            </w:pPr>
            <w:r w:rsidRPr="00BA24D0">
              <w:rPr>
                <w:b/>
                <w:bCs/>
                <w:u w:val="single"/>
                <w:lang w:val="en-GB"/>
              </w:rPr>
              <w:t>Amount</w:t>
            </w:r>
          </w:p>
        </w:tc>
      </w:tr>
      <w:tr w:rsidR="002B558A" w:rsidRPr="00BA24D0" w:rsidTr="00CB2715">
        <w:tc>
          <w:tcPr>
            <w:tcW w:w="4770" w:type="dxa"/>
            <w:shd w:val="clear" w:color="auto" w:fill="auto"/>
          </w:tcPr>
          <w:p w:rsidR="002B558A" w:rsidRPr="00BA24D0" w:rsidRDefault="002B558A" w:rsidP="00CB2715">
            <w:pPr>
              <w:tabs>
                <w:tab w:val="clear" w:pos="4320"/>
                <w:tab w:val="clear" w:pos="9072"/>
              </w:tabs>
              <w:snapToGrid/>
              <w:spacing w:line="360" w:lineRule="auto"/>
              <w:jc w:val="both"/>
              <w:rPr>
                <w:bCs/>
                <w:lang w:val="en-GB"/>
              </w:rPr>
            </w:pPr>
            <w:r w:rsidRPr="00BA24D0">
              <w:rPr>
                <w:bCs/>
                <w:lang w:val="en-GB"/>
              </w:rPr>
              <w:t>PSLA</w:t>
            </w:r>
            <w:r w:rsidR="00CB2715">
              <w:rPr>
                <w:bCs/>
                <w:lang w:val="en-GB"/>
              </w:rPr>
              <w:t xml:space="preserve"> ( after deducting 10</w:t>
            </w:r>
            <w:r w:rsidR="00CB2715" w:rsidRPr="00BA24D0">
              <w:rPr>
                <w:bCs/>
                <w:lang w:val="en-GB"/>
              </w:rPr>
              <w:t xml:space="preserve">% </w:t>
            </w:r>
            <w:r w:rsidR="00CB2715">
              <w:rPr>
                <w:bCs/>
                <w:lang w:val="en-GB"/>
              </w:rPr>
              <w:t>d</w:t>
            </w:r>
            <w:r w:rsidR="00CB2715" w:rsidRPr="00BA24D0">
              <w:rPr>
                <w:bCs/>
                <w:lang w:val="en-GB"/>
              </w:rPr>
              <w:t>iscount for pre-existing condition</w:t>
            </w:r>
            <w:r w:rsidR="009877E7">
              <w:rPr>
                <w:bCs/>
                <w:lang w:val="en-GB"/>
              </w:rPr>
              <w:t>s</w:t>
            </w:r>
            <w:r w:rsidR="00CB2715">
              <w:rPr>
                <w:bCs/>
                <w:lang w:val="en-GB"/>
              </w:rPr>
              <w:t>)</w:t>
            </w:r>
          </w:p>
        </w:tc>
        <w:tc>
          <w:tcPr>
            <w:tcW w:w="1800" w:type="dxa"/>
            <w:shd w:val="clear" w:color="auto" w:fill="auto"/>
          </w:tcPr>
          <w:p w:rsidR="002B558A" w:rsidRPr="00BA24D0" w:rsidRDefault="00A624D7" w:rsidP="00CB2715">
            <w:pPr>
              <w:tabs>
                <w:tab w:val="clear" w:pos="4320"/>
                <w:tab w:val="clear" w:pos="9072"/>
              </w:tabs>
              <w:snapToGrid/>
              <w:spacing w:line="360" w:lineRule="auto"/>
              <w:jc w:val="right"/>
              <w:rPr>
                <w:bCs/>
                <w:lang w:val="en-GB"/>
              </w:rPr>
            </w:pPr>
            <w:r>
              <w:rPr>
                <w:bCs/>
                <w:lang w:val="en-GB"/>
              </w:rPr>
              <w:t>$2</w:t>
            </w:r>
            <w:r w:rsidR="00CB2715">
              <w:rPr>
                <w:bCs/>
                <w:lang w:val="en-GB"/>
              </w:rPr>
              <w:t>2</w:t>
            </w:r>
            <w:r>
              <w:rPr>
                <w:bCs/>
                <w:lang w:val="en-GB"/>
              </w:rPr>
              <w:t>5</w:t>
            </w:r>
            <w:r w:rsidR="002B558A" w:rsidRPr="00BA24D0">
              <w:rPr>
                <w:bCs/>
                <w:lang w:val="en-GB"/>
              </w:rPr>
              <w:t>,000</w:t>
            </w:r>
            <w:r w:rsidR="00AA5610" w:rsidRPr="00BA24D0">
              <w:rPr>
                <w:bCs/>
                <w:lang w:val="en-GB"/>
              </w:rPr>
              <w:t>.00</w:t>
            </w:r>
          </w:p>
        </w:tc>
      </w:tr>
      <w:tr w:rsidR="002B558A" w:rsidRPr="00BA24D0" w:rsidTr="00CB2715">
        <w:tc>
          <w:tcPr>
            <w:tcW w:w="4770" w:type="dxa"/>
            <w:shd w:val="clear" w:color="auto" w:fill="auto"/>
          </w:tcPr>
          <w:p w:rsidR="002B558A" w:rsidRPr="00BA24D0" w:rsidRDefault="002B558A" w:rsidP="00BA24D0">
            <w:pPr>
              <w:tabs>
                <w:tab w:val="clear" w:pos="4320"/>
                <w:tab w:val="clear" w:pos="9072"/>
              </w:tabs>
              <w:snapToGrid/>
              <w:spacing w:line="360" w:lineRule="auto"/>
              <w:jc w:val="both"/>
              <w:rPr>
                <w:bCs/>
                <w:lang w:val="en-GB"/>
              </w:rPr>
            </w:pPr>
            <w:r w:rsidRPr="00BA24D0">
              <w:rPr>
                <w:bCs/>
                <w:lang w:val="en-GB"/>
              </w:rPr>
              <w:t>Pre-trial loss of earnings and MPF</w:t>
            </w:r>
          </w:p>
        </w:tc>
        <w:tc>
          <w:tcPr>
            <w:tcW w:w="1800" w:type="dxa"/>
            <w:shd w:val="clear" w:color="auto" w:fill="auto"/>
          </w:tcPr>
          <w:p w:rsidR="002B558A" w:rsidRPr="002D1549" w:rsidRDefault="002D1549" w:rsidP="00443D06">
            <w:pPr>
              <w:tabs>
                <w:tab w:val="clear" w:pos="4320"/>
                <w:tab w:val="clear" w:pos="9072"/>
              </w:tabs>
              <w:snapToGrid/>
              <w:spacing w:line="360" w:lineRule="auto"/>
              <w:jc w:val="right"/>
              <w:rPr>
                <w:bCs/>
                <w:lang w:val="en-GB"/>
              </w:rPr>
            </w:pPr>
            <w:r w:rsidRPr="002D1549">
              <w:rPr>
                <w:bCs/>
                <w:lang w:val="en-GB"/>
              </w:rPr>
              <w:t>$91,739.4</w:t>
            </w:r>
            <w:r w:rsidR="00443D06">
              <w:rPr>
                <w:bCs/>
                <w:lang w:val="en-GB"/>
              </w:rPr>
              <w:t>2</w:t>
            </w:r>
          </w:p>
        </w:tc>
      </w:tr>
      <w:tr w:rsidR="002B558A" w:rsidRPr="00BA24D0" w:rsidTr="00CB2715">
        <w:tc>
          <w:tcPr>
            <w:tcW w:w="4770" w:type="dxa"/>
            <w:shd w:val="clear" w:color="auto" w:fill="auto"/>
          </w:tcPr>
          <w:p w:rsidR="002B558A" w:rsidRPr="00BA24D0" w:rsidRDefault="00AA5610" w:rsidP="00BA24D0">
            <w:pPr>
              <w:tabs>
                <w:tab w:val="clear" w:pos="4320"/>
                <w:tab w:val="clear" w:pos="9072"/>
              </w:tabs>
              <w:snapToGrid/>
              <w:spacing w:line="360" w:lineRule="auto"/>
              <w:jc w:val="both"/>
              <w:rPr>
                <w:bCs/>
                <w:lang w:val="en-GB"/>
              </w:rPr>
            </w:pPr>
            <w:r w:rsidRPr="00BA24D0">
              <w:rPr>
                <w:bCs/>
                <w:lang w:val="en-GB"/>
              </w:rPr>
              <w:t>Loss of earning capacity</w:t>
            </w:r>
          </w:p>
        </w:tc>
        <w:tc>
          <w:tcPr>
            <w:tcW w:w="1800" w:type="dxa"/>
            <w:shd w:val="clear" w:color="auto" w:fill="auto"/>
          </w:tcPr>
          <w:p w:rsidR="002B558A" w:rsidRPr="002D1549" w:rsidRDefault="00AA5610" w:rsidP="00B978C9">
            <w:pPr>
              <w:tabs>
                <w:tab w:val="clear" w:pos="4320"/>
                <w:tab w:val="clear" w:pos="9072"/>
              </w:tabs>
              <w:snapToGrid/>
              <w:spacing w:line="360" w:lineRule="auto"/>
              <w:jc w:val="right"/>
              <w:rPr>
                <w:bCs/>
                <w:lang w:val="en-GB"/>
              </w:rPr>
            </w:pPr>
            <w:r w:rsidRPr="002D1549">
              <w:rPr>
                <w:bCs/>
                <w:lang w:val="en-GB"/>
              </w:rPr>
              <w:t>$</w:t>
            </w:r>
            <w:r w:rsidR="00CB2715">
              <w:rPr>
                <w:bCs/>
                <w:lang w:val="en-GB"/>
              </w:rPr>
              <w:t>1</w:t>
            </w:r>
            <w:r w:rsidR="00B978C9">
              <w:rPr>
                <w:bCs/>
                <w:lang w:val="en-GB"/>
              </w:rPr>
              <w:t>5</w:t>
            </w:r>
            <w:r w:rsidR="00CB2715">
              <w:rPr>
                <w:bCs/>
                <w:lang w:val="en-GB"/>
              </w:rPr>
              <w:t>0,000.00</w:t>
            </w:r>
          </w:p>
        </w:tc>
      </w:tr>
      <w:tr w:rsidR="002B558A" w:rsidRPr="00BA24D0" w:rsidTr="00CB2715">
        <w:tc>
          <w:tcPr>
            <w:tcW w:w="4770" w:type="dxa"/>
            <w:shd w:val="clear" w:color="auto" w:fill="auto"/>
          </w:tcPr>
          <w:p w:rsidR="002B558A" w:rsidRPr="00BA24D0" w:rsidRDefault="00AA5610" w:rsidP="00BA24D0">
            <w:pPr>
              <w:tabs>
                <w:tab w:val="clear" w:pos="4320"/>
                <w:tab w:val="clear" w:pos="9072"/>
              </w:tabs>
              <w:snapToGrid/>
              <w:spacing w:line="360" w:lineRule="auto"/>
              <w:jc w:val="both"/>
              <w:rPr>
                <w:bCs/>
                <w:lang w:val="en-GB"/>
              </w:rPr>
            </w:pPr>
            <w:r w:rsidRPr="00BA24D0">
              <w:rPr>
                <w:bCs/>
                <w:lang w:val="en-GB"/>
              </w:rPr>
              <w:t>Medical expenses</w:t>
            </w:r>
          </w:p>
        </w:tc>
        <w:tc>
          <w:tcPr>
            <w:tcW w:w="1800" w:type="dxa"/>
            <w:shd w:val="clear" w:color="auto" w:fill="auto"/>
          </w:tcPr>
          <w:p w:rsidR="002B558A" w:rsidRPr="002D1549" w:rsidRDefault="002D1549" w:rsidP="00CB2715">
            <w:pPr>
              <w:tabs>
                <w:tab w:val="clear" w:pos="4320"/>
                <w:tab w:val="clear" w:pos="9072"/>
              </w:tabs>
              <w:snapToGrid/>
              <w:spacing w:line="360" w:lineRule="auto"/>
              <w:jc w:val="right"/>
              <w:rPr>
                <w:bCs/>
                <w:lang w:val="en-GB"/>
              </w:rPr>
            </w:pPr>
            <w:r w:rsidRPr="002D1549">
              <w:rPr>
                <w:bCs/>
                <w:lang w:val="en-GB"/>
              </w:rPr>
              <w:t>$3,993.40</w:t>
            </w:r>
          </w:p>
        </w:tc>
      </w:tr>
      <w:tr w:rsidR="002B558A" w:rsidRPr="00BA24D0" w:rsidTr="00CB2715">
        <w:tc>
          <w:tcPr>
            <w:tcW w:w="4770" w:type="dxa"/>
            <w:shd w:val="clear" w:color="auto" w:fill="auto"/>
          </w:tcPr>
          <w:p w:rsidR="002B558A" w:rsidRPr="00BA24D0" w:rsidRDefault="00AA5610" w:rsidP="00BA24D0">
            <w:pPr>
              <w:tabs>
                <w:tab w:val="clear" w:pos="4320"/>
                <w:tab w:val="clear" w:pos="9072"/>
              </w:tabs>
              <w:snapToGrid/>
              <w:spacing w:line="360" w:lineRule="auto"/>
              <w:jc w:val="both"/>
              <w:rPr>
                <w:bCs/>
                <w:lang w:val="en-GB"/>
              </w:rPr>
            </w:pPr>
            <w:r w:rsidRPr="00BA24D0">
              <w:rPr>
                <w:bCs/>
                <w:lang w:val="en-GB"/>
              </w:rPr>
              <w:t>Transportation expenses</w:t>
            </w:r>
          </w:p>
        </w:tc>
        <w:tc>
          <w:tcPr>
            <w:tcW w:w="1800" w:type="dxa"/>
            <w:shd w:val="clear" w:color="auto" w:fill="auto"/>
          </w:tcPr>
          <w:p w:rsidR="002B558A" w:rsidRPr="002D1549" w:rsidRDefault="002D1549" w:rsidP="00CB2715">
            <w:pPr>
              <w:tabs>
                <w:tab w:val="clear" w:pos="4320"/>
                <w:tab w:val="clear" w:pos="9072"/>
              </w:tabs>
              <w:snapToGrid/>
              <w:spacing w:line="360" w:lineRule="auto"/>
              <w:jc w:val="right"/>
              <w:rPr>
                <w:bCs/>
                <w:lang w:val="en-GB"/>
              </w:rPr>
            </w:pPr>
            <w:r w:rsidRPr="002D1549">
              <w:rPr>
                <w:bCs/>
                <w:lang w:val="en-GB"/>
              </w:rPr>
              <w:t>$6</w:t>
            </w:r>
            <w:r w:rsidR="00AA5610" w:rsidRPr="002D1549">
              <w:rPr>
                <w:bCs/>
                <w:lang w:val="en-GB"/>
              </w:rPr>
              <w:t>00.00</w:t>
            </w:r>
          </w:p>
        </w:tc>
      </w:tr>
      <w:tr w:rsidR="002B558A" w:rsidRPr="00BA24D0" w:rsidTr="00CB2715">
        <w:tc>
          <w:tcPr>
            <w:tcW w:w="4770" w:type="dxa"/>
            <w:shd w:val="clear" w:color="auto" w:fill="auto"/>
          </w:tcPr>
          <w:p w:rsidR="002B558A" w:rsidRPr="00BA24D0" w:rsidRDefault="00AA5610" w:rsidP="00BA24D0">
            <w:pPr>
              <w:tabs>
                <w:tab w:val="clear" w:pos="4320"/>
                <w:tab w:val="clear" w:pos="9072"/>
              </w:tabs>
              <w:snapToGrid/>
              <w:spacing w:line="360" w:lineRule="auto"/>
              <w:jc w:val="both"/>
              <w:rPr>
                <w:bCs/>
                <w:lang w:val="en-GB"/>
              </w:rPr>
            </w:pPr>
            <w:r w:rsidRPr="00BA24D0">
              <w:rPr>
                <w:bCs/>
                <w:lang w:val="en-GB"/>
              </w:rPr>
              <w:t xml:space="preserve">Tonic </w:t>
            </w:r>
            <w:r w:rsidRPr="00BA24D0">
              <w:rPr>
                <w:rFonts w:hint="eastAsia"/>
                <w:bCs/>
                <w:lang w:val="en-GB"/>
              </w:rPr>
              <w:t>food</w:t>
            </w:r>
          </w:p>
        </w:tc>
        <w:tc>
          <w:tcPr>
            <w:tcW w:w="1800" w:type="dxa"/>
            <w:shd w:val="clear" w:color="auto" w:fill="auto"/>
          </w:tcPr>
          <w:p w:rsidR="002B558A" w:rsidRDefault="00CB2715" w:rsidP="00CB2715">
            <w:pPr>
              <w:tabs>
                <w:tab w:val="clear" w:pos="4320"/>
                <w:tab w:val="clear" w:pos="9072"/>
              </w:tabs>
              <w:snapToGrid/>
              <w:spacing w:line="360" w:lineRule="auto"/>
              <w:jc w:val="right"/>
              <w:rPr>
                <w:bCs/>
                <w:u w:val="single"/>
                <w:lang w:val="en-GB"/>
              </w:rPr>
            </w:pPr>
            <w:r w:rsidRPr="00CB2715">
              <w:rPr>
                <w:bCs/>
                <w:u w:val="single"/>
                <w:lang w:val="en-GB"/>
              </w:rPr>
              <w:t>$3,000.00</w:t>
            </w:r>
          </w:p>
          <w:p w:rsidR="00CB2715" w:rsidRPr="00CB2715" w:rsidRDefault="00CB2715" w:rsidP="00CB2715">
            <w:pPr>
              <w:tabs>
                <w:tab w:val="clear" w:pos="4320"/>
                <w:tab w:val="clear" w:pos="9072"/>
              </w:tabs>
              <w:snapToGrid/>
              <w:spacing w:line="360" w:lineRule="auto"/>
              <w:jc w:val="right"/>
              <w:rPr>
                <w:bCs/>
                <w:u w:val="single"/>
                <w:lang w:val="en-GB"/>
              </w:rPr>
            </w:pPr>
          </w:p>
        </w:tc>
      </w:tr>
      <w:tr w:rsidR="00AA5610" w:rsidRPr="00BA24D0" w:rsidTr="00CB2715">
        <w:tc>
          <w:tcPr>
            <w:tcW w:w="4770" w:type="dxa"/>
            <w:shd w:val="clear" w:color="auto" w:fill="auto"/>
          </w:tcPr>
          <w:p w:rsidR="00AA5610" w:rsidRPr="00BA24D0" w:rsidRDefault="00B624CD" w:rsidP="00B624CD">
            <w:pPr>
              <w:tabs>
                <w:tab w:val="clear" w:pos="4320"/>
                <w:tab w:val="clear" w:pos="9072"/>
              </w:tabs>
              <w:snapToGrid/>
              <w:spacing w:line="360" w:lineRule="auto"/>
              <w:jc w:val="both"/>
              <w:rPr>
                <w:bCs/>
                <w:lang w:val="en-GB"/>
              </w:rPr>
            </w:pPr>
            <w:r>
              <w:rPr>
                <w:bCs/>
                <w:lang w:val="en-GB"/>
              </w:rPr>
              <w:t>Sub-t</w:t>
            </w:r>
            <w:r w:rsidR="00AA5610" w:rsidRPr="00BA24D0">
              <w:rPr>
                <w:bCs/>
                <w:lang w:val="en-GB"/>
              </w:rPr>
              <w:t>otal</w:t>
            </w:r>
            <w:r w:rsidR="00CB2715">
              <w:rPr>
                <w:bCs/>
                <w:lang w:val="en-GB"/>
              </w:rPr>
              <w:t>:</w:t>
            </w:r>
          </w:p>
        </w:tc>
        <w:tc>
          <w:tcPr>
            <w:tcW w:w="1800" w:type="dxa"/>
            <w:shd w:val="clear" w:color="auto" w:fill="auto"/>
          </w:tcPr>
          <w:p w:rsidR="00AA5610" w:rsidRPr="00B624CD" w:rsidRDefault="00B978C9" w:rsidP="00CB2715">
            <w:pPr>
              <w:tabs>
                <w:tab w:val="clear" w:pos="4320"/>
                <w:tab w:val="clear" w:pos="9072"/>
              </w:tabs>
              <w:snapToGrid/>
              <w:spacing w:line="360" w:lineRule="auto"/>
              <w:jc w:val="right"/>
              <w:rPr>
                <w:bCs/>
                <w:lang w:val="en-GB"/>
              </w:rPr>
            </w:pPr>
            <w:r w:rsidRPr="00B624CD">
              <w:rPr>
                <w:bCs/>
                <w:lang w:val="en-GB"/>
              </w:rPr>
              <w:t>$47</w:t>
            </w:r>
            <w:r w:rsidR="00443D06" w:rsidRPr="00B624CD">
              <w:rPr>
                <w:bCs/>
                <w:lang w:val="en-GB"/>
              </w:rPr>
              <w:t>4,332.82</w:t>
            </w:r>
          </w:p>
        </w:tc>
      </w:tr>
      <w:tr w:rsidR="00B624CD" w:rsidRPr="00BA24D0" w:rsidTr="00CB2715">
        <w:tc>
          <w:tcPr>
            <w:tcW w:w="4770" w:type="dxa"/>
            <w:shd w:val="clear" w:color="auto" w:fill="auto"/>
          </w:tcPr>
          <w:p w:rsidR="00B624CD" w:rsidRDefault="00B624CD" w:rsidP="00CB2715">
            <w:pPr>
              <w:tabs>
                <w:tab w:val="clear" w:pos="4320"/>
                <w:tab w:val="clear" w:pos="9072"/>
              </w:tabs>
              <w:snapToGrid/>
              <w:spacing w:line="360" w:lineRule="auto"/>
              <w:jc w:val="both"/>
              <w:rPr>
                <w:bCs/>
                <w:lang w:val="en-GB"/>
              </w:rPr>
            </w:pPr>
            <w:r>
              <w:rPr>
                <w:bCs/>
                <w:lang w:val="en-GB"/>
              </w:rPr>
              <w:t xml:space="preserve">Less Employees’ Compensation </w:t>
            </w:r>
          </w:p>
        </w:tc>
        <w:tc>
          <w:tcPr>
            <w:tcW w:w="1800" w:type="dxa"/>
            <w:shd w:val="clear" w:color="auto" w:fill="auto"/>
          </w:tcPr>
          <w:p w:rsidR="00B624CD" w:rsidRPr="00B624CD" w:rsidRDefault="00B624CD" w:rsidP="00CB2715">
            <w:pPr>
              <w:tabs>
                <w:tab w:val="clear" w:pos="4320"/>
                <w:tab w:val="clear" w:pos="9072"/>
              </w:tabs>
              <w:snapToGrid/>
              <w:spacing w:line="360" w:lineRule="auto"/>
              <w:jc w:val="right"/>
              <w:rPr>
                <w:bCs/>
                <w:lang w:val="en-GB"/>
              </w:rPr>
            </w:pPr>
            <w:r w:rsidRPr="00B624CD">
              <w:rPr>
                <w:bCs/>
                <w:lang w:val="en-GB"/>
              </w:rPr>
              <w:t>($450,000</w:t>
            </w:r>
            <w:r>
              <w:rPr>
                <w:bCs/>
                <w:lang w:val="en-GB"/>
              </w:rPr>
              <w:t>.00</w:t>
            </w:r>
            <w:r w:rsidRPr="00B624CD">
              <w:rPr>
                <w:bCs/>
                <w:lang w:val="en-GB"/>
              </w:rPr>
              <w:t>)</w:t>
            </w:r>
          </w:p>
        </w:tc>
      </w:tr>
      <w:tr w:rsidR="00B624CD" w:rsidRPr="00BA24D0" w:rsidTr="00CB2715">
        <w:tc>
          <w:tcPr>
            <w:tcW w:w="4770" w:type="dxa"/>
            <w:shd w:val="clear" w:color="auto" w:fill="auto"/>
          </w:tcPr>
          <w:p w:rsidR="00B624CD" w:rsidRDefault="00B624CD" w:rsidP="00CB2715">
            <w:pPr>
              <w:tabs>
                <w:tab w:val="clear" w:pos="4320"/>
                <w:tab w:val="clear" w:pos="9072"/>
              </w:tabs>
              <w:snapToGrid/>
              <w:spacing w:line="360" w:lineRule="auto"/>
              <w:jc w:val="both"/>
              <w:rPr>
                <w:bCs/>
                <w:lang w:val="en-GB"/>
              </w:rPr>
            </w:pPr>
            <w:r>
              <w:rPr>
                <w:bCs/>
                <w:lang w:val="en-GB"/>
              </w:rPr>
              <w:t>Total:</w:t>
            </w:r>
          </w:p>
        </w:tc>
        <w:tc>
          <w:tcPr>
            <w:tcW w:w="1800" w:type="dxa"/>
            <w:shd w:val="clear" w:color="auto" w:fill="auto"/>
          </w:tcPr>
          <w:p w:rsidR="00B624CD" w:rsidRDefault="00B624CD" w:rsidP="00CB2715">
            <w:pPr>
              <w:tabs>
                <w:tab w:val="clear" w:pos="4320"/>
                <w:tab w:val="clear" w:pos="9072"/>
              </w:tabs>
              <w:snapToGrid/>
              <w:spacing w:line="360" w:lineRule="auto"/>
              <w:jc w:val="right"/>
              <w:rPr>
                <w:bCs/>
                <w:u w:val="double"/>
                <w:lang w:val="en-GB"/>
              </w:rPr>
            </w:pPr>
            <w:r>
              <w:rPr>
                <w:bCs/>
                <w:u w:val="double"/>
                <w:lang w:val="en-GB"/>
              </w:rPr>
              <w:t>$24,332.82</w:t>
            </w:r>
          </w:p>
        </w:tc>
      </w:tr>
    </w:tbl>
    <w:p w:rsidR="008C1E60" w:rsidRPr="008201D8" w:rsidRDefault="008C1E60" w:rsidP="008C1E60">
      <w:pPr>
        <w:tabs>
          <w:tab w:val="clear" w:pos="4320"/>
          <w:tab w:val="clear" w:pos="9072"/>
        </w:tabs>
        <w:snapToGrid/>
        <w:spacing w:line="360" w:lineRule="auto"/>
        <w:jc w:val="both"/>
        <w:rPr>
          <w:bCs/>
          <w:lang w:val="en-GB"/>
        </w:rPr>
      </w:pPr>
    </w:p>
    <w:p w:rsidR="00B61ECB" w:rsidRPr="00B61ECB" w:rsidRDefault="00B61ECB" w:rsidP="002B7C06">
      <w:pPr>
        <w:numPr>
          <w:ilvl w:val="0"/>
          <w:numId w:val="2"/>
        </w:numPr>
        <w:tabs>
          <w:tab w:val="clear" w:pos="360"/>
          <w:tab w:val="clear" w:pos="1440"/>
          <w:tab w:val="clear" w:pos="4320"/>
          <w:tab w:val="clear" w:pos="9072"/>
          <w:tab w:val="left" w:pos="1418"/>
        </w:tabs>
        <w:snapToGrid/>
        <w:spacing w:line="360" w:lineRule="auto"/>
        <w:jc w:val="both"/>
        <w:rPr>
          <w:bCs/>
          <w:lang w:val="en-GB"/>
        </w:rPr>
      </w:pPr>
      <w:r>
        <w:t>I make the following orders on interest:</w:t>
      </w:r>
    </w:p>
    <w:p w:rsidR="00B61ECB" w:rsidRPr="00B61ECB" w:rsidRDefault="00B61ECB" w:rsidP="002B7C06">
      <w:pPr>
        <w:pStyle w:val="ListParagraph"/>
        <w:spacing w:line="360" w:lineRule="auto"/>
        <w:rPr>
          <w:lang w:val="en-GB"/>
        </w:rPr>
      </w:pPr>
    </w:p>
    <w:p w:rsidR="00B61ECB" w:rsidRPr="00B61ECB" w:rsidRDefault="00F77D4F" w:rsidP="002B7C06">
      <w:pPr>
        <w:numPr>
          <w:ilvl w:val="2"/>
          <w:numId w:val="2"/>
        </w:numPr>
        <w:tabs>
          <w:tab w:val="clear" w:pos="1440"/>
          <w:tab w:val="clear" w:pos="4320"/>
          <w:tab w:val="clear" w:pos="9072"/>
          <w:tab w:val="left" w:pos="2160"/>
        </w:tabs>
        <w:snapToGrid/>
        <w:spacing w:line="360" w:lineRule="auto"/>
        <w:ind w:left="2160" w:hanging="720"/>
        <w:jc w:val="both"/>
        <w:rPr>
          <w:bCs/>
          <w:lang w:val="en-GB"/>
        </w:rPr>
      </w:pPr>
      <w:r>
        <w:t>interest on special damages at half judgment rate</w:t>
      </w:r>
      <w:r w:rsidR="00B61ECB">
        <w:t xml:space="preserve"> from the date of the Accident up to the date of payment of employees’ compensation;</w:t>
      </w:r>
      <w:r w:rsidR="00F654CF">
        <w:t xml:space="preserve"> </w:t>
      </w:r>
    </w:p>
    <w:p w:rsidR="00916F52" w:rsidRPr="00916F52" w:rsidRDefault="00916F52" w:rsidP="002B7C06">
      <w:pPr>
        <w:tabs>
          <w:tab w:val="clear" w:pos="1440"/>
          <w:tab w:val="clear" w:pos="4320"/>
          <w:tab w:val="clear" w:pos="9072"/>
          <w:tab w:val="left" w:pos="2160"/>
        </w:tabs>
        <w:snapToGrid/>
        <w:spacing w:line="360" w:lineRule="auto"/>
        <w:ind w:left="2160"/>
        <w:jc w:val="both"/>
        <w:rPr>
          <w:bCs/>
          <w:lang w:val="en-GB"/>
        </w:rPr>
      </w:pPr>
    </w:p>
    <w:p w:rsidR="00F654CF" w:rsidRPr="00F654CF" w:rsidRDefault="00F77D4F" w:rsidP="002B7C06">
      <w:pPr>
        <w:numPr>
          <w:ilvl w:val="2"/>
          <w:numId w:val="2"/>
        </w:numPr>
        <w:tabs>
          <w:tab w:val="clear" w:pos="1440"/>
          <w:tab w:val="clear" w:pos="4320"/>
          <w:tab w:val="clear" w:pos="9072"/>
          <w:tab w:val="left" w:pos="2160"/>
        </w:tabs>
        <w:snapToGrid/>
        <w:spacing w:line="360" w:lineRule="auto"/>
        <w:ind w:left="2160" w:hanging="720"/>
        <w:jc w:val="both"/>
        <w:rPr>
          <w:bCs/>
          <w:lang w:val="en-GB"/>
        </w:rPr>
      </w:pPr>
      <w:r>
        <w:t xml:space="preserve">interest on PSLA at 2% </w:t>
      </w:r>
      <w:r w:rsidR="00B61ECB">
        <w:t xml:space="preserve">per annum </w:t>
      </w:r>
      <w:r>
        <w:t xml:space="preserve">from the date of </w:t>
      </w:r>
      <w:r w:rsidR="00B61ECB">
        <w:t xml:space="preserve">service of </w:t>
      </w:r>
      <w:r>
        <w:t>the writ of summons</w:t>
      </w:r>
      <w:r w:rsidR="00B61ECB">
        <w:t xml:space="preserve"> up to the date of this Judgment</w:t>
      </w:r>
      <w:r w:rsidR="00B624CD">
        <w:t>.</w:t>
      </w:r>
    </w:p>
    <w:p w:rsidR="00DC1620" w:rsidRPr="008201D8" w:rsidRDefault="00DC1620" w:rsidP="002B7C06">
      <w:pPr>
        <w:tabs>
          <w:tab w:val="clear" w:pos="1440"/>
          <w:tab w:val="clear" w:pos="4320"/>
          <w:tab w:val="clear" w:pos="9072"/>
        </w:tabs>
        <w:snapToGrid/>
        <w:spacing w:line="360" w:lineRule="auto"/>
        <w:rPr>
          <w:bCs/>
          <w:i/>
          <w:lang w:val="en-GB"/>
        </w:rPr>
      </w:pPr>
    </w:p>
    <w:p w:rsidR="0053752F" w:rsidRDefault="0053752F" w:rsidP="002B7C06">
      <w:pPr>
        <w:numPr>
          <w:ilvl w:val="0"/>
          <w:numId w:val="2"/>
        </w:numPr>
        <w:tabs>
          <w:tab w:val="clear" w:pos="360"/>
          <w:tab w:val="clear" w:pos="1440"/>
          <w:tab w:val="clear" w:pos="4320"/>
          <w:tab w:val="clear" w:pos="9072"/>
          <w:tab w:val="left" w:pos="1418"/>
        </w:tabs>
        <w:snapToGrid/>
        <w:spacing w:line="360" w:lineRule="auto"/>
        <w:jc w:val="both"/>
        <w:rPr>
          <w:bCs/>
          <w:lang w:val="en-GB"/>
        </w:rPr>
      </w:pPr>
      <w:r>
        <w:rPr>
          <w:bCs/>
          <w:lang w:val="en-GB"/>
        </w:rPr>
        <w:t xml:space="preserve">For the avoidance of any doubt, no interest is awarded on damages for loss of earning capacity which is an award of damages in respect of future loss. </w:t>
      </w:r>
    </w:p>
    <w:p w:rsidR="0053752F" w:rsidRDefault="0053752F" w:rsidP="002B7C06">
      <w:pPr>
        <w:tabs>
          <w:tab w:val="clear" w:pos="1440"/>
          <w:tab w:val="clear" w:pos="4320"/>
          <w:tab w:val="clear" w:pos="9072"/>
        </w:tabs>
        <w:snapToGrid/>
        <w:spacing w:line="360" w:lineRule="auto"/>
        <w:rPr>
          <w:bCs/>
          <w:i/>
          <w:lang w:val="en-GB"/>
        </w:rPr>
      </w:pPr>
    </w:p>
    <w:p w:rsidR="0053752F" w:rsidRDefault="0053752F" w:rsidP="002B7C06">
      <w:pPr>
        <w:tabs>
          <w:tab w:val="clear" w:pos="1440"/>
          <w:tab w:val="clear" w:pos="4320"/>
          <w:tab w:val="clear" w:pos="9072"/>
        </w:tabs>
        <w:snapToGrid/>
        <w:spacing w:line="360" w:lineRule="auto"/>
        <w:rPr>
          <w:bCs/>
          <w:i/>
          <w:lang w:val="en-GB"/>
        </w:rPr>
      </w:pPr>
      <w:r w:rsidRPr="008201D8">
        <w:rPr>
          <w:bCs/>
          <w:i/>
          <w:lang w:val="en-GB"/>
        </w:rPr>
        <w:t>COSTS</w:t>
      </w:r>
    </w:p>
    <w:p w:rsidR="0053752F" w:rsidRDefault="0053752F" w:rsidP="002B7C06">
      <w:pPr>
        <w:tabs>
          <w:tab w:val="clear" w:pos="1440"/>
          <w:tab w:val="clear" w:pos="4320"/>
          <w:tab w:val="clear" w:pos="9072"/>
          <w:tab w:val="left" w:pos="1418"/>
        </w:tabs>
        <w:snapToGrid/>
        <w:spacing w:line="360" w:lineRule="auto"/>
        <w:jc w:val="both"/>
        <w:rPr>
          <w:bCs/>
          <w:lang w:val="en-GB"/>
        </w:rPr>
      </w:pPr>
    </w:p>
    <w:p w:rsidR="008201D8" w:rsidRPr="008201D8" w:rsidRDefault="008201D8" w:rsidP="002B7C06">
      <w:pPr>
        <w:numPr>
          <w:ilvl w:val="0"/>
          <w:numId w:val="2"/>
        </w:numPr>
        <w:tabs>
          <w:tab w:val="clear" w:pos="360"/>
          <w:tab w:val="clear" w:pos="1440"/>
          <w:tab w:val="clear" w:pos="4320"/>
          <w:tab w:val="clear" w:pos="9072"/>
          <w:tab w:val="left" w:pos="1418"/>
        </w:tabs>
        <w:snapToGrid/>
        <w:spacing w:line="360" w:lineRule="auto"/>
        <w:jc w:val="both"/>
        <w:rPr>
          <w:bCs/>
          <w:lang w:val="en-GB"/>
        </w:rPr>
      </w:pPr>
      <w:r w:rsidRPr="008201D8">
        <w:rPr>
          <w:bCs/>
          <w:lang w:val="en-GB"/>
        </w:rPr>
        <w:t xml:space="preserve">I make a cost order </w:t>
      </w:r>
      <w:r w:rsidRPr="008201D8">
        <w:rPr>
          <w:bCs/>
          <w:i/>
          <w:lang w:val="en-GB"/>
        </w:rPr>
        <w:t>nisi</w:t>
      </w:r>
      <w:r w:rsidRPr="008201D8">
        <w:rPr>
          <w:bCs/>
          <w:lang w:val="en-GB"/>
        </w:rPr>
        <w:t xml:space="preserve"> that the </w:t>
      </w:r>
      <w:r w:rsidR="00267E00">
        <w:rPr>
          <w:bCs/>
          <w:lang w:val="en-GB"/>
        </w:rPr>
        <w:t>defendant</w:t>
      </w:r>
      <w:r w:rsidRPr="008201D8">
        <w:rPr>
          <w:bCs/>
          <w:lang w:val="en-GB"/>
        </w:rPr>
        <w:t xml:space="preserve"> shall bear the costs of the </w:t>
      </w:r>
      <w:r w:rsidR="00267E00">
        <w:rPr>
          <w:bCs/>
          <w:lang w:val="en-GB"/>
        </w:rPr>
        <w:t xml:space="preserve">plaintiff </w:t>
      </w:r>
      <w:r w:rsidRPr="008201D8">
        <w:rPr>
          <w:bCs/>
          <w:lang w:val="en-GB"/>
        </w:rPr>
        <w:t xml:space="preserve">(including all costs reserved, if any), with certificate for counsel, to be taxed if not agreed.  The </w:t>
      </w:r>
      <w:r w:rsidR="00267E00">
        <w:rPr>
          <w:bCs/>
          <w:lang w:val="en-GB"/>
        </w:rPr>
        <w:t xml:space="preserve">plaintiff’s </w:t>
      </w:r>
      <w:r w:rsidRPr="008201D8">
        <w:rPr>
          <w:bCs/>
          <w:lang w:val="en-GB"/>
        </w:rPr>
        <w:t xml:space="preserve">own costs shall be taxed in accordance with the Legal Aid Regulations.  The above order </w:t>
      </w:r>
      <w:r w:rsidRPr="008201D8">
        <w:rPr>
          <w:bCs/>
          <w:i/>
          <w:lang w:val="en-GB"/>
        </w:rPr>
        <w:t>nisi</w:t>
      </w:r>
      <w:r w:rsidRPr="008201D8">
        <w:rPr>
          <w:bCs/>
          <w:lang w:val="en-GB"/>
        </w:rPr>
        <w:t xml:space="preserve"> shall become absolute in the absence of application to vary </w:t>
      </w:r>
      <w:r w:rsidR="00F654CF">
        <w:rPr>
          <w:bCs/>
          <w:lang w:val="en-GB"/>
        </w:rPr>
        <w:t xml:space="preserve">(which shall be made by letter, if any) </w:t>
      </w:r>
      <w:r w:rsidRPr="008201D8">
        <w:rPr>
          <w:bCs/>
          <w:lang w:val="en-GB"/>
        </w:rPr>
        <w:t>within 14 days hereof.</w:t>
      </w:r>
      <w:r w:rsidR="00F654CF">
        <w:rPr>
          <w:bCs/>
          <w:lang w:val="en-GB"/>
        </w:rPr>
        <w:t xml:space="preserve">  Any application to vary the costs order </w:t>
      </w:r>
      <w:r w:rsidR="00F654CF" w:rsidRPr="00F654CF">
        <w:rPr>
          <w:bCs/>
          <w:i/>
          <w:lang w:val="en-GB"/>
        </w:rPr>
        <w:t>nisi</w:t>
      </w:r>
      <w:r w:rsidR="00F654CF">
        <w:rPr>
          <w:bCs/>
          <w:lang w:val="en-GB"/>
        </w:rPr>
        <w:t xml:space="preserve"> shall, with the consent of the parties</w:t>
      </w:r>
      <w:r w:rsidR="00F654CF">
        <w:rPr>
          <w:rStyle w:val="FootnoteReference"/>
          <w:bCs/>
          <w:lang w:val="en-GB"/>
        </w:rPr>
        <w:footnoteReference w:id="40"/>
      </w:r>
      <w:r w:rsidR="00F654CF">
        <w:rPr>
          <w:bCs/>
          <w:lang w:val="en-GB"/>
        </w:rPr>
        <w:t>, be dealt with on papers.</w:t>
      </w:r>
    </w:p>
    <w:p w:rsidR="008201D8" w:rsidRDefault="008201D8" w:rsidP="008201D8">
      <w:pPr>
        <w:tabs>
          <w:tab w:val="clear" w:pos="1440"/>
          <w:tab w:val="clear" w:pos="4320"/>
          <w:tab w:val="clear" w:pos="9072"/>
          <w:tab w:val="left" w:pos="1418"/>
        </w:tabs>
        <w:snapToGrid/>
        <w:spacing w:line="360" w:lineRule="auto"/>
        <w:jc w:val="both"/>
        <w:rPr>
          <w:bCs/>
          <w:lang w:val="en-GB"/>
        </w:rPr>
      </w:pPr>
    </w:p>
    <w:p w:rsidR="00DC1620" w:rsidRPr="008201D8" w:rsidRDefault="00DC1620"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8201D8">
      <w:pPr>
        <w:tabs>
          <w:tab w:val="clear" w:pos="1440"/>
          <w:tab w:val="clear" w:pos="4320"/>
          <w:tab w:val="clear" w:pos="9072"/>
          <w:tab w:val="left" w:pos="1418"/>
        </w:tabs>
        <w:snapToGrid/>
        <w:spacing w:line="360" w:lineRule="auto"/>
        <w:jc w:val="both"/>
        <w:rPr>
          <w:bCs/>
          <w:lang w:val="en-GB"/>
        </w:rPr>
      </w:pP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w:t>
      </w:r>
      <w:r w:rsidR="00DC1620">
        <w:rPr>
          <w:bCs/>
          <w:lang w:val="en-GB"/>
        </w:rPr>
        <w:t xml:space="preserve"> </w:t>
      </w:r>
      <w:r w:rsidR="00766DE9" w:rsidRPr="008201D8">
        <w:rPr>
          <w:bCs/>
          <w:lang w:val="en-GB"/>
        </w:rPr>
        <w:t>H</w:t>
      </w:r>
      <w:r w:rsidR="00766DE9">
        <w:rPr>
          <w:bCs/>
          <w:lang w:val="en-GB"/>
        </w:rPr>
        <w:t>.</w:t>
      </w:r>
      <w:r w:rsidR="00766DE9" w:rsidRPr="008201D8">
        <w:rPr>
          <w:bCs/>
          <w:lang w:val="en-GB"/>
        </w:rPr>
        <w:t xml:space="preserve"> </w:t>
      </w:r>
      <w:r w:rsidRPr="008201D8">
        <w:rPr>
          <w:bCs/>
          <w:lang w:val="en-GB"/>
        </w:rPr>
        <w:t>Au-Yeung</w:t>
      </w:r>
      <w:r w:rsidR="00DC1620">
        <w:rPr>
          <w:bCs/>
          <w:lang w:val="en-GB"/>
        </w:rPr>
        <w:t xml:space="preserve"> </w:t>
      </w:r>
      <w:r w:rsidRPr="008201D8">
        <w:rPr>
          <w:bCs/>
          <w:lang w:val="en-GB"/>
        </w:rPr>
        <w:t>)</w:t>
      </w:r>
    </w:p>
    <w:p w:rsidR="008201D8" w:rsidRPr="008201D8" w:rsidRDefault="008201D8" w:rsidP="002E1179">
      <w:pPr>
        <w:tabs>
          <w:tab w:val="clear" w:pos="1440"/>
          <w:tab w:val="clear" w:pos="4320"/>
          <w:tab w:val="clear" w:pos="9072"/>
          <w:tab w:val="center" w:pos="6480"/>
        </w:tabs>
        <w:outlineLvl w:val="0"/>
        <w:rPr>
          <w:bCs/>
          <w:lang w:val="en-GB"/>
        </w:rPr>
      </w:pPr>
      <w:r w:rsidRPr="008201D8">
        <w:rPr>
          <w:bCs/>
          <w:lang w:val="en-GB"/>
        </w:rPr>
        <w:tab/>
        <w:t xml:space="preserve">District Judge </w:t>
      </w:r>
    </w:p>
    <w:p w:rsidR="008201D8" w:rsidRDefault="008201D8" w:rsidP="00AB6BFA">
      <w:pPr>
        <w:tabs>
          <w:tab w:val="clear" w:pos="1440"/>
          <w:tab w:val="clear" w:pos="4320"/>
          <w:tab w:val="clear" w:pos="9072"/>
        </w:tabs>
        <w:snapToGrid/>
        <w:rPr>
          <w:bCs/>
          <w:lang w:val="en-GB"/>
        </w:rPr>
      </w:pPr>
    </w:p>
    <w:p w:rsidR="009877E7" w:rsidRDefault="009877E7" w:rsidP="00AB6BFA">
      <w:pPr>
        <w:tabs>
          <w:tab w:val="clear" w:pos="1440"/>
          <w:tab w:val="clear" w:pos="4320"/>
          <w:tab w:val="clear" w:pos="9072"/>
        </w:tabs>
        <w:snapToGrid/>
        <w:rPr>
          <w:bCs/>
          <w:lang w:val="en-GB"/>
        </w:rPr>
      </w:pPr>
    </w:p>
    <w:p w:rsidR="009877E7" w:rsidRDefault="009877E7" w:rsidP="00AB6BFA">
      <w:pPr>
        <w:tabs>
          <w:tab w:val="clear" w:pos="1440"/>
          <w:tab w:val="clear" w:pos="4320"/>
          <w:tab w:val="clear" w:pos="9072"/>
        </w:tabs>
        <w:snapToGrid/>
        <w:rPr>
          <w:bCs/>
          <w:lang w:val="en-GB"/>
        </w:rPr>
      </w:pPr>
    </w:p>
    <w:p w:rsidR="009877E7" w:rsidRDefault="009877E7" w:rsidP="00AB6BFA">
      <w:pPr>
        <w:tabs>
          <w:tab w:val="clear" w:pos="1440"/>
          <w:tab w:val="clear" w:pos="4320"/>
          <w:tab w:val="clear" w:pos="9072"/>
        </w:tabs>
        <w:snapToGrid/>
        <w:rPr>
          <w:bCs/>
          <w:lang w:val="en-GB"/>
        </w:rPr>
      </w:pPr>
    </w:p>
    <w:p w:rsidR="009877E7" w:rsidRDefault="009877E7" w:rsidP="00AB6BFA">
      <w:pPr>
        <w:tabs>
          <w:tab w:val="clear" w:pos="1440"/>
          <w:tab w:val="clear" w:pos="4320"/>
          <w:tab w:val="clear" w:pos="9072"/>
        </w:tabs>
        <w:snapToGrid/>
        <w:rPr>
          <w:bCs/>
          <w:lang w:val="en-GB"/>
        </w:rPr>
      </w:pPr>
    </w:p>
    <w:p w:rsidR="009877E7" w:rsidRPr="008201D8" w:rsidRDefault="009877E7" w:rsidP="00AB6BFA">
      <w:pPr>
        <w:tabs>
          <w:tab w:val="clear" w:pos="1440"/>
          <w:tab w:val="clear" w:pos="4320"/>
          <w:tab w:val="clear" w:pos="9072"/>
        </w:tabs>
        <w:snapToGrid/>
        <w:rPr>
          <w:bCs/>
          <w:lang w:val="en-GB"/>
        </w:rPr>
      </w:pPr>
    </w:p>
    <w:p w:rsidR="008201D8" w:rsidRPr="008201D8" w:rsidRDefault="008201D8" w:rsidP="00AB6BFA">
      <w:pPr>
        <w:tabs>
          <w:tab w:val="clear" w:pos="1440"/>
          <w:tab w:val="clear" w:pos="4320"/>
          <w:tab w:val="clear" w:pos="9072"/>
        </w:tabs>
        <w:snapToGrid/>
        <w:rPr>
          <w:bCs/>
          <w:lang w:val="en-GB"/>
        </w:rPr>
      </w:pPr>
    </w:p>
    <w:p w:rsidR="008201D8" w:rsidRDefault="008201D8" w:rsidP="00AB6BFA">
      <w:pPr>
        <w:tabs>
          <w:tab w:val="clear" w:pos="1440"/>
          <w:tab w:val="clear" w:pos="4320"/>
          <w:tab w:val="clear" w:pos="9072"/>
          <w:tab w:val="left" w:pos="1418"/>
        </w:tabs>
        <w:snapToGrid/>
        <w:jc w:val="both"/>
        <w:rPr>
          <w:bCs/>
          <w:lang w:val="en-GB"/>
        </w:rPr>
      </w:pPr>
      <w:r w:rsidRPr="008201D8">
        <w:rPr>
          <w:bCs/>
          <w:lang w:val="en-GB"/>
        </w:rPr>
        <w:t xml:space="preserve">Mr </w:t>
      </w:r>
      <w:r w:rsidR="00325DC8">
        <w:rPr>
          <w:bCs/>
          <w:lang w:val="en-GB"/>
        </w:rPr>
        <w:t>Simon H. W. Lam,</w:t>
      </w:r>
      <w:r w:rsidRPr="008201D8">
        <w:rPr>
          <w:bCs/>
          <w:lang w:val="en-GB"/>
        </w:rPr>
        <w:t xml:space="preserve"> instructed by </w:t>
      </w:r>
      <w:r w:rsidR="00325DC8">
        <w:rPr>
          <w:bCs/>
          <w:lang w:val="en-GB"/>
        </w:rPr>
        <w:t>S. H. Chou &amp; Co</w:t>
      </w:r>
      <w:r w:rsidRPr="008201D8">
        <w:rPr>
          <w:bCs/>
          <w:lang w:val="en-GB"/>
        </w:rPr>
        <w:t xml:space="preserve">, for the </w:t>
      </w:r>
      <w:r w:rsidR="005A3DFC">
        <w:rPr>
          <w:bCs/>
          <w:lang w:val="en-GB"/>
        </w:rPr>
        <w:t>plaintiff</w:t>
      </w:r>
    </w:p>
    <w:p w:rsidR="00AB6BFA" w:rsidRDefault="00AB6BFA" w:rsidP="00AB6BFA">
      <w:pPr>
        <w:tabs>
          <w:tab w:val="clear" w:pos="1440"/>
          <w:tab w:val="clear" w:pos="4320"/>
          <w:tab w:val="clear" w:pos="9072"/>
          <w:tab w:val="left" w:pos="1418"/>
        </w:tabs>
        <w:snapToGrid/>
        <w:jc w:val="both"/>
        <w:rPr>
          <w:bCs/>
          <w:lang w:val="en-GB"/>
        </w:rPr>
      </w:pPr>
    </w:p>
    <w:p w:rsidR="008201D8" w:rsidRPr="008201D8" w:rsidRDefault="00325DC8" w:rsidP="00AB6BFA">
      <w:pPr>
        <w:tabs>
          <w:tab w:val="clear" w:pos="1440"/>
          <w:tab w:val="clear" w:pos="4320"/>
          <w:tab w:val="clear" w:pos="9072"/>
          <w:tab w:val="left" w:pos="1418"/>
        </w:tabs>
        <w:snapToGrid/>
        <w:jc w:val="both"/>
        <w:rPr>
          <w:bCs/>
          <w:lang w:val="en-GB"/>
        </w:rPr>
      </w:pPr>
      <w:r>
        <w:rPr>
          <w:bCs/>
          <w:lang w:val="en-GB"/>
        </w:rPr>
        <w:t>Ms Vanessa Kwok</w:t>
      </w:r>
      <w:r w:rsidR="008201D8" w:rsidRPr="008201D8">
        <w:rPr>
          <w:bCs/>
          <w:lang w:val="en-GB"/>
        </w:rPr>
        <w:t xml:space="preserve">, instructed by </w:t>
      </w:r>
      <w:r w:rsidR="00DF2BD4">
        <w:rPr>
          <w:bCs/>
          <w:lang w:val="en-GB"/>
        </w:rPr>
        <w:t>Zhong Lun Law Firm</w:t>
      </w:r>
      <w:r w:rsidR="008201D8" w:rsidRPr="008201D8">
        <w:rPr>
          <w:bCs/>
          <w:lang w:val="en-GB"/>
        </w:rPr>
        <w:t xml:space="preserve">, for the </w:t>
      </w:r>
      <w:r w:rsidR="005A3DFC">
        <w:rPr>
          <w:bCs/>
        </w:rPr>
        <w:t xml:space="preserve">defendant </w:t>
      </w:r>
    </w:p>
    <w:p w:rsidR="00A14B3D" w:rsidRPr="00EB7876" w:rsidRDefault="00A14B3D" w:rsidP="00EB7876">
      <w:pPr>
        <w:tabs>
          <w:tab w:val="clear" w:pos="4320"/>
          <w:tab w:val="center" w:pos="6480"/>
        </w:tabs>
        <w:spacing w:line="360" w:lineRule="auto"/>
        <w:rPr>
          <w:rFonts w:eastAsia="PMingLiU"/>
          <w:lang w:val="en-GB"/>
        </w:rPr>
      </w:pPr>
    </w:p>
    <w:sectPr w:rsidR="00A14B3D" w:rsidRPr="00EB7876"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9B6" w:rsidRDefault="00AB59B6">
      <w:r>
        <w:separator/>
      </w:r>
    </w:p>
  </w:endnote>
  <w:endnote w:type="continuationSeparator" w:id="0">
    <w:p w:rsidR="00AB59B6" w:rsidRDefault="00AB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42A" w:rsidRDefault="0079142A">
    <w:pPr>
      <w:pStyle w:val="Footer"/>
      <w:framePr w:wrap="auto" w:vAnchor="text" w:hAnchor="margin" w:xAlign="right" w:y="1"/>
      <w:rPr>
        <w:rStyle w:val="PageNumber"/>
      </w:rPr>
    </w:pPr>
  </w:p>
  <w:p w:rsidR="0079142A" w:rsidRDefault="007914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9B6" w:rsidRDefault="00AB59B6">
      <w:r>
        <w:separator/>
      </w:r>
    </w:p>
  </w:footnote>
  <w:footnote w:type="continuationSeparator" w:id="0">
    <w:p w:rsidR="00AB59B6" w:rsidRDefault="00AB59B6">
      <w:r>
        <w:continuationSeparator/>
      </w:r>
    </w:p>
  </w:footnote>
  <w:footnote w:id="1">
    <w:p w:rsidR="0079142A" w:rsidRDefault="0079142A">
      <w:pPr>
        <w:pStyle w:val="FootnoteText"/>
      </w:pPr>
      <w:r>
        <w:rPr>
          <w:rStyle w:val="FootnoteReference"/>
        </w:rPr>
        <w:footnoteRef/>
      </w:r>
      <w:r>
        <w:t xml:space="preserve"> Paragraph 59 of Dr Chun’s Report</w:t>
      </w:r>
    </w:p>
  </w:footnote>
  <w:footnote w:id="2">
    <w:p w:rsidR="0079142A" w:rsidRDefault="0079142A">
      <w:pPr>
        <w:pStyle w:val="FootnoteText"/>
      </w:pPr>
      <w:r>
        <w:rPr>
          <w:rStyle w:val="FootnoteReference"/>
        </w:rPr>
        <w:footnoteRef/>
      </w:r>
      <w:r>
        <w:t xml:space="preserve"> Paragraph 60 of Dr Chun’s Report</w:t>
      </w:r>
    </w:p>
  </w:footnote>
  <w:footnote w:id="3">
    <w:p w:rsidR="0079142A" w:rsidRDefault="0079142A">
      <w:pPr>
        <w:pStyle w:val="FootnoteText"/>
      </w:pPr>
      <w:r>
        <w:rPr>
          <w:rStyle w:val="FootnoteReference"/>
        </w:rPr>
        <w:footnoteRef/>
      </w:r>
      <w:r>
        <w:t xml:space="preserve"> Paragraph 65 of Dr Chun’s Report</w:t>
      </w:r>
    </w:p>
  </w:footnote>
  <w:footnote w:id="4">
    <w:p w:rsidR="0079142A" w:rsidRDefault="0079142A">
      <w:pPr>
        <w:pStyle w:val="FootnoteText"/>
      </w:pPr>
      <w:r>
        <w:rPr>
          <w:rStyle w:val="FootnoteReference"/>
        </w:rPr>
        <w:footnoteRef/>
      </w:r>
      <w:r>
        <w:t xml:space="preserve"> Paragraph 68 of Dr Chun’s Report</w:t>
      </w:r>
    </w:p>
  </w:footnote>
  <w:footnote w:id="5">
    <w:p w:rsidR="0079142A" w:rsidRDefault="0079142A">
      <w:pPr>
        <w:pStyle w:val="FootnoteText"/>
      </w:pPr>
      <w:r>
        <w:rPr>
          <w:rStyle w:val="FootnoteReference"/>
        </w:rPr>
        <w:footnoteRef/>
      </w:r>
      <w:r>
        <w:t xml:space="preserve"> Paragraph 70 of Dr Chun’s Report</w:t>
      </w:r>
    </w:p>
  </w:footnote>
  <w:footnote w:id="6">
    <w:p w:rsidR="0079142A" w:rsidRDefault="0079142A">
      <w:pPr>
        <w:pStyle w:val="FootnoteText"/>
      </w:pPr>
      <w:r>
        <w:rPr>
          <w:rStyle w:val="FootnoteReference"/>
        </w:rPr>
        <w:footnoteRef/>
      </w:r>
      <w:r>
        <w:t xml:space="preserve"> Paragraph 71 of Dr Chun’s Report</w:t>
      </w:r>
    </w:p>
  </w:footnote>
  <w:footnote w:id="7">
    <w:p w:rsidR="0079142A" w:rsidRDefault="0079142A">
      <w:pPr>
        <w:pStyle w:val="FootnoteText"/>
      </w:pPr>
      <w:r>
        <w:rPr>
          <w:rStyle w:val="FootnoteReference"/>
        </w:rPr>
        <w:footnoteRef/>
      </w:r>
      <w:r>
        <w:t xml:space="preserve"> Paragraph 72 of Dr Chun’s Report</w:t>
      </w:r>
    </w:p>
  </w:footnote>
  <w:footnote w:id="8">
    <w:p w:rsidR="0079142A" w:rsidRDefault="0079142A">
      <w:pPr>
        <w:pStyle w:val="FootnoteText"/>
      </w:pPr>
      <w:r>
        <w:rPr>
          <w:rStyle w:val="FootnoteReference"/>
        </w:rPr>
        <w:footnoteRef/>
      </w:r>
      <w:r>
        <w:t xml:space="preserve"> Paragraph 73 of Dr Chun’s Report</w:t>
      </w:r>
    </w:p>
  </w:footnote>
  <w:footnote w:id="9">
    <w:p w:rsidR="0079142A" w:rsidRDefault="0079142A" w:rsidP="00C21BB2">
      <w:pPr>
        <w:pStyle w:val="FootnoteText"/>
        <w:jc w:val="both"/>
      </w:pPr>
      <w:r>
        <w:rPr>
          <w:rStyle w:val="FootnoteReference"/>
        </w:rPr>
        <w:footnoteRef/>
      </w:r>
      <w:r>
        <w:t xml:space="preserve"> It was recorded in paragraph 30 of Dr Chun’s Report that the plaintiff “had been working in property repair and maintenance technician job doing exterior and interior work…For the job he had to climb ladders, doing water work, ditch work, painting, electric work, installation work, changing of light bulbs, renovation of air conditioners.”</w:t>
      </w:r>
    </w:p>
  </w:footnote>
  <w:footnote w:id="10">
    <w:p w:rsidR="0079142A" w:rsidRDefault="0079142A">
      <w:pPr>
        <w:pStyle w:val="FootnoteText"/>
      </w:pPr>
      <w:r>
        <w:rPr>
          <w:rStyle w:val="FootnoteReference"/>
        </w:rPr>
        <w:footnoteRef/>
      </w:r>
      <w:r>
        <w:t xml:space="preserve"> Paragraph 74 of Dr Chun’s Report</w:t>
      </w:r>
    </w:p>
  </w:footnote>
  <w:footnote w:id="11">
    <w:p w:rsidR="0079142A" w:rsidRDefault="0079142A">
      <w:pPr>
        <w:pStyle w:val="FootnoteText"/>
      </w:pPr>
      <w:r>
        <w:rPr>
          <w:rStyle w:val="FootnoteReference"/>
        </w:rPr>
        <w:footnoteRef/>
      </w:r>
      <w:r>
        <w:t xml:space="preserve"> Paragraph 75 of Dr Chun’s Report</w:t>
      </w:r>
    </w:p>
  </w:footnote>
  <w:footnote w:id="12">
    <w:p w:rsidR="0079142A" w:rsidRDefault="0079142A">
      <w:pPr>
        <w:pStyle w:val="FootnoteText"/>
      </w:pPr>
      <w:r>
        <w:rPr>
          <w:rStyle w:val="FootnoteReference"/>
        </w:rPr>
        <w:footnoteRef/>
      </w:r>
      <w:r>
        <w:t xml:space="preserve"> Paragraph 76 of Dr Chun’s Report</w:t>
      </w:r>
    </w:p>
  </w:footnote>
  <w:footnote w:id="13">
    <w:p w:rsidR="0079142A" w:rsidRDefault="0079142A">
      <w:pPr>
        <w:pStyle w:val="FootnoteText"/>
      </w:pPr>
      <w:r>
        <w:rPr>
          <w:rStyle w:val="FootnoteReference"/>
        </w:rPr>
        <w:footnoteRef/>
      </w:r>
      <w:r>
        <w:t xml:space="preserve"> Paragraph 80 of the Joint Expert Report</w:t>
      </w:r>
    </w:p>
  </w:footnote>
  <w:footnote w:id="14">
    <w:p w:rsidR="0079142A" w:rsidRDefault="0079142A">
      <w:pPr>
        <w:pStyle w:val="FootnoteText"/>
      </w:pPr>
      <w:r>
        <w:rPr>
          <w:rStyle w:val="FootnoteReference"/>
        </w:rPr>
        <w:footnoteRef/>
      </w:r>
      <w:r>
        <w:t xml:space="preserve"> Paragraph 85 of the Joint Expert Report</w:t>
      </w:r>
    </w:p>
  </w:footnote>
  <w:footnote w:id="15">
    <w:p w:rsidR="0079142A" w:rsidRDefault="0079142A">
      <w:pPr>
        <w:pStyle w:val="FootnoteText"/>
      </w:pPr>
      <w:r>
        <w:rPr>
          <w:rStyle w:val="FootnoteReference"/>
        </w:rPr>
        <w:footnoteRef/>
      </w:r>
      <w:r>
        <w:t xml:space="preserve"> Paragraph 89 of the Joint Expert Report</w:t>
      </w:r>
    </w:p>
  </w:footnote>
  <w:footnote w:id="16">
    <w:p w:rsidR="0079142A" w:rsidRDefault="0079142A">
      <w:pPr>
        <w:pStyle w:val="FootnoteText"/>
      </w:pPr>
      <w:r>
        <w:rPr>
          <w:rStyle w:val="FootnoteReference"/>
        </w:rPr>
        <w:footnoteRef/>
      </w:r>
      <w:r>
        <w:t xml:space="preserve"> Paragraph 90 of the Joint Expert Report</w:t>
      </w:r>
    </w:p>
  </w:footnote>
  <w:footnote w:id="17">
    <w:p w:rsidR="0079142A" w:rsidRDefault="0079142A">
      <w:pPr>
        <w:pStyle w:val="FootnoteText"/>
      </w:pPr>
      <w:r>
        <w:rPr>
          <w:rStyle w:val="FootnoteReference"/>
        </w:rPr>
        <w:footnoteRef/>
      </w:r>
      <w:r>
        <w:t xml:space="preserve"> Paragraph 95 of the Joint Expert Report</w:t>
      </w:r>
    </w:p>
  </w:footnote>
  <w:footnote w:id="18">
    <w:p w:rsidR="0079142A" w:rsidRDefault="0079142A">
      <w:pPr>
        <w:pStyle w:val="FootnoteText"/>
      </w:pPr>
      <w:r>
        <w:rPr>
          <w:rStyle w:val="FootnoteReference"/>
        </w:rPr>
        <w:footnoteRef/>
      </w:r>
      <w:r>
        <w:t xml:space="preserve"> Paragraph 84 of the Joint Expert Report</w:t>
      </w:r>
    </w:p>
  </w:footnote>
  <w:footnote w:id="19">
    <w:p w:rsidR="0079142A" w:rsidRDefault="0079142A">
      <w:pPr>
        <w:pStyle w:val="FootnoteText"/>
      </w:pPr>
      <w:r>
        <w:rPr>
          <w:rStyle w:val="FootnoteReference"/>
        </w:rPr>
        <w:footnoteRef/>
      </w:r>
      <w:r>
        <w:t xml:space="preserve"> Paragraph 91 of the Joint Expert Report</w:t>
      </w:r>
    </w:p>
  </w:footnote>
  <w:footnote w:id="20">
    <w:p w:rsidR="0079142A" w:rsidRDefault="0079142A">
      <w:pPr>
        <w:pStyle w:val="FootnoteText"/>
      </w:pPr>
      <w:r>
        <w:rPr>
          <w:rStyle w:val="FootnoteReference"/>
        </w:rPr>
        <w:footnoteRef/>
      </w:r>
      <w:r>
        <w:t xml:space="preserve"> Paragraph 96 of the Joint Expert Report</w:t>
      </w:r>
    </w:p>
  </w:footnote>
  <w:footnote w:id="21">
    <w:p w:rsidR="0079142A" w:rsidRDefault="0079142A">
      <w:pPr>
        <w:pStyle w:val="FootnoteText"/>
      </w:pPr>
      <w:r>
        <w:rPr>
          <w:rStyle w:val="FootnoteReference"/>
        </w:rPr>
        <w:footnoteRef/>
      </w:r>
      <w:r>
        <w:t xml:space="preserve"> Paragraph 96 of the Joint Expert Report</w:t>
      </w:r>
    </w:p>
  </w:footnote>
  <w:footnote w:id="22">
    <w:p w:rsidR="0079142A" w:rsidRDefault="0079142A">
      <w:pPr>
        <w:pStyle w:val="FootnoteText"/>
      </w:pPr>
      <w:r>
        <w:rPr>
          <w:rStyle w:val="FootnoteReference"/>
        </w:rPr>
        <w:footnoteRef/>
      </w:r>
      <w:r>
        <w:t xml:space="preserve"> Paragraph 98 of the Joint Expert Report</w:t>
      </w:r>
    </w:p>
  </w:footnote>
  <w:footnote w:id="23">
    <w:p w:rsidR="0079142A" w:rsidRDefault="0079142A">
      <w:pPr>
        <w:pStyle w:val="FootnoteText"/>
      </w:pPr>
      <w:r>
        <w:rPr>
          <w:rStyle w:val="FootnoteReference"/>
        </w:rPr>
        <w:footnoteRef/>
      </w:r>
      <w:r>
        <w:t xml:space="preserve"> Paragraphs 92 and 93 of the Joint Expert Report</w:t>
      </w:r>
    </w:p>
  </w:footnote>
  <w:footnote w:id="24">
    <w:p w:rsidR="0079142A" w:rsidRDefault="0079142A">
      <w:pPr>
        <w:pStyle w:val="FootnoteText"/>
      </w:pPr>
      <w:r>
        <w:rPr>
          <w:rStyle w:val="FootnoteReference"/>
        </w:rPr>
        <w:footnoteRef/>
      </w:r>
      <w:r>
        <w:t xml:space="preserve"> Paragraph 99 of the Joint Expert Report</w:t>
      </w:r>
    </w:p>
  </w:footnote>
  <w:footnote w:id="25">
    <w:p w:rsidR="0079142A" w:rsidRDefault="0079142A" w:rsidP="0065199F">
      <w:pPr>
        <w:pStyle w:val="FootnoteText"/>
        <w:jc w:val="both"/>
      </w:pPr>
      <w:r>
        <w:rPr>
          <w:rStyle w:val="FootnoteReference"/>
        </w:rPr>
        <w:footnoteRef/>
      </w:r>
      <w:r>
        <w:t xml:space="preserve"> </w:t>
      </w:r>
      <w:r w:rsidRPr="009D1D9F">
        <w:rPr>
          <w:i/>
        </w:rPr>
        <w:t>Wong Woon Hei v Dickson Construction Co Ltd &amp; Another</w:t>
      </w:r>
      <w:r>
        <w:t xml:space="preserve"> (HCPI 521/2000, unreported, 3 July 2001), </w:t>
      </w:r>
      <w:r w:rsidRPr="009D1D9F">
        <w:rPr>
          <w:i/>
        </w:rPr>
        <w:t>Cheung Bing Kai v Tsui Kam Hung</w:t>
      </w:r>
      <w:r>
        <w:t xml:space="preserve"> (HCPI 116/2000, unreported, 11 April 2001), </w:t>
      </w:r>
      <w:r w:rsidRPr="009D1D9F">
        <w:rPr>
          <w:i/>
        </w:rPr>
        <w:t>Yu Pun Yuen v Ng Kwok Man trading as East Mountain Engineering Company &amp; Others</w:t>
      </w:r>
      <w:r>
        <w:t xml:space="preserve"> (HCPI 293/2002, unreported, 9 May 2003) and </w:t>
      </w:r>
      <w:r w:rsidRPr="009D1D9F">
        <w:rPr>
          <w:i/>
        </w:rPr>
        <w:t>Tsang Chung Wan v Li Ming &amp; Others</w:t>
      </w:r>
      <w:r>
        <w:t xml:space="preserve"> [1998] 2 HKLRD 354</w:t>
      </w:r>
    </w:p>
  </w:footnote>
  <w:footnote w:id="26">
    <w:p w:rsidR="0079142A" w:rsidRDefault="0079142A">
      <w:pPr>
        <w:pStyle w:val="FootnoteText"/>
      </w:pPr>
      <w:r>
        <w:rPr>
          <w:rStyle w:val="FootnoteReference"/>
        </w:rPr>
        <w:footnoteRef/>
      </w:r>
      <w:r>
        <w:t xml:space="preserve"> Paragraph 76 of Dr. Chun’s Report</w:t>
      </w:r>
    </w:p>
  </w:footnote>
  <w:footnote w:id="27">
    <w:p w:rsidR="0079142A" w:rsidRDefault="0079142A">
      <w:pPr>
        <w:pStyle w:val="FootnoteText"/>
      </w:pPr>
      <w:r>
        <w:rPr>
          <w:rStyle w:val="FootnoteReference"/>
        </w:rPr>
        <w:footnoteRef/>
      </w:r>
      <w:r>
        <w:t xml:space="preserve"> Paragraph 97 of the Joint Expert Report</w:t>
      </w:r>
    </w:p>
  </w:footnote>
  <w:footnote w:id="28">
    <w:p w:rsidR="0079142A" w:rsidRDefault="0079142A">
      <w:pPr>
        <w:pStyle w:val="FootnoteText"/>
      </w:pPr>
      <w:r>
        <w:rPr>
          <w:rStyle w:val="FootnoteReference"/>
        </w:rPr>
        <w:footnoteRef/>
      </w:r>
      <w:r>
        <w:t xml:space="preserve"> Paragraph 98 of the Joint Expert Report</w:t>
      </w:r>
    </w:p>
  </w:footnote>
  <w:footnote w:id="29">
    <w:p w:rsidR="0079142A" w:rsidRDefault="0079142A">
      <w:pPr>
        <w:pStyle w:val="FootnoteText"/>
      </w:pPr>
      <w:r>
        <w:rPr>
          <w:rStyle w:val="FootnoteReference"/>
        </w:rPr>
        <w:footnoteRef/>
      </w:r>
      <w:r>
        <w:t xml:space="preserve"> Paragraph 119 of the plaintiff’s written final submissions</w:t>
      </w:r>
    </w:p>
  </w:footnote>
  <w:footnote w:id="30">
    <w:p w:rsidR="0079142A" w:rsidRDefault="0079142A">
      <w:pPr>
        <w:pStyle w:val="FootnoteText"/>
      </w:pPr>
      <w:r>
        <w:rPr>
          <w:rStyle w:val="FootnoteReference"/>
        </w:rPr>
        <w:footnoteRef/>
      </w:r>
      <w:r>
        <w:t xml:space="preserve"> Paragraph 13 of the plaintiff’s opening submissions</w:t>
      </w:r>
    </w:p>
  </w:footnote>
  <w:footnote w:id="31">
    <w:p w:rsidR="0079142A" w:rsidRDefault="0079142A" w:rsidP="000F64CD">
      <w:pPr>
        <w:pStyle w:val="FootnoteText"/>
        <w:ind w:left="180" w:hanging="180"/>
        <w:jc w:val="both"/>
      </w:pPr>
      <w:r>
        <w:rPr>
          <w:rStyle w:val="FootnoteReference"/>
        </w:rPr>
        <w:footnoteRef/>
      </w:r>
      <w:r>
        <w:t xml:space="preserve"> According to the audio recording, when this court asked Mr Lam whether it was his fall-back position that reasonable sick leave should be granted up to 20 May 2016, he answered, “Yeah”.</w:t>
      </w:r>
    </w:p>
  </w:footnote>
  <w:footnote w:id="32">
    <w:p w:rsidR="0079142A" w:rsidRDefault="0079142A">
      <w:pPr>
        <w:pStyle w:val="FootnoteText"/>
      </w:pPr>
      <w:r>
        <w:rPr>
          <w:rStyle w:val="FootnoteReference"/>
        </w:rPr>
        <w:footnoteRef/>
      </w:r>
      <w:r>
        <w:t xml:space="preserve"> Paragraph 71 of the Joint Expert Report reads: “Dr. Tio recommended light duty from 10/3/2016.”</w:t>
      </w:r>
    </w:p>
  </w:footnote>
  <w:footnote w:id="33">
    <w:p w:rsidR="0079142A" w:rsidRPr="008024D9" w:rsidRDefault="0079142A">
      <w:pPr>
        <w:pStyle w:val="FootnoteText"/>
        <w:rPr>
          <w:rFonts w:eastAsia="DengXian" w:hint="eastAsia"/>
          <w:lang w:eastAsia="zh-CN"/>
        </w:rPr>
      </w:pPr>
      <w:r>
        <w:rPr>
          <w:rStyle w:val="FootnoteReference"/>
        </w:rPr>
        <w:footnoteRef/>
      </w:r>
      <w:r>
        <w:t xml:space="preserve"> </w:t>
      </w:r>
      <w:r w:rsidRPr="008024D9">
        <w:rPr>
          <w:rFonts w:eastAsia="DengXian" w:hint="eastAsia"/>
          <w:lang w:eastAsia="zh-CN"/>
        </w:rPr>
        <w:t>Para</w:t>
      </w:r>
      <w:r w:rsidRPr="008024D9">
        <w:rPr>
          <w:rFonts w:eastAsia="DengXian"/>
          <w:lang w:eastAsia="zh-CN"/>
        </w:rPr>
        <w:t>g</w:t>
      </w:r>
      <w:r w:rsidRPr="008024D9">
        <w:rPr>
          <w:rFonts w:eastAsia="DengXian" w:hint="eastAsia"/>
          <w:lang w:eastAsia="zh-CN"/>
        </w:rPr>
        <w:t>raph</w:t>
      </w:r>
      <w:r w:rsidRPr="008024D9">
        <w:rPr>
          <w:rFonts w:eastAsia="DengXian"/>
          <w:lang w:eastAsia="zh-CN"/>
        </w:rPr>
        <w:t xml:space="preserve"> 71 of Dr Chun’s Report</w:t>
      </w:r>
      <w:r w:rsidRPr="008024D9">
        <w:rPr>
          <w:rFonts w:eastAsia="DengXian" w:hint="eastAsia"/>
          <w:lang w:eastAsia="zh-CN"/>
        </w:rPr>
        <w:t xml:space="preserve"> </w:t>
      </w:r>
    </w:p>
  </w:footnote>
  <w:footnote w:id="34">
    <w:p w:rsidR="0079142A" w:rsidRDefault="0079142A" w:rsidP="00B74FB9">
      <w:pPr>
        <w:pStyle w:val="FootnoteText"/>
        <w:ind w:left="180" w:hanging="180"/>
        <w:jc w:val="both"/>
      </w:pPr>
      <w:r>
        <w:rPr>
          <w:rStyle w:val="FootnoteReference"/>
        </w:rPr>
        <w:footnoteRef/>
      </w:r>
      <w:r>
        <w:t xml:space="preserve"> Sum of items 1 – 41 of Schedule 2 (Medical Expenses in table form setting out the particulars) included in the trial bundle</w:t>
      </w:r>
    </w:p>
  </w:footnote>
  <w:footnote w:id="35">
    <w:p w:rsidR="0079142A" w:rsidRDefault="0079142A">
      <w:pPr>
        <w:pStyle w:val="FootnoteText"/>
      </w:pPr>
      <w:r>
        <w:rPr>
          <w:rStyle w:val="FootnoteReference"/>
        </w:rPr>
        <w:footnoteRef/>
      </w:r>
      <w:r>
        <w:t xml:space="preserve"> Paragraph 95 of the Joint Expert Report</w:t>
      </w:r>
    </w:p>
  </w:footnote>
  <w:footnote w:id="36">
    <w:p w:rsidR="00554D57" w:rsidRDefault="00554D57">
      <w:pPr>
        <w:pStyle w:val="FootnoteText"/>
      </w:pPr>
      <w:r>
        <w:rPr>
          <w:rStyle w:val="FootnoteReference"/>
        </w:rPr>
        <w:footnoteRef/>
      </w:r>
      <w:r>
        <w:t xml:space="preserve"> Paragraph 75 of Dr Chun’s Report</w:t>
      </w:r>
    </w:p>
  </w:footnote>
  <w:footnote w:id="37">
    <w:p w:rsidR="0079142A" w:rsidRDefault="0079142A">
      <w:pPr>
        <w:pStyle w:val="FootnoteText"/>
      </w:pPr>
      <w:r>
        <w:rPr>
          <w:rStyle w:val="FootnoteReference"/>
        </w:rPr>
        <w:footnoteRef/>
      </w:r>
      <w:r>
        <w:t xml:space="preserve"> Paragraph 92 of the Joint Expert Report</w:t>
      </w:r>
    </w:p>
  </w:footnote>
  <w:footnote w:id="38">
    <w:p w:rsidR="0079142A" w:rsidRDefault="0079142A" w:rsidP="005166DD">
      <w:pPr>
        <w:pStyle w:val="FootnoteText"/>
      </w:pPr>
      <w:r>
        <w:rPr>
          <w:rStyle w:val="FootnoteReference"/>
        </w:rPr>
        <w:footnoteRef/>
      </w:r>
      <w:r>
        <w:t xml:space="preserve"> Paragraph 67 of Dr Chun’s Report</w:t>
      </w:r>
    </w:p>
  </w:footnote>
  <w:footnote w:id="39">
    <w:p w:rsidR="0045678A" w:rsidRDefault="0045678A" w:rsidP="0045678A">
      <w:pPr>
        <w:pStyle w:val="FootnoteText"/>
        <w:ind w:left="180" w:hanging="180"/>
        <w:jc w:val="both"/>
      </w:pPr>
      <w:r>
        <w:rPr>
          <w:rStyle w:val="FootnoteReference"/>
        </w:rPr>
        <w:footnoteRef/>
      </w:r>
      <w:r>
        <w:t xml:space="preserve">  The same argument is made by Mr Lam herein.  At paragraph 63 of his final submissions, he stated: “Applying </w:t>
      </w:r>
      <w:r w:rsidRPr="0045678A">
        <w:rPr>
          <w:i/>
        </w:rPr>
        <w:t>Iau Kau Ih</w:t>
      </w:r>
      <w:r>
        <w:t>, the Defendant is liable as ‘The tortfeasor must of course take the victim as he finds him.’ ”</w:t>
      </w:r>
    </w:p>
  </w:footnote>
  <w:footnote w:id="40">
    <w:p w:rsidR="00F654CF" w:rsidRDefault="00F654CF">
      <w:pPr>
        <w:pStyle w:val="FootnoteText"/>
      </w:pPr>
      <w:r>
        <w:rPr>
          <w:rStyle w:val="FootnoteReference"/>
        </w:rPr>
        <w:footnoteRef/>
      </w:r>
      <w:r>
        <w:t xml:space="preserve"> Consent of the parties has been given at the trial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42A" w:rsidRDefault="0089665F">
    <w:pPr>
      <w:pStyle w:val="Header"/>
    </w:pPr>
    <w:r>
      <w:rPr>
        <w:noProof/>
      </w:rPr>
    </w:r>
    <w:r w:rsidR="0089665F">
      <w:rPr>
        <w:noProof/>
      </w:rPr>
      <w:pict w14:anchorId="52A99462">
        <v:shapetype id="_x0000_t202" coordsize="21600,21600" o:spt="202" path="m,l,21600r21600,l21600,xe">
          <v:stroke joinstyle="miter"/>
          <v:path gradientshapeok="t" o:connecttype="rect"/>
        </v:shapetype>
        <v:shape id="Text Box 3" o:spid="_x0000_s1026" type="#_x0000_t202" style="position:absolute;left:0;text-align:left;margin-left:457.0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" o:allowincell="f" stroked="f">
          <o:lock v:ext="edit" aspectratio="t" verticies="t" text="t" shapetype="t"/>
          <v:textbox>
            <w:txbxContent>
              <w:p w:rsidR="0079142A" w:rsidRDefault="0079142A" w:rsidP="005B2D79">
                <w:pPr>
                  <w:ind w:right="-165"/>
                  <w:rPr>
                    <w:b/>
                    <w:bCs/>
                    <w:sz w:val="20"/>
                    <w:szCs w:val="20"/>
                  </w:rPr>
                </w:pPr>
                <w:r>
                  <w:rPr>
                    <w:b/>
                    <w:bCs/>
                    <w:sz w:val="20"/>
                    <w:szCs w:val="20"/>
                  </w:rPr>
                  <w:t>A</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20"/>
                    <w:szCs w:val="20"/>
                  </w:rPr>
                </w:pPr>
                <w:r>
                  <w:rPr>
                    <w:b/>
                    <w:bCs/>
                    <w:sz w:val="20"/>
                    <w:szCs w:val="20"/>
                  </w:rPr>
                  <w:t>B</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C</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pStyle w:val="Heading2"/>
                  <w:ind w:right="-165"/>
                  <w:rPr>
                    <w:sz w:val="16"/>
                    <w:szCs w:val="16"/>
                  </w:rPr>
                </w:pPr>
                <w:r>
                  <w:t>D</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E</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20"/>
                    <w:szCs w:val="20"/>
                  </w:rPr>
                </w:pPr>
                <w:r>
                  <w:rPr>
                    <w:b/>
                    <w:bCs/>
                    <w:sz w:val="20"/>
                    <w:szCs w:val="20"/>
                  </w:rPr>
                  <w:t>F</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G</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H</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I</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J</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K</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L</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M</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N</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O</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P</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Q</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R</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S</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T</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Default="0079142A" w:rsidP="005B2D79">
                <w:pPr>
                  <w:ind w:right="-165"/>
                  <w:rPr>
                    <w:b/>
                    <w:bCs/>
                    <w:sz w:val="16"/>
                    <w:szCs w:val="16"/>
                  </w:rPr>
                </w:pPr>
                <w:r>
                  <w:rPr>
                    <w:b/>
                    <w:bCs/>
                    <w:sz w:val="20"/>
                    <w:szCs w:val="20"/>
                  </w:rPr>
                  <w:t>U</w:t>
                </w:r>
              </w:p>
              <w:p w:rsidR="0079142A" w:rsidRDefault="0079142A" w:rsidP="005B2D79">
                <w:pPr>
                  <w:ind w:right="-165"/>
                  <w:rPr>
                    <w:b/>
                    <w:bCs/>
                    <w:sz w:val="10"/>
                    <w:szCs w:val="10"/>
                  </w:rPr>
                </w:pPr>
              </w:p>
              <w:p w:rsidR="0079142A" w:rsidRDefault="0079142A" w:rsidP="005B2D79">
                <w:pPr>
                  <w:ind w:right="-165"/>
                  <w:rPr>
                    <w:b/>
                    <w:bCs/>
                    <w:sz w:val="16"/>
                    <w:szCs w:val="16"/>
                  </w:rPr>
                </w:pPr>
              </w:p>
              <w:p w:rsidR="0079142A" w:rsidRDefault="0079142A" w:rsidP="005B2D79">
                <w:pPr>
                  <w:ind w:right="-165"/>
                  <w:rPr>
                    <w:b/>
                    <w:bCs/>
                    <w:sz w:val="16"/>
                    <w:szCs w:val="16"/>
                  </w:rPr>
                </w:pPr>
              </w:p>
              <w:p w:rsidR="0079142A" w:rsidRPr="005B2D79" w:rsidRDefault="0079142A" w:rsidP="005B2D79">
                <w:pPr>
                  <w:ind w:right="-165"/>
                  <w:rPr>
                    <w:b/>
                    <w:bCs/>
                    <w:sz w:val="20"/>
                    <w:szCs w:val="20"/>
                  </w:rPr>
                </w:pPr>
                <w:r w:rsidRPr="005B2D79">
                  <w:rPr>
                    <w:b/>
                    <w:bCs/>
                    <w:sz w:val="20"/>
                    <w:szCs w:val="20"/>
                  </w:rPr>
                  <w:t>V</w:t>
                </w:r>
              </w:p>
            </w:txbxContent>
          </v:textbox>
        </v:shape>
      </w:pict>
    </w:r>
    <w:r>
      <w:rPr>
        <w:noProof/>
      </w:rPr>
    </w:r>
    <w:r w:rsidR="0089665F">
      <w:rPr>
        <w:noProof/>
      </w:rPr>
      <w:pict w14:anchorId="12C0787D">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79142A" w:rsidRDefault="0079142A">
                <w:pPr>
                  <w:rPr>
                    <w:b/>
                    <w:bCs/>
                    <w:sz w:val="20"/>
                    <w:szCs w:val="20"/>
                  </w:rPr>
                </w:pPr>
                <w:r>
                  <w:rPr>
                    <w:b/>
                    <w:bCs/>
                    <w:sz w:val="20"/>
                    <w:szCs w:val="20"/>
                  </w:rPr>
                  <w:t>A</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20"/>
                    <w:szCs w:val="20"/>
                  </w:rPr>
                </w:pPr>
                <w:r>
                  <w:rPr>
                    <w:b/>
                    <w:bCs/>
                    <w:sz w:val="20"/>
                    <w:szCs w:val="20"/>
                  </w:rPr>
                  <w:t>B</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C</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pStyle w:val="Heading2"/>
                  <w:rPr>
                    <w:sz w:val="16"/>
                    <w:szCs w:val="16"/>
                  </w:rPr>
                </w:pPr>
                <w:r>
                  <w:t>D</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E</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20"/>
                    <w:szCs w:val="20"/>
                  </w:rPr>
                </w:pPr>
                <w:r>
                  <w:rPr>
                    <w:b/>
                    <w:bCs/>
                    <w:sz w:val="20"/>
                    <w:szCs w:val="20"/>
                  </w:rPr>
                  <w:t>F</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G</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H</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I</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J</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K</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L</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M</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N</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O</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P</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Q</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R</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S</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T</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U</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pStyle w:val="Heading3"/>
                  <w:jc w:val="left"/>
                </w:pPr>
                <w:r>
                  <w:t>V</w:t>
                </w:r>
              </w:p>
            </w:txbxContent>
          </v:textbox>
        </v:shape>
      </w:pict>
    </w:r>
    <w:r>
      <w:rPr>
        <w:noProof/>
      </w:rPr>
    </w:r>
    <w:r w:rsidR="0089665F">
      <w:rPr>
        <w:noProof/>
      </w:rPr>
      <w:pict w14:anchorId="7BD48AEA">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79142A" w:rsidRDefault="0079142A">
                <w:pPr>
                  <w:rPr>
                    <w:rFonts w:eastAsia="SimHei"/>
                    <w:b/>
                    <w:bCs/>
                    <w:sz w:val="18"/>
                    <w:szCs w:val="18"/>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42A" w:rsidRDefault="0089665F">
    <w:pPr>
      <w:pStyle w:val="Header"/>
      <w:rPr>
        <w:sz w:val="28"/>
        <w:szCs w:val="28"/>
      </w:rPr>
    </w:pPr>
    <w:r>
      <w:rPr>
        <w:noProof/>
      </w:rPr>
    </w:r>
    <w:r w:rsidR="0089665F">
      <w:rPr>
        <w:noProof/>
      </w:rPr>
      <w:pict w14:anchorId="3812AD85">
        <v:shapetype id="_x0000_t202" coordsize="21600,21600" o:spt="202" path="m,l,21600r21600,l21600,xe">
          <v:stroke joinstyle="miter"/>
          <v:path gradientshapeok="t" o:connecttype="rect"/>
        </v:shapetype>
        <v:shape id="Text Box 6" o:spid="_x0000_s1029" type="#_x0000_t202" style="position:absolute;left:0;text-align:left;margin-left:454.9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" o:allowincell="f" stroked="f">
          <o:lock v:ext="edit" aspectratio="t" verticies="t" text="t" shapetype="t"/>
          <v:textbox>
            <w:txbxContent>
              <w:p w:rsidR="0079142A" w:rsidRDefault="0079142A" w:rsidP="00A8299F">
                <w:pPr>
                  <w:ind w:right="-165"/>
                  <w:rPr>
                    <w:b/>
                    <w:bCs/>
                    <w:sz w:val="20"/>
                    <w:szCs w:val="20"/>
                  </w:rPr>
                </w:pPr>
                <w:r>
                  <w:rPr>
                    <w:b/>
                    <w:bCs/>
                    <w:sz w:val="20"/>
                    <w:szCs w:val="20"/>
                  </w:rPr>
                  <w:t>A</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20"/>
                    <w:szCs w:val="20"/>
                  </w:rPr>
                </w:pPr>
                <w:r>
                  <w:rPr>
                    <w:b/>
                    <w:bCs/>
                    <w:sz w:val="20"/>
                    <w:szCs w:val="20"/>
                  </w:rPr>
                  <w:t>B</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C</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pStyle w:val="Heading2"/>
                  <w:ind w:right="-165"/>
                  <w:rPr>
                    <w:sz w:val="16"/>
                    <w:szCs w:val="16"/>
                  </w:rPr>
                </w:pPr>
                <w:r>
                  <w:t>D</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E</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20"/>
                    <w:szCs w:val="20"/>
                  </w:rPr>
                </w:pPr>
                <w:r>
                  <w:rPr>
                    <w:b/>
                    <w:bCs/>
                    <w:sz w:val="20"/>
                    <w:szCs w:val="20"/>
                  </w:rPr>
                  <w:t>F</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G</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H</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I</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J</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K</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L</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M</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N</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O</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P</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Q</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R</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S</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T</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ind w:right="-165"/>
                  <w:rPr>
                    <w:b/>
                    <w:bCs/>
                    <w:sz w:val="16"/>
                    <w:szCs w:val="16"/>
                  </w:rPr>
                </w:pPr>
                <w:r>
                  <w:rPr>
                    <w:b/>
                    <w:bCs/>
                    <w:sz w:val="20"/>
                    <w:szCs w:val="20"/>
                  </w:rPr>
                  <w:t>U</w:t>
                </w:r>
              </w:p>
              <w:p w:rsidR="0079142A" w:rsidRDefault="0079142A" w:rsidP="00A8299F">
                <w:pPr>
                  <w:ind w:right="-165"/>
                  <w:rPr>
                    <w:b/>
                    <w:bCs/>
                    <w:sz w:val="10"/>
                    <w:szCs w:val="10"/>
                  </w:rPr>
                </w:pPr>
              </w:p>
              <w:p w:rsidR="0079142A" w:rsidRDefault="0079142A" w:rsidP="00A8299F">
                <w:pPr>
                  <w:ind w:right="-165"/>
                  <w:rPr>
                    <w:b/>
                    <w:bCs/>
                    <w:sz w:val="16"/>
                    <w:szCs w:val="16"/>
                  </w:rPr>
                </w:pPr>
              </w:p>
              <w:p w:rsidR="0079142A" w:rsidRDefault="0079142A" w:rsidP="00A8299F">
                <w:pPr>
                  <w:ind w:right="-165"/>
                  <w:rPr>
                    <w:b/>
                    <w:bCs/>
                    <w:sz w:val="16"/>
                    <w:szCs w:val="16"/>
                  </w:rPr>
                </w:pPr>
              </w:p>
              <w:p w:rsidR="0079142A" w:rsidRDefault="0079142A" w:rsidP="00A8299F">
                <w:pPr>
                  <w:pStyle w:val="Heading3"/>
                  <w:ind w:right="-165"/>
                  <w:jc w:val="left"/>
                </w:pPr>
                <w:r>
                  <w:t>V</w:t>
                </w:r>
              </w:p>
            </w:txbxContent>
          </v:textbox>
        </v:shape>
      </w:pict>
    </w:r>
    <w:r w:rsidR="0079142A">
      <w:rPr>
        <w:sz w:val="28"/>
        <w:szCs w:val="28"/>
      </w:rPr>
      <w:t xml:space="preserve">- </w:t>
    </w:r>
    <w:r w:rsidR="0079142A">
      <w:rPr>
        <w:rStyle w:val="PageNumber"/>
        <w:sz w:val="28"/>
        <w:szCs w:val="28"/>
      </w:rPr>
      <w:fldChar w:fldCharType="begin"/>
    </w:r>
    <w:r w:rsidR="0079142A">
      <w:rPr>
        <w:rStyle w:val="PageNumber"/>
        <w:sz w:val="28"/>
        <w:szCs w:val="28"/>
      </w:rPr>
      <w:instrText xml:space="preserve"> PAGE </w:instrText>
    </w:r>
    <w:r w:rsidR="0079142A">
      <w:rPr>
        <w:rStyle w:val="PageNumber"/>
        <w:sz w:val="28"/>
        <w:szCs w:val="28"/>
      </w:rPr>
      <w:fldChar w:fldCharType="separate"/>
    </w:r>
    <w:r w:rsidR="00137D58">
      <w:rPr>
        <w:rStyle w:val="PageNumber"/>
        <w:noProof/>
        <w:sz w:val="28"/>
        <w:szCs w:val="28"/>
      </w:rPr>
      <w:t>44</w:t>
    </w:r>
    <w:r w:rsidR="0079142A">
      <w:rPr>
        <w:rStyle w:val="PageNumber"/>
        <w:sz w:val="28"/>
        <w:szCs w:val="28"/>
      </w:rPr>
      <w:fldChar w:fldCharType="end"/>
    </w:r>
    <w:r w:rsidR="0079142A">
      <w:rPr>
        <w:rStyle w:val="PageNumber"/>
        <w:sz w:val="28"/>
        <w:szCs w:val="28"/>
      </w:rPr>
      <w:t xml:space="preserve"> -</w:t>
    </w:r>
    <w:r>
      <w:rPr>
        <w:noProof/>
      </w:rPr>
    </w:r>
    <w:r w:rsidR="0089665F">
      <w:rPr>
        <w:noProof/>
      </w:rPr>
      <w:pict w14:anchorId="35F1BA02">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79142A" w:rsidRDefault="0079142A">
                <w:pPr>
                  <w:rPr>
                    <w:b/>
                    <w:bCs/>
                    <w:sz w:val="20"/>
                    <w:szCs w:val="20"/>
                  </w:rPr>
                </w:pPr>
                <w:r>
                  <w:rPr>
                    <w:b/>
                    <w:bCs/>
                    <w:sz w:val="20"/>
                    <w:szCs w:val="20"/>
                  </w:rPr>
                  <w:t>A</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20"/>
                    <w:szCs w:val="20"/>
                  </w:rPr>
                </w:pPr>
                <w:r>
                  <w:rPr>
                    <w:b/>
                    <w:bCs/>
                    <w:sz w:val="20"/>
                    <w:szCs w:val="20"/>
                  </w:rPr>
                  <w:t>B</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C</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pStyle w:val="Heading2"/>
                  <w:rPr>
                    <w:sz w:val="16"/>
                    <w:szCs w:val="16"/>
                  </w:rPr>
                </w:pPr>
                <w:r>
                  <w:t>D</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E</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20"/>
                    <w:szCs w:val="20"/>
                  </w:rPr>
                </w:pPr>
                <w:r>
                  <w:rPr>
                    <w:b/>
                    <w:bCs/>
                    <w:sz w:val="20"/>
                    <w:szCs w:val="20"/>
                  </w:rPr>
                  <w:t>F</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G</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H</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I</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J</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K</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L</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M</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N</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O</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P</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Q</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R</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S</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T</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rPr>
                    <w:b/>
                    <w:bCs/>
                    <w:sz w:val="16"/>
                    <w:szCs w:val="16"/>
                  </w:rPr>
                </w:pPr>
                <w:r>
                  <w:rPr>
                    <w:b/>
                    <w:bCs/>
                    <w:sz w:val="20"/>
                    <w:szCs w:val="20"/>
                  </w:rPr>
                  <w:t>U</w:t>
                </w:r>
              </w:p>
              <w:p w:rsidR="0079142A" w:rsidRDefault="0079142A">
                <w:pPr>
                  <w:rPr>
                    <w:b/>
                    <w:bCs/>
                    <w:sz w:val="10"/>
                    <w:szCs w:val="10"/>
                  </w:rPr>
                </w:pPr>
              </w:p>
              <w:p w:rsidR="0079142A" w:rsidRDefault="0079142A">
                <w:pPr>
                  <w:rPr>
                    <w:b/>
                    <w:bCs/>
                    <w:sz w:val="16"/>
                    <w:szCs w:val="16"/>
                  </w:rPr>
                </w:pPr>
              </w:p>
              <w:p w:rsidR="0079142A" w:rsidRDefault="0079142A">
                <w:pPr>
                  <w:rPr>
                    <w:b/>
                    <w:bCs/>
                    <w:sz w:val="16"/>
                    <w:szCs w:val="16"/>
                  </w:rPr>
                </w:pPr>
              </w:p>
              <w:p w:rsidR="0079142A" w:rsidRDefault="0079142A">
                <w:pPr>
                  <w:pStyle w:val="Heading3"/>
                  <w:jc w:val="left"/>
                </w:pPr>
                <w:r>
                  <w:t>V</w:t>
                </w:r>
              </w:p>
            </w:txbxContent>
          </v:textbox>
        </v:shape>
      </w:pict>
    </w:r>
    <w:r>
      <w:rPr>
        <w:noProof/>
      </w:rPr>
    </w:r>
    <w:r w:rsidR="0089665F">
      <w:rPr>
        <w:noProof/>
      </w:rPr>
      <w:pict w14:anchorId="777F9D4E">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79142A" w:rsidRDefault="0079142A">
                <w:pPr>
                  <w:rPr>
                    <w:rFonts w:eastAsia="SimHei"/>
                    <w:b/>
                    <w:bCs/>
                    <w:sz w:val="18"/>
                    <w:szCs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4E5"/>
    <w:multiLevelType w:val="hybridMultilevel"/>
    <w:tmpl w:val="67C44924"/>
    <w:lvl w:ilvl="0" w:tplc="39F6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8A4"/>
    <w:multiLevelType w:val="hybridMultilevel"/>
    <w:tmpl w:val="58D67C6E"/>
    <w:lvl w:ilvl="0" w:tplc="9D26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07FE"/>
    <w:multiLevelType w:val="hybridMultilevel"/>
    <w:tmpl w:val="0996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76CF5"/>
    <w:multiLevelType w:val="hybridMultilevel"/>
    <w:tmpl w:val="F7E46EF0"/>
    <w:lvl w:ilvl="0" w:tplc="5F5CD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03A2"/>
    <w:multiLevelType w:val="hybridMultilevel"/>
    <w:tmpl w:val="D47C1B9C"/>
    <w:lvl w:ilvl="0" w:tplc="51B61B7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31AB3A7C"/>
    <w:multiLevelType w:val="multilevel"/>
    <w:tmpl w:val="5CD02EE6"/>
    <w:lvl w:ilvl="0">
      <w:start w:val="1"/>
      <w:numFmt w:val="decimal"/>
      <w:lvlText w:val="%1."/>
      <w:lvlJc w:val="left"/>
      <w:pPr>
        <w:tabs>
          <w:tab w:val="num" w:pos="360"/>
        </w:tabs>
        <w:ind w:left="0" w:firstLine="0"/>
      </w:pPr>
      <w:rPr>
        <w:i w:val="0"/>
      </w:rPr>
    </w:lvl>
    <w:lvl w:ilvl="1">
      <w:start w:val="1"/>
      <w:numFmt w:val="lowerLetter"/>
      <w:lvlText w:val="%2."/>
      <w:lvlJc w:val="left"/>
      <w:pPr>
        <w:ind w:left="1140" w:hanging="360"/>
      </w:pPr>
      <w:rPr>
        <w:rFonts w:hint="default"/>
      </w:rPr>
    </w:lvl>
    <w:lvl w:ilvl="2">
      <w:start w:val="1"/>
      <w:numFmt w:val="decimal"/>
      <w:lvlText w:val="(%3)"/>
      <w:lvlJc w:val="left"/>
      <w:pPr>
        <w:ind w:left="2040" w:hanging="360"/>
      </w:pPr>
      <w:rPr>
        <w:rFonts w:hint="default"/>
      </w:rPr>
    </w:lvl>
    <w:lvl w:ilvl="3">
      <w:start w:val="1"/>
      <w:numFmt w:val="lowerRoman"/>
      <w:lvlText w:val="(%4)"/>
      <w:lvlJc w:val="left"/>
      <w:pPr>
        <w:ind w:left="2940" w:hanging="720"/>
      </w:pPr>
      <w:rPr>
        <w:rFonts w:hint="default"/>
      </w:rPr>
    </w:lvl>
    <w:lvl w:ilvl="4">
      <w:start w:val="1"/>
      <w:numFmt w:val="lowerLetter"/>
      <w:lvlText w:val="(%5)"/>
      <w:lvlJc w:val="left"/>
      <w:pPr>
        <w:ind w:left="3300" w:hanging="360"/>
      </w:pPr>
      <w:rPr>
        <w:rFonts w:hint="default"/>
      </w:r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7" w15:restartNumberingAfterBreak="0">
    <w:nsid w:val="43AA1146"/>
    <w:multiLevelType w:val="hybridMultilevel"/>
    <w:tmpl w:val="AA505118"/>
    <w:lvl w:ilvl="0" w:tplc="75C6C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206F2"/>
    <w:multiLevelType w:val="hybridMultilevel"/>
    <w:tmpl w:val="59CC6D4C"/>
    <w:lvl w:ilvl="0" w:tplc="889AEC2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27F0E"/>
    <w:multiLevelType w:val="hybridMultilevel"/>
    <w:tmpl w:val="20BE80D2"/>
    <w:lvl w:ilvl="0" w:tplc="65526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16AAC"/>
    <w:multiLevelType w:val="hybridMultilevel"/>
    <w:tmpl w:val="CB18DD42"/>
    <w:lvl w:ilvl="0" w:tplc="F8B0055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D57F2"/>
    <w:multiLevelType w:val="hybridMultilevel"/>
    <w:tmpl w:val="B5EA7064"/>
    <w:lvl w:ilvl="0" w:tplc="E0D88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04E1D"/>
    <w:multiLevelType w:val="hybridMultilevel"/>
    <w:tmpl w:val="1FF0B7B2"/>
    <w:lvl w:ilvl="0" w:tplc="8668D51C">
      <w:start w:val="1"/>
      <w:numFmt w:val="decimal"/>
      <w:lvlText w:val="(%1)"/>
      <w:lvlJc w:val="left"/>
      <w:pPr>
        <w:ind w:left="1440" w:hanging="360"/>
      </w:pPr>
      <w:rPr>
        <w:rFonts w:eastAsia="PMingLiU"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076797">
    <w:abstractNumId w:val="5"/>
  </w:num>
  <w:num w:numId="2" w16cid:durableId="47535420">
    <w:abstractNumId w:val="6"/>
  </w:num>
  <w:num w:numId="3" w16cid:durableId="660086248">
    <w:abstractNumId w:val="1"/>
  </w:num>
  <w:num w:numId="4" w16cid:durableId="2066173307">
    <w:abstractNumId w:val="0"/>
  </w:num>
  <w:num w:numId="5" w16cid:durableId="654648780">
    <w:abstractNumId w:val="12"/>
  </w:num>
  <w:num w:numId="6" w16cid:durableId="1249802742">
    <w:abstractNumId w:val="11"/>
  </w:num>
  <w:num w:numId="7" w16cid:durableId="699279325">
    <w:abstractNumId w:val="3"/>
  </w:num>
  <w:num w:numId="8" w16cid:durableId="183596664">
    <w:abstractNumId w:val="7"/>
  </w:num>
  <w:num w:numId="9" w16cid:durableId="917863153">
    <w:abstractNumId w:val="10"/>
  </w:num>
  <w:num w:numId="10" w16cid:durableId="930242584">
    <w:abstractNumId w:val="9"/>
  </w:num>
  <w:num w:numId="11" w16cid:durableId="1421639506">
    <w:abstractNumId w:val="4"/>
  </w:num>
  <w:num w:numId="12" w16cid:durableId="1335836462">
    <w:abstractNumId w:val="8"/>
  </w:num>
  <w:num w:numId="13" w16cid:durableId="926327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71A"/>
    <w:rsid w:val="00001956"/>
    <w:rsid w:val="00002BFC"/>
    <w:rsid w:val="00004A36"/>
    <w:rsid w:val="000057ED"/>
    <w:rsid w:val="000141AA"/>
    <w:rsid w:val="00017AE0"/>
    <w:rsid w:val="00021647"/>
    <w:rsid w:val="00021BC0"/>
    <w:rsid w:val="00023D32"/>
    <w:rsid w:val="0002535E"/>
    <w:rsid w:val="000269C2"/>
    <w:rsid w:val="00027816"/>
    <w:rsid w:val="00027A48"/>
    <w:rsid w:val="00030B9A"/>
    <w:rsid w:val="00034F8A"/>
    <w:rsid w:val="00041C1D"/>
    <w:rsid w:val="00041CB7"/>
    <w:rsid w:val="000474C1"/>
    <w:rsid w:val="00047E0C"/>
    <w:rsid w:val="000518C0"/>
    <w:rsid w:val="00052276"/>
    <w:rsid w:val="000547F4"/>
    <w:rsid w:val="00056B19"/>
    <w:rsid w:val="000613C1"/>
    <w:rsid w:val="0006337E"/>
    <w:rsid w:val="000705E3"/>
    <w:rsid w:val="00071C4B"/>
    <w:rsid w:val="000723FE"/>
    <w:rsid w:val="00072887"/>
    <w:rsid w:val="0007738C"/>
    <w:rsid w:val="00087A18"/>
    <w:rsid w:val="00092E2F"/>
    <w:rsid w:val="00094E71"/>
    <w:rsid w:val="000969B5"/>
    <w:rsid w:val="00096CE4"/>
    <w:rsid w:val="000A0DB4"/>
    <w:rsid w:val="000A30F8"/>
    <w:rsid w:val="000B0F1A"/>
    <w:rsid w:val="000B55FA"/>
    <w:rsid w:val="000C22DF"/>
    <w:rsid w:val="000C2522"/>
    <w:rsid w:val="000C5E66"/>
    <w:rsid w:val="000D348B"/>
    <w:rsid w:val="000E07B5"/>
    <w:rsid w:val="000E4239"/>
    <w:rsid w:val="000E490F"/>
    <w:rsid w:val="000E63D8"/>
    <w:rsid w:val="000F003D"/>
    <w:rsid w:val="000F19DB"/>
    <w:rsid w:val="000F2469"/>
    <w:rsid w:val="000F64CD"/>
    <w:rsid w:val="001012D7"/>
    <w:rsid w:val="00104283"/>
    <w:rsid w:val="00104F34"/>
    <w:rsid w:val="00107AAE"/>
    <w:rsid w:val="001124FB"/>
    <w:rsid w:val="00113618"/>
    <w:rsid w:val="00113689"/>
    <w:rsid w:val="0011488D"/>
    <w:rsid w:val="001157CC"/>
    <w:rsid w:val="00115F66"/>
    <w:rsid w:val="00124CFC"/>
    <w:rsid w:val="001255CE"/>
    <w:rsid w:val="001265E7"/>
    <w:rsid w:val="0012667D"/>
    <w:rsid w:val="00130CC4"/>
    <w:rsid w:val="00131A12"/>
    <w:rsid w:val="0013262D"/>
    <w:rsid w:val="0013266F"/>
    <w:rsid w:val="00137D58"/>
    <w:rsid w:val="00140B12"/>
    <w:rsid w:val="00141BB5"/>
    <w:rsid w:val="00142289"/>
    <w:rsid w:val="00146B5D"/>
    <w:rsid w:val="00147A7C"/>
    <w:rsid w:val="00150562"/>
    <w:rsid w:val="001506EF"/>
    <w:rsid w:val="00150C06"/>
    <w:rsid w:val="00150D22"/>
    <w:rsid w:val="00152AE1"/>
    <w:rsid w:val="00162B4A"/>
    <w:rsid w:val="001654E3"/>
    <w:rsid w:val="00175162"/>
    <w:rsid w:val="0017656B"/>
    <w:rsid w:val="00177669"/>
    <w:rsid w:val="0018055C"/>
    <w:rsid w:val="00182F95"/>
    <w:rsid w:val="001855CB"/>
    <w:rsid w:val="00192985"/>
    <w:rsid w:val="00193AFA"/>
    <w:rsid w:val="001A3D2E"/>
    <w:rsid w:val="001A5EC4"/>
    <w:rsid w:val="001B3F00"/>
    <w:rsid w:val="001C153D"/>
    <w:rsid w:val="001C28A0"/>
    <w:rsid w:val="001C45E2"/>
    <w:rsid w:val="001C63F9"/>
    <w:rsid w:val="001C7516"/>
    <w:rsid w:val="001D0B73"/>
    <w:rsid w:val="001E1CE5"/>
    <w:rsid w:val="001E49C2"/>
    <w:rsid w:val="001E7C1E"/>
    <w:rsid w:val="001F1721"/>
    <w:rsid w:val="001F57BA"/>
    <w:rsid w:val="001F78C3"/>
    <w:rsid w:val="002009AA"/>
    <w:rsid w:val="002059B2"/>
    <w:rsid w:val="0020604F"/>
    <w:rsid w:val="0020618F"/>
    <w:rsid w:val="00210CA1"/>
    <w:rsid w:val="00212EE2"/>
    <w:rsid w:val="00213A64"/>
    <w:rsid w:val="0022469B"/>
    <w:rsid w:val="00225E04"/>
    <w:rsid w:val="00231BD0"/>
    <w:rsid w:val="00235009"/>
    <w:rsid w:val="002368DA"/>
    <w:rsid w:val="00242033"/>
    <w:rsid w:val="0024214F"/>
    <w:rsid w:val="002440DB"/>
    <w:rsid w:val="00244B00"/>
    <w:rsid w:val="00246E2A"/>
    <w:rsid w:val="00247AC4"/>
    <w:rsid w:val="0025260C"/>
    <w:rsid w:val="00252A31"/>
    <w:rsid w:val="00255B3C"/>
    <w:rsid w:val="0025687B"/>
    <w:rsid w:val="00257912"/>
    <w:rsid w:val="00257E3F"/>
    <w:rsid w:val="00261CC5"/>
    <w:rsid w:val="00262577"/>
    <w:rsid w:val="00267CD7"/>
    <w:rsid w:val="00267E00"/>
    <w:rsid w:val="00271223"/>
    <w:rsid w:val="002713D6"/>
    <w:rsid w:val="00281660"/>
    <w:rsid w:val="002836E7"/>
    <w:rsid w:val="00287928"/>
    <w:rsid w:val="002916B2"/>
    <w:rsid w:val="00291F20"/>
    <w:rsid w:val="002922F9"/>
    <w:rsid w:val="00293D6D"/>
    <w:rsid w:val="00297721"/>
    <w:rsid w:val="002A2981"/>
    <w:rsid w:val="002A534D"/>
    <w:rsid w:val="002A706F"/>
    <w:rsid w:val="002B0E44"/>
    <w:rsid w:val="002B25E1"/>
    <w:rsid w:val="002B343D"/>
    <w:rsid w:val="002B4938"/>
    <w:rsid w:val="002B558A"/>
    <w:rsid w:val="002B7C06"/>
    <w:rsid w:val="002C08DA"/>
    <w:rsid w:val="002C0B1D"/>
    <w:rsid w:val="002C2792"/>
    <w:rsid w:val="002C27C2"/>
    <w:rsid w:val="002C57DE"/>
    <w:rsid w:val="002C6284"/>
    <w:rsid w:val="002C7268"/>
    <w:rsid w:val="002D03D9"/>
    <w:rsid w:val="002D0D6D"/>
    <w:rsid w:val="002D1549"/>
    <w:rsid w:val="002D796E"/>
    <w:rsid w:val="002E1179"/>
    <w:rsid w:val="002E57D0"/>
    <w:rsid w:val="002F6CF6"/>
    <w:rsid w:val="00302D04"/>
    <w:rsid w:val="00303523"/>
    <w:rsid w:val="0030504A"/>
    <w:rsid w:val="003051F6"/>
    <w:rsid w:val="00305710"/>
    <w:rsid w:val="00306BC9"/>
    <w:rsid w:val="0031049D"/>
    <w:rsid w:val="00311758"/>
    <w:rsid w:val="00311921"/>
    <w:rsid w:val="00311B05"/>
    <w:rsid w:val="00313D20"/>
    <w:rsid w:val="003154BE"/>
    <w:rsid w:val="00316A4C"/>
    <w:rsid w:val="00321F3F"/>
    <w:rsid w:val="00324234"/>
    <w:rsid w:val="00325DC8"/>
    <w:rsid w:val="00331947"/>
    <w:rsid w:val="00333520"/>
    <w:rsid w:val="003337CD"/>
    <w:rsid w:val="0033578D"/>
    <w:rsid w:val="003366EB"/>
    <w:rsid w:val="00337FDE"/>
    <w:rsid w:val="00346B6C"/>
    <w:rsid w:val="003474B0"/>
    <w:rsid w:val="00351FC0"/>
    <w:rsid w:val="00352E5E"/>
    <w:rsid w:val="00356A89"/>
    <w:rsid w:val="00357D8B"/>
    <w:rsid w:val="00362377"/>
    <w:rsid w:val="00363B85"/>
    <w:rsid w:val="0036520C"/>
    <w:rsid w:val="00365C06"/>
    <w:rsid w:val="003722C3"/>
    <w:rsid w:val="003740AA"/>
    <w:rsid w:val="00381674"/>
    <w:rsid w:val="003840C5"/>
    <w:rsid w:val="003851AE"/>
    <w:rsid w:val="00390062"/>
    <w:rsid w:val="0039050D"/>
    <w:rsid w:val="003908C6"/>
    <w:rsid w:val="0039718E"/>
    <w:rsid w:val="003A26CB"/>
    <w:rsid w:val="003A3081"/>
    <w:rsid w:val="003A4804"/>
    <w:rsid w:val="003A63E2"/>
    <w:rsid w:val="003A7B7C"/>
    <w:rsid w:val="003B2B03"/>
    <w:rsid w:val="003B613A"/>
    <w:rsid w:val="003C1FF6"/>
    <w:rsid w:val="003C21E4"/>
    <w:rsid w:val="003C2BC3"/>
    <w:rsid w:val="003C4E52"/>
    <w:rsid w:val="003C775D"/>
    <w:rsid w:val="003D01F9"/>
    <w:rsid w:val="003D2439"/>
    <w:rsid w:val="003D4E68"/>
    <w:rsid w:val="003E1FCA"/>
    <w:rsid w:val="003E659F"/>
    <w:rsid w:val="003F0C93"/>
    <w:rsid w:val="003F60C2"/>
    <w:rsid w:val="003F7F87"/>
    <w:rsid w:val="00413CBD"/>
    <w:rsid w:val="00415E1B"/>
    <w:rsid w:val="0041732F"/>
    <w:rsid w:val="0042291E"/>
    <w:rsid w:val="00425A69"/>
    <w:rsid w:val="00430B6D"/>
    <w:rsid w:val="0043764D"/>
    <w:rsid w:val="00443D06"/>
    <w:rsid w:val="00447077"/>
    <w:rsid w:val="00453510"/>
    <w:rsid w:val="00454A93"/>
    <w:rsid w:val="00454C7B"/>
    <w:rsid w:val="0045678A"/>
    <w:rsid w:val="00456BDF"/>
    <w:rsid w:val="00457768"/>
    <w:rsid w:val="004660A1"/>
    <w:rsid w:val="00467293"/>
    <w:rsid w:val="004673E3"/>
    <w:rsid w:val="00476C31"/>
    <w:rsid w:val="0048097F"/>
    <w:rsid w:val="00484CED"/>
    <w:rsid w:val="004850F6"/>
    <w:rsid w:val="004942AE"/>
    <w:rsid w:val="00496B7D"/>
    <w:rsid w:val="00497583"/>
    <w:rsid w:val="004A0ABA"/>
    <w:rsid w:val="004A1D88"/>
    <w:rsid w:val="004A1EEC"/>
    <w:rsid w:val="004A4024"/>
    <w:rsid w:val="004A4ADF"/>
    <w:rsid w:val="004A6158"/>
    <w:rsid w:val="004B40ED"/>
    <w:rsid w:val="004B4CD4"/>
    <w:rsid w:val="004B5BC0"/>
    <w:rsid w:val="004C0E10"/>
    <w:rsid w:val="004C3528"/>
    <w:rsid w:val="004C49B0"/>
    <w:rsid w:val="004C5F4A"/>
    <w:rsid w:val="004D0A89"/>
    <w:rsid w:val="004D1551"/>
    <w:rsid w:val="004D3B04"/>
    <w:rsid w:val="004E347F"/>
    <w:rsid w:val="004E5AA2"/>
    <w:rsid w:val="004E69F2"/>
    <w:rsid w:val="004F079B"/>
    <w:rsid w:val="004F3FC3"/>
    <w:rsid w:val="004F468E"/>
    <w:rsid w:val="004F5B91"/>
    <w:rsid w:val="004F6600"/>
    <w:rsid w:val="004F7678"/>
    <w:rsid w:val="005065A5"/>
    <w:rsid w:val="005074BC"/>
    <w:rsid w:val="00514FE0"/>
    <w:rsid w:val="005166DD"/>
    <w:rsid w:val="00521202"/>
    <w:rsid w:val="00523117"/>
    <w:rsid w:val="005253B8"/>
    <w:rsid w:val="0053041E"/>
    <w:rsid w:val="00531372"/>
    <w:rsid w:val="00534693"/>
    <w:rsid w:val="00534F20"/>
    <w:rsid w:val="0053752F"/>
    <w:rsid w:val="00547765"/>
    <w:rsid w:val="00553904"/>
    <w:rsid w:val="00554D57"/>
    <w:rsid w:val="00556A38"/>
    <w:rsid w:val="0056426F"/>
    <w:rsid w:val="005666C6"/>
    <w:rsid w:val="00574004"/>
    <w:rsid w:val="00574A61"/>
    <w:rsid w:val="00581459"/>
    <w:rsid w:val="005821BE"/>
    <w:rsid w:val="005844A0"/>
    <w:rsid w:val="00587117"/>
    <w:rsid w:val="005879CD"/>
    <w:rsid w:val="0059384F"/>
    <w:rsid w:val="00593D5A"/>
    <w:rsid w:val="00594F68"/>
    <w:rsid w:val="0059554D"/>
    <w:rsid w:val="00596E05"/>
    <w:rsid w:val="005973FA"/>
    <w:rsid w:val="005A1C29"/>
    <w:rsid w:val="005A31F4"/>
    <w:rsid w:val="005A3DFC"/>
    <w:rsid w:val="005A51A8"/>
    <w:rsid w:val="005A5DCF"/>
    <w:rsid w:val="005A5EB7"/>
    <w:rsid w:val="005A6633"/>
    <w:rsid w:val="005B2D79"/>
    <w:rsid w:val="005B5289"/>
    <w:rsid w:val="005B58B7"/>
    <w:rsid w:val="005B6F59"/>
    <w:rsid w:val="005B79BC"/>
    <w:rsid w:val="005B7AD7"/>
    <w:rsid w:val="005C128A"/>
    <w:rsid w:val="005C1A1A"/>
    <w:rsid w:val="005C1F2E"/>
    <w:rsid w:val="005C2A7F"/>
    <w:rsid w:val="005C5193"/>
    <w:rsid w:val="005D1656"/>
    <w:rsid w:val="005D1B98"/>
    <w:rsid w:val="005D2E58"/>
    <w:rsid w:val="005D7438"/>
    <w:rsid w:val="005D7FF0"/>
    <w:rsid w:val="005E1A76"/>
    <w:rsid w:val="005E3A14"/>
    <w:rsid w:val="005E4F81"/>
    <w:rsid w:val="005E5AB9"/>
    <w:rsid w:val="005E74CF"/>
    <w:rsid w:val="005E7618"/>
    <w:rsid w:val="005F0579"/>
    <w:rsid w:val="005F103C"/>
    <w:rsid w:val="005F1D80"/>
    <w:rsid w:val="005F248F"/>
    <w:rsid w:val="005F28D0"/>
    <w:rsid w:val="005F34C8"/>
    <w:rsid w:val="005F4F03"/>
    <w:rsid w:val="00601D6F"/>
    <w:rsid w:val="00622A2E"/>
    <w:rsid w:val="00625059"/>
    <w:rsid w:val="0062557F"/>
    <w:rsid w:val="00630293"/>
    <w:rsid w:val="00632285"/>
    <w:rsid w:val="00635908"/>
    <w:rsid w:val="00644B72"/>
    <w:rsid w:val="0065199F"/>
    <w:rsid w:val="00654031"/>
    <w:rsid w:val="00654811"/>
    <w:rsid w:val="00664EFC"/>
    <w:rsid w:val="00673559"/>
    <w:rsid w:val="006836C8"/>
    <w:rsid w:val="0068470E"/>
    <w:rsid w:val="006873F2"/>
    <w:rsid w:val="00687961"/>
    <w:rsid w:val="006928EE"/>
    <w:rsid w:val="0069314A"/>
    <w:rsid w:val="00694589"/>
    <w:rsid w:val="00695EBC"/>
    <w:rsid w:val="00696F48"/>
    <w:rsid w:val="006A0664"/>
    <w:rsid w:val="006A6B46"/>
    <w:rsid w:val="006B446E"/>
    <w:rsid w:val="006B4E98"/>
    <w:rsid w:val="006C2033"/>
    <w:rsid w:val="006C426E"/>
    <w:rsid w:val="006C43F8"/>
    <w:rsid w:val="006C4A82"/>
    <w:rsid w:val="006C4F4E"/>
    <w:rsid w:val="006C6DEC"/>
    <w:rsid w:val="006D38A5"/>
    <w:rsid w:val="006E37D8"/>
    <w:rsid w:val="006E5BAD"/>
    <w:rsid w:val="006E6A70"/>
    <w:rsid w:val="006F2564"/>
    <w:rsid w:val="006F457C"/>
    <w:rsid w:val="006F5935"/>
    <w:rsid w:val="007001B5"/>
    <w:rsid w:val="00700EF0"/>
    <w:rsid w:val="007042A2"/>
    <w:rsid w:val="00704AF8"/>
    <w:rsid w:val="00705892"/>
    <w:rsid w:val="00711EB3"/>
    <w:rsid w:val="007133DF"/>
    <w:rsid w:val="007235EE"/>
    <w:rsid w:val="0072411A"/>
    <w:rsid w:val="00726702"/>
    <w:rsid w:val="007269C7"/>
    <w:rsid w:val="00726CC5"/>
    <w:rsid w:val="00731BFB"/>
    <w:rsid w:val="0073707D"/>
    <w:rsid w:val="0074285A"/>
    <w:rsid w:val="007429B7"/>
    <w:rsid w:val="00743CAD"/>
    <w:rsid w:val="00745850"/>
    <w:rsid w:val="00745C2E"/>
    <w:rsid w:val="00751FCC"/>
    <w:rsid w:val="00753CAF"/>
    <w:rsid w:val="0075638A"/>
    <w:rsid w:val="00756DF0"/>
    <w:rsid w:val="00757DFF"/>
    <w:rsid w:val="00761AFF"/>
    <w:rsid w:val="00762315"/>
    <w:rsid w:val="007651B0"/>
    <w:rsid w:val="00766DE9"/>
    <w:rsid w:val="007721BC"/>
    <w:rsid w:val="00784B1B"/>
    <w:rsid w:val="007863FB"/>
    <w:rsid w:val="0078695C"/>
    <w:rsid w:val="00787DC5"/>
    <w:rsid w:val="0079142A"/>
    <w:rsid w:val="00793EF1"/>
    <w:rsid w:val="0079420C"/>
    <w:rsid w:val="007A0A4D"/>
    <w:rsid w:val="007A4554"/>
    <w:rsid w:val="007B2D58"/>
    <w:rsid w:val="007B3725"/>
    <w:rsid w:val="007B42E3"/>
    <w:rsid w:val="007B71E1"/>
    <w:rsid w:val="007B79CB"/>
    <w:rsid w:val="007C17BA"/>
    <w:rsid w:val="007D7892"/>
    <w:rsid w:val="007E3C89"/>
    <w:rsid w:val="007E48D1"/>
    <w:rsid w:val="007E74DE"/>
    <w:rsid w:val="007F0F94"/>
    <w:rsid w:val="007F1EBC"/>
    <w:rsid w:val="007F2A62"/>
    <w:rsid w:val="007F413D"/>
    <w:rsid w:val="007F4740"/>
    <w:rsid w:val="007F64B8"/>
    <w:rsid w:val="007F64C4"/>
    <w:rsid w:val="00801834"/>
    <w:rsid w:val="008024D9"/>
    <w:rsid w:val="00802940"/>
    <w:rsid w:val="00804802"/>
    <w:rsid w:val="00805B51"/>
    <w:rsid w:val="008151D2"/>
    <w:rsid w:val="008201D8"/>
    <w:rsid w:val="00821A29"/>
    <w:rsid w:val="00822527"/>
    <w:rsid w:val="00823D8E"/>
    <w:rsid w:val="00824EC6"/>
    <w:rsid w:val="008266C9"/>
    <w:rsid w:val="00827FFC"/>
    <w:rsid w:val="008333FD"/>
    <w:rsid w:val="00843881"/>
    <w:rsid w:val="00844D06"/>
    <w:rsid w:val="00847168"/>
    <w:rsid w:val="00852108"/>
    <w:rsid w:val="00853FBB"/>
    <w:rsid w:val="00864B81"/>
    <w:rsid w:val="00871098"/>
    <w:rsid w:val="00871E0D"/>
    <w:rsid w:val="00875526"/>
    <w:rsid w:val="0088034F"/>
    <w:rsid w:val="00886B68"/>
    <w:rsid w:val="00893923"/>
    <w:rsid w:val="008943B6"/>
    <w:rsid w:val="0089665F"/>
    <w:rsid w:val="008B011D"/>
    <w:rsid w:val="008B69DC"/>
    <w:rsid w:val="008C0E4F"/>
    <w:rsid w:val="008C1E60"/>
    <w:rsid w:val="008C3CBD"/>
    <w:rsid w:val="008C75B0"/>
    <w:rsid w:val="008C7690"/>
    <w:rsid w:val="008D1197"/>
    <w:rsid w:val="008D227B"/>
    <w:rsid w:val="008E38D1"/>
    <w:rsid w:val="008E6121"/>
    <w:rsid w:val="008E6F3D"/>
    <w:rsid w:val="008E73EE"/>
    <w:rsid w:val="008F3987"/>
    <w:rsid w:val="008F3EA1"/>
    <w:rsid w:val="008F68E7"/>
    <w:rsid w:val="0090104E"/>
    <w:rsid w:val="00901058"/>
    <w:rsid w:val="009022BD"/>
    <w:rsid w:val="0090331A"/>
    <w:rsid w:val="00904902"/>
    <w:rsid w:val="0091366A"/>
    <w:rsid w:val="00916CA5"/>
    <w:rsid w:val="00916F52"/>
    <w:rsid w:val="00917345"/>
    <w:rsid w:val="0091740B"/>
    <w:rsid w:val="00920EC5"/>
    <w:rsid w:val="0092260D"/>
    <w:rsid w:val="00926D17"/>
    <w:rsid w:val="00933FF0"/>
    <w:rsid w:val="00935123"/>
    <w:rsid w:val="00935B43"/>
    <w:rsid w:val="00936A3B"/>
    <w:rsid w:val="00937525"/>
    <w:rsid w:val="00941BFC"/>
    <w:rsid w:val="00942C7F"/>
    <w:rsid w:val="009436FF"/>
    <w:rsid w:val="00944B74"/>
    <w:rsid w:val="00945490"/>
    <w:rsid w:val="00962135"/>
    <w:rsid w:val="00963AE4"/>
    <w:rsid w:val="00963B7B"/>
    <w:rsid w:val="00971921"/>
    <w:rsid w:val="00985BFF"/>
    <w:rsid w:val="00986064"/>
    <w:rsid w:val="009877E7"/>
    <w:rsid w:val="00987F98"/>
    <w:rsid w:val="00987FE6"/>
    <w:rsid w:val="009914CD"/>
    <w:rsid w:val="00992161"/>
    <w:rsid w:val="00992FB5"/>
    <w:rsid w:val="00994E50"/>
    <w:rsid w:val="009A1B52"/>
    <w:rsid w:val="009B6C1B"/>
    <w:rsid w:val="009C0633"/>
    <w:rsid w:val="009C2AEC"/>
    <w:rsid w:val="009C3357"/>
    <w:rsid w:val="009C40A3"/>
    <w:rsid w:val="009C5B42"/>
    <w:rsid w:val="009D1D9F"/>
    <w:rsid w:val="009D26B3"/>
    <w:rsid w:val="009D465B"/>
    <w:rsid w:val="009E1E68"/>
    <w:rsid w:val="009E1F5A"/>
    <w:rsid w:val="009E524F"/>
    <w:rsid w:val="009E6F05"/>
    <w:rsid w:val="009E7B2D"/>
    <w:rsid w:val="009F25EF"/>
    <w:rsid w:val="009F30C8"/>
    <w:rsid w:val="009F4E0C"/>
    <w:rsid w:val="009F5C5F"/>
    <w:rsid w:val="00A02C42"/>
    <w:rsid w:val="00A03CA5"/>
    <w:rsid w:val="00A134BC"/>
    <w:rsid w:val="00A14B3D"/>
    <w:rsid w:val="00A178B1"/>
    <w:rsid w:val="00A17C0A"/>
    <w:rsid w:val="00A20216"/>
    <w:rsid w:val="00A24EED"/>
    <w:rsid w:val="00A25C36"/>
    <w:rsid w:val="00A27040"/>
    <w:rsid w:val="00A32368"/>
    <w:rsid w:val="00A352A7"/>
    <w:rsid w:val="00A35D04"/>
    <w:rsid w:val="00A364E5"/>
    <w:rsid w:val="00A4269B"/>
    <w:rsid w:val="00A43B9D"/>
    <w:rsid w:val="00A463F6"/>
    <w:rsid w:val="00A5556C"/>
    <w:rsid w:val="00A55FD5"/>
    <w:rsid w:val="00A624D7"/>
    <w:rsid w:val="00A63D9E"/>
    <w:rsid w:val="00A65AAA"/>
    <w:rsid w:val="00A670F0"/>
    <w:rsid w:val="00A744A7"/>
    <w:rsid w:val="00A807F8"/>
    <w:rsid w:val="00A8299F"/>
    <w:rsid w:val="00A86E32"/>
    <w:rsid w:val="00A920C7"/>
    <w:rsid w:val="00A933E0"/>
    <w:rsid w:val="00A95CE7"/>
    <w:rsid w:val="00A97FC2"/>
    <w:rsid w:val="00AA5610"/>
    <w:rsid w:val="00AA6CC6"/>
    <w:rsid w:val="00AA733C"/>
    <w:rsid w:val="00AB28F1"/>
    <w:rsid w:val="00AB59B6"/>
    <w:rsid w:val="00AB6BFA"/>
    <w:rsid w:val="00AC01D6"/>
    <w:rsid w:val="00AC19E9"/>
    <w:rsid w:val="00AC23A8"/>
    <w:rsid w:val="00AC683A"/>
    <w:rsid w:val="00AC6C8E"/>
    <w:rsid w:val="00AD6231"/>
    <w:rsid w:val="00AE0D2F"/>
    <w:rsid w:val="00AE1DF6"/>
    <w:rsid w:val="00AF3E0A"/>
    <w:rsid w:val="00B0266D"/>
    <w:rsid w:val="00B02E90"/>
    <w:rsid w:val="00B05E07"/>
    <w:rsid w:val="00B13D4E"/>
    <w:rsid w:val="00B21C71"/>
    <w:rsid w:val="00B242D2"/>
    <w:rsid w:val="00B24F5C"/>
    <w:rsid w:val="00B27EF2"/>
    <w:rsid w:val="00B27FBB"/>
    <w:rsid w:val="00B34941"/>
    <w:rsid w:val="00B3638F"/>
    <w:rsid w:val="00B37DCB"/>
    <w:rsid w:val="00B41A5F"/>
    <w:rsid w:val="00B41B00"/>
    <w:rsid w:val="00B50D76"/>
    <w:rsid w:val="00B55F95"/>
    <w:rsid w:val="00B56E0C"/>
    <w:rsid w:val="00B61B1A"/>
    <w:rsid w:val="00B61ECB"/>
    <w:rsid w:val="00B624CD"/>
    <w:rsid w:val="00B6759E"/>
    <w:rsid w:val="00B679FE"/>
    <w:rsid w:val="00B71EC9"/>
    <w:rsid w:val="00B74D98"/>
    <w:rsid w:val="00B74FB9"/>
    <w:rsid w:val="00B77A7C"/>
    <w:rsid w:val="00B8223B"/>
    <w:rsid w:val="00B8421F"/>
    <w:rsid w:val="00B978C9"/>
    <w:rsid w:val="00BA01A2"/>
    <w:rsid w:val="00BA24D0"/>
    <w:rsid w:val="00BA375A"/>
    <w:rsid w:val="00BA45F3"/>
    <w:rsid w:val="00BA652C"/>
    <w:rsid w:val="00BB781A"/>
    <w:rsid w:val="00BB7A67"/>
    <w:rsid w:val="00BB7ED7"/>
    <w:rsid w:val="00BC0E24"/>
    <w:rsid w:val="00BC1B2F"/>
    <w:rsid w:val="00BC65B6"/>
    <w:rsid w:val="00BD09B8"/>
    <w:rsid w:val="00BD61C5"/>
    <w:rsid w:val="00BD7B47"/>
    <w:rsid w:val="00BE0019"/>
    <w:rsid w:val="00BE4D4E"/>
    <w:rsid w:val="00BE518F"/>
    <w:rsid w:val="00BE6C09"/>
    <w:rsid w:val="00BF068B"/>
    <w:rsid w:val="00BF5392"/>
    <w:rsid w:val="00BF7B47"/>
    <w:rsid w:val="00C027CD"/>
    <w:rsid w:val="00C02878"/>
    <w:rsid w:val="00C032E8"/>
    <w:rsid w:val="00C05F74"/>
    <w:rsid w:val="00C06465"/>
    <w:rsid w:val="00C14551"/>
    <w:rsid w:val="00C1584C"/>
    <w:rsid w:val="00C17962"/>
    <w:rsid w:val="00C21BB2"/>
    <w:rsid w:val="00C24252"/>
    <w:rsid w:val="00C27D70"/>
    <w:rsid w:val="00C31A92"/>
    <w:rsid w:val="00C3542E"/>
    <w:rsid w:val="00C37629"/>
    <w:rsid w:val="00C4084A"/>
    <w:rsid w:val="00C40EAD"/>
    <w:rsid w:val="00C41D81"/>
    <w:rsid w:val="00C45864"/>
    <w:rsid w:val="00C47850"/>
    <w:rsid w:val="00C51E3C"/>
    <w:rsid w:val="00C53A2F"/>
    <w:rsid w:val="00C5473B"/>
    <w:rsid w:val="00C5759E"/>
    <w:rsid w:val="00C603E0"/>
    <w:rsid w:val="00C622BE"/>
    <w:rsid w:val="00C630E8"/>
    <w:rsid w:val="00C6360F"/>
    <w:rsid w:val="00C658CD"/>
    <w:rsid w:val="00C66BBF"/>
    <w:rsid w:val="00C74A2D"/>
    <w:rsid w:val="00C76E0C"/>
    <w:rsid w:val="00C77CD9"/>
    <w:rsid w:val="00C8094F"/>
    <w:rsid w:val="00C80B91"/>
    <w:rsid w:val="00C81FBA"/>
    <w:rsid w:val="00C82676"/>
    <w:rsid w:val="00C83C06"/>
    <w:rsid w:val="00C850B8"/>
    <w:rsid w:val="00C96C42"/>
    <w:rsid w:val="00CA0863"/>
    <w:rsid w:val="00CA1C8B"/>
    <w:rsid w:val="00CA2EA2"/>
    <w:rsid w:val="00CB2715"/>
    <w:rsid w:val="00CC09AE"/>
    <w:rsid w:val="00CC1DA7"/>
    <w:rsid w:val="00CC4678"/>
    <w:rsid w:val="00CD22C7"/>
    <w:rsid w:val="00CD3127"/>
    <w:rsid w:val="00CD3766"/>
    <w:rsid w:val="00CD40DB"/>
    <w:rsid w:val="00CD5A1B"/>
    <w:rsid w:val="00CD67F0"/>
    <w:rsid w:val="00CE1145"/>
    <w:rsid w:val="00CE32D7"/>
    <w:rsid w:val="00CE6B79"/>
    <w:rsid w:val="00CF0CA8"/>
    <w:rsid w:val="00CF27C5"/>
    <w:rsid w:val="00CF5263"/>
    <w:rsid w:val="00CF5870"/>
    <w:rsid w:val="00CF6CA5"/>
    <w:rsid w:val="00D02572"/>
    <w:rsid w:val="00D04961"/>
    <w:rsid w:val="00D06840"/>
    <w:rsid w:val="00D06A56"/>
    <w:rsid w:val="00D0708A"/>
    <w:rsid w:val="00D1003C"/>
    <w:rsid w:val="00D1063B"/>
    <w:rsid w:val="00D11ACC"/>
    <w:rsid w:val="00D13719"/>
    <w:rsid w:val="00D13831"/>
    <w:rsid w:val="00D1551E"/>
    <w:rsid w:val="00D2392C"/>
    <w:rsid w:val="00D23E0A"/>
    <w:rsid w:val="00D249E8"/>
    <w:rsid w:val="00D30860"/>
    <w:rsid w:val="00D37814"/>
    <w:rsid w:val="00D4667E"/>
    <w:rsid w:val="00D5159D"/>
    <w:rsid w:val="00D52ED4"/>
    <w:rsid w:val="00D628DB"/>
    <w:rsid w:val="00D64CE2"/>
    <w:rsid w:val="00D664B4"/>
    <w:rsid w:val="00D70366"/>
    <w:rsid w:val="00D715A5"/>
    <w:rsid w:val="00D715DE"/>
    <w:rsid w:val="00D81AD5"/>
    <w:rsid w:val="00D9436E"/>
    <w:rsid w:val="00DA1549"/>
    <w:rsid w:val="00DA37B7"/>
    <w:rsid w:val="00DA3F8D"/>
    <w:rsid w:val="00DA4E44"/>
    <w:rsid w:val="00DA5394"/>
    <w:rsid w:val="00DB02D8"/>
    <w:rsid w:val="00DB0E66"/>
    <w:rsid w:val="00DB34F1"/>
    <w:rsid w:val="00DB38B3"/>
    <w:rsid w:val="00DB48BF"/>
    <w:rsid w:val="00DB541B"/>
    <w:rsid w:val="00DB5E33"/>
    <w:rsid w:val="00DC1620"/>
    <w:rsid w:val="00DC5B5F"/>
    <w:rsid w:val="00DC6A7E"/>
    <w:rsid w:val="00DD07F4"/>
    <w:rsid w:val="00DD2DAF"/>
    <w:rsid w:val="00DD32CE"/>
    <w:rsid w:val="00DD462D"/>
    <w:rsid w:val="00DE386F"/>
    <w:rsid w:val="00DE4E10"/>
    <w:rsid w:val="00DE57B4"/>
    <w:rsid w:val="00DE5DB3"/>
    <w:rsid w:val="00DF13B4"/>
    <w:rsid w:val="00DF2BD4"/>
    <w:rsid w:val="00DF646A"/>
    <w:rsid w:val="00E0086E"/>
    <w:rsid w:val="00E01BBE"/>
    <w:rsid w:val="00E05E6F"/>
    <w:rsid w:val="00E074E4"/>
    <w:rsid w:val="00E157DE"/>
    <w:rsid w:val="00E21D7F"/>
    <w:rsid w:val="00E243FD"/>
    <w:rsid w:val="00E35009"/>
    <w:rsid w:val="00E361FC"/>
    <w:rsid w:val="00E37F99"/>
    <w:rsid w:val="00E44EAF"/>
    <w:rsid w:val="00E46508"/>
    <w:rsid w:val="00E4698D"/>
    <w:rsid w:val="00E52382"/>
    <w:rsid w:val="00E5349C"/>
    <w:rsid w:val="00E54F72"/>
    <w:rsid w:val="00E63DE7"/>
    <w:rsid w:val="00E7288D"/>
    <w:rsid w:val="00E77454"/>
    <w:rsid w:val="00E86F62"/>
    <w:rsid w:val="00E876B8"/>
    <w:rsid w:val="00E946FA"/>
    <w:rsid w:val="00E97BFE"/>
    <w:rsid w:val="00EA3D70"/>
    <w:rsid w:val="00EB3F7F"/>
    <w:rsid w:val="00EB4E6E"/>
    <w:rsid w:val="00EB520A"/>
    <w:rsid w:val="00EB6F11"/>
    <w:rsid w:val="00EB6F31"/>
    <w:rsid w:val="00EB7876"/>
    <w:rsid w:val="00EC0EAC"/>
    <w:rsid w:val="00EC179A"/>
    <w:rsid w:val="00ED28D9"/>
    <w:rsid w:val="00ED4340"/>
    <w:rsid w:val="00ED49F2"/>
    <w:rsid w:val="00ED756E"/>
    <w:rsid w:val="00EE1795"/>
    <w:rsid w:val="00EE1EDB"/>
    <w:rsid w:val="00EE265A"/>
    <w:rsid w:val="00EE29EE"/>
    <w:rsid w:val="00EE353F"/>
    <w:rsid w:val="00EE3DF8"/>
    <w:rsid w:val="00EE76FD"/>
    <w:rsid w:val="00EF1C3C"/>
    <w:rsid w:val="00EF259D"/>
    <w:rsid w:val="00EF6CF8"/>
    <w:rsid w:val="00F002C9"/>
    <w:rsid w:val="00F03889"/>
    <w:rsid w:val="00F13C53"/>
    <w:rsid w:val="00F152C6"/>
    <w:rsid w:val="00F15446"/>
    <w:rsid w:val="00F23D48"/>
    <w:rsid w:val="00F2455F"/>
    <w:rsid w:val="00F24DA1"/>
    <w:rsid w:val="00F265E5"/>
    <w:rsid w:val="00F26626"/>
    <w:rsid w:val="00F26B60"/>
    <w:rsid w:val="00F30F0D"/>
    <w:rsid w:val="00F37BCF"/>
    <w:rsid w:val="00F42430"/>
    <w:rsid w:val="00F4563C"/>
    <w:rsid w:val="00F51050"/>
    <w:rsid w:val="00F5117C"/>
    <w:rsid w:val="00F55B5A"/>
    <w:rsid w:val="00F55D03"/>
    <w:rsid w:val="00F63B68"/>
    <w:rsid w:val="00F654CF"/>
    <w:rsid w:val="00F65D7D"/>
    <w:rsid w:val="00F73946"/>
    <w:rsid w:val="00F7623D"/>
    <w:rsid w:val="00F76B4D"/>
    <w:rsid w:val="00F77B35"/>
    <w:rsid w:val="00F77D4F"/>
    <w:rsid w:val="00F77FE3"/>
    <w:rsid w:val="00F80579"/>
    <w:rsid w:val="00F85482"/>
    <w:rsid w:val="00F854C3"/>
    <w:rsid w:val="00F87079"/>
    <w:rsid w:val="00F90F3D"/>
    <w:rsid w:val="00F94619"/>
    <w:rsid w:val="00F95346"/>
    <w:rsid w:val="00FA4B1C"/>
    <w:rsid w:val="00FA585B"/>
    <w:rsid w:val="00FA5864"/>
    <w:rsid w:val="00FB133B"/>
    <w:rsid w:val="00FB2D7B"/>
    <w:rsid w:val="00FB72C3"/>
    <w:rsid w:val="00FC238D"/>
    <w:rsid w:val="00FC2D72"/>
    <w:rsid w:val="00FC5C47"/>
    <w:rsid w:val="00FC75E8"/>
    <w:rsid w:val="00FD1756"/>
    <w:rsid w:val="00FD1DB9"/>
    <w:rsid w:val="00FD3F18"/>
    <w:rsid w:val="00FD569E"/>
    <w:rsid w:val="00FD581A"/>
    <w:rsid w:val="00FF205C"/>
    <w:rsid w:val="00FF52C4"/>
    <w:rsid w:val="00FF6B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7511A2E-B455-BF4C-A02B-2A1E3EC2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C5"/>
    <w:pPr>
      <w:tabs>
        <w:tab w:val="left" w:pos="1440"/>
        <w:tab w:val="center" w:pos="4320"/>
        <w:tab w:val="right" w:pos="9072"/>
      </w:tabs>
      <w:snapToGrid w:val="0"/>
    </w:pPr>
    <w:rPr>
      <w:sz w:val="28"/>
      <w:szCs w:val="28"/>
      <w:lang w:val="en-US"/>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F27C5"/>
    <w:pPr>
      <w:widowControl w:val="0"/>
      <w:tabs>
        <w:tab w:val="clear" w:pos="1440"/>
        <w:tab w:val="clear" w:pos="4320"/>
        <w:tab w:val="clear" w:pos="9072"/>
      </w:tabs>
    </w:pPr>
    <w:rPr>
      <w:rFonts w:eastAsia="PMingLiU"/>
      <w:kern w:val="2"/>
      <w:sz w:val="20"/>
      <w:szCs w:val="20"/>
      <w:lang w:eastAsia="zh-TW"/>
    </w:rPr>
  </w:style>
  <w:style w:type="character" w:customStyle="1" w:styleId="FootnoteTextChar">
    <w:name w:val="Footnote Text Char"/>
    <w:link w:val="FootnoteText"/>
    <w:uiPriority w:val="99"/>
    <w:semiHidden/>
    <w:rsid w:val="00CF27C5"/>
    <w:rPr>
      <w:rFonts w:eastAsia="PMingLiU"/>
      <w:kern w:val="2"/>
      <w:lang w:eastAsia="zh-TW"/>
    </w:rPr>
  </w:style>
  <w:style w:type="character" w:styleId="FootnoteReference">
    <w:name w:val="footnote reference"/>
    <w:uiPriority w:val="94"/>
    <w:unhideWhenUsed/>
    <w:rsid w:val="00CF27C5"/>
    <w:rPr>
      <w:rFonts w:ascii="Times New Roman" w:hAnsi="Times New Roman"/>
      <w:color w:val="000000"/>
      <w:vertAlign w:val="superscript"/>
    </w:rPr>
  </w:style>
  <w:style w:type="character" w:customStyle="1" w:styleId="FooterChar">
    <w:name w:val="Footer Char"/>
    <w:link w:val="Footer"/>
    <w:uiPriority w:val="99"/>
    <w:rsid w:val="00F03889"/>
  </w:style>
  <w:style w:type="character" w:customStyle="1" w:styleId="apple-converted-space">
    <w:name w:val="apple-converted-space"/>
    <w:basedOn w:val="DefaultParagraphFont"/>
    <w:rsid w:val="00F03889"/>
  </w:style>
  <w:style w:type="paragraph" w:customStyle="1" w:styleId="1">
    <w:name w:val="引文1"/>
    <w:basedOn w:val="Normal"/>
    <w:rsid w:val="00F03889"/>
    <w:pPr>
      <w:tabs>
        <w:tab w:val="clear" w:pos="1440"/>
        <w:tab w:val="clear" w:pos="4320"/>
        <w:tab w:val="clear" w:pos="9072"/>
      </w:tabs>
      <w:snapToGrid/>
      <w:spacing w:before="100" w:beforeAutospacing="1" w:after="100" w:afterAutospacing="1"/>
    </w:pPr>
    <w:rPr>
      <w:rFonts w:eastAsia="Times New Roman"/>
      <w:color w:val="FF3399"/>
      <w:szCs w:val="24"/>
    </w:rPr>
  </w:style>
  <w:style w:type="paragraph" w:styleId="NoSpacing">
    <w:name w:val="No Spacing"/>
    <w:uiPriority w:val="1"/>
    <w:qFormat/>
    <w:rsid w:val="00F03889"/>
    <w:pPr>
      <w:widowControl w:val="0"/>
    </w:pPr>
    <w:rPr>
      <w:rFonts w:eastAsia="PMingLiU"/>
      <w:color w:val="FF3399"/>
      <w:kern w:val="2"/>
      <w:sz w:val="24"/>
      <w:szCs w:val="22"/>
      <w:lang w:val="en-US" w:eastAsia="zh-TW"/>
    </w:rPr>
  </w:style>
  <w:style w:type="character" w:styleId="Emphasis">
    <w:name w:val="Emphasis"/>
    <w:uiPriority w:val="20"/>
    <w:qFormat/>
    <w:rsid w:val="00F03889"/>
    <w:rPr>
      <w:i/>
      <w:iCs/>
    </w:rPr>
  </w:style>
  <w:style w:type="character" w:styleId="Strong">
    <w:name w:val="Strong"/>
    <w:uiPriority w:val="22"/>
    <w:qFormat/>
    <w:rsid w:val="00F03889"/>
    <w:rPr>
      <w:b/>
      <w:bCs/>
    </w:rPr>
  </w:style>
  <w:style w:type="character" w:customStyle="1" w:styleId="Heading2Char">
    <w:name w:val="Heading 2 Char"/>
    <w:link w:val="Heading2"/>
    <w:uiPriority w:val="9"/>
    <w:rsid w:val="00F03889"/>
    <w:rPr>
      <w:b/>
      <w:bCs/>
    </w:rPr>
  </w:style>
  <w:style w:type="character" w:styleId="PlaceholderText">
    <w:name w:val="Placeholder Text"/>
    <w:uiPriority w:val="99"/>
    <w:semiHidden/>
    <w:rsid w:val="00A463F6"/>
    <w:rPr>
      <w:color w:val="808080"/>
    </w:rPr>
  </w:style>
  <w:style w:type="character" w:styleId="CommentReference">
    <w:name w:val="annotation reference"/>
    <w:uiPriority w:val="99"/>
    <w:semiHidden/>
    <w:unhideWhenUsed/>
    <w:rsid w:val="00C41D81"/>
    <w:rPr>
      <w:sz w:val="16"/>
      <w:szCs w:val="16"/>
    </w:rPr>
  </w:style>
  <w:style w:type="paragraph" w:styleId="CommentText">
    <w:name w:val="annotation text"/>
    <w:basedOn w:val="Normal"/>
    <w:link w:val="CommentTextChar"/>
    <w:uiPriority w:val="99"/>
    <w:semiHidden/>
    <w:unhideWhenUsed/>
    <w:rsid w:val="00C41D81"/>
    <w:rPr>
      <w:sz w:val="20"/>
      <w:szCs w:val="20"/>
    </w:rPr>
  </w:style>
  <w:style w:type="character" w:customStyle="1" w:styleId="CommentTextChar">
    <w:name w:val="Comment Text Char"/>
    <w:basedOn w:val="DefaultParagraphFont"/>
    <w:link w:val="CommentText"/>
    <w:uiPriority w:val="99"/>
    <w:semiHidden/>
    <w:rsid w:val="00C41D81"/>
  </w:style>
  <w:style w:type="paragraph" w:styleId="CommentSubject">
    <w:name w:val="annotation subject"/>
    <w:basedOn w:val="CommentText"/>
    <w:next w:val="CommentText"/>
    <w:link w:val="CommentSubjectChar"/>
    <w:uiPriority w:val="99"/>
    <w:semiHidden/>
    <w:unhideWhenUsed/>
    <w:rsid w:val="00C41D81"/>
    <w:rPr>
      <w:b/>
      <w:bCs/>
    </w:rPr>
  </w:style>
  <w:style w:type="character" w:customStyle="1" w:styleId="CommentSubjectChar">
    <w:name w:val="Comment Subject Char"/>
    <w:link w:val="CommentSubject"/>
    <w:uiPriority w:val="99"/>
    <w:semiHidden/>
    <w:rsid w:val="00C41D81"/>
    <w:rPr>
      <w:b/>
      <w:bCs/>
    </w:rPr>
  </w:style>
  <w:style w:type="paragraph" w:customStyle="1" w:styleId="footnotedescription">
    <w:name w:val="footnote description"/>
    <w:next w:val="Normal"/>
    <w:link w:val="footnotedescriptionChar"/>
    <w:hidden/>
    <w:rsid w:val="00D5159D"/>
    <w:pPr>
      <w:spacing w:after="69" w:line="259" w:lineRule="auto"/>
    </w:pPr>
    <w:rPr>
      <w:rFonts w:eastAsia="Times New Roman"/>
      <w:color w:val="000000"/>
      <w:szCs w:val="22"/>
      <w:lang w:val="en-US"/>
    </w:rPr>
  </w:style>
  <w:style w:type="character" w:customStyle="1" w:styleId="footnotedescriptionChar">
    <w:name w:val="footnote description Char"/>
    <w:link w:val="footnotedescription"/>
    <w:rsid w:val="00D5159D"/>
    <w:rPr>
      <w:rFonts w:eastAsia="Times New Roman"/>
      <w:color w:val="000000"/>
      <w:szCs w:val="22"/>
    </w:rPr>
  </w:style>
  <w:style w:type="character" w:customStyle="1" w:styleId="footnotemark">
    <w:name w:val="footnote mark"/>
    <w:hidden/>
    <w:rsid w:val="00D5159D"/>
    <w:rPr>
      <w:rFonts w:ascii="Times New Roman" w:eastAsia="Times New Roman" w:hAnsi="Times New Roman" w:cs="Times New Roman"/>
      <w:color w:val="000000"/>
      <w:sz w:val="14"/>
      <w:vertAlign w:val="superscript"/>
    </w:rPr>
  </w:style>
  <w:style w:type="paragraph" w:customStyle="1" w:styleId="ar-quotation">
    <w:name w:val="ar-quotation"/>
    <w:basedOn w:val="Normal"/>
    <w:next w:val="Normal"/>
    <w:rsid w:val="00F15446"/>
    <w:pPr>
      <w:tabs>
        <w:tab w:val="clear" w:pos="4320"/>
        <w:tab w:val="clear" w:pos="9072"/>
        <w:tab w:val="left" w:pos="2160"/>
      </w:tabs>
      <w:spacing w:before="240"/>
      <w:ind w:left="1440" w:right="720"/>
    </w:pPr>
    <w:rPr>
      <w:rFonts w:eastAsia="MingLiU"/>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CFABB-2BAD-42E2-A970-F5755542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8772</Words>
  <Characters>50001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2021-04-21T01:26:00Z</cp:lastPrinted>
  <dcterms:created xsi:type="dcterms:W3CDTF">2023-10-14T01:14:00Z</dcterms:created>
  <dcterms:modified xsi:type="dcterms:W3CDTF">2023-10-14T01:14:00Z</dcterms:modified>
</cp:coreProperties>
</file>