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0408" w:rsidRDefault="00F80408">
      <w:pPr>
        <w:pStyle w:val="normal3"/>
        <w:tabs>
          <w:tab w:val="clear" w:pos="4320"/>
          <w:tab w:val="clear" w:pos="4500"/>
          <w:tab w:val="clear" w:pos="9000"/>
          <w:tab w:val="clear" w:pos="9072"/>
        </w:tabs>
        <w:overflowPunct/>
        <w:autoSpaceDE/>
        <w:autoSpaceDN/>
        <w:snapToGrid/>
        <w:jc w:val="right"/>
        <w:rPr>
          <w:rFonts w:eastAsia="SimSun"/>
          <w:bCs/>
          <w:szCs w:val="28"/>
          <w:lang w:val="en-US"/>
        </w:rPr>
      </w:pPr>
      <w:r>
        <w:rPr>
          <w:szCs w:val="28"/>
        </w:rPr>
        <w:t>DCPI 2372/2006</w:t>
      </w:r>
    </w:p>
    <w:p w:rsidR="00F80408" w:rsidRDefault="00F80408">
      <w:pPr>
        <w:pStyle w:val="normal3"/>
        <w:tabs>
          <w:tab w:val="clear" w:pos="4320"/>
          <w:tab w:val="clear" w:pos="4500"/>
          <w:tab w:val="clear" w:pos="9000"/>
          <w:tab w:val="clear" w:pos="9072"/>
        </w:tabs>
        <w:overflowPunct/>
        <w:autoSpaceDE/>
        <w:autoSpaceDN/>
        <w:snapToGrid/>
        <w:rPr>
          <w:rFonts w:eastAsia="SimSun"/>
          <w:szCs w:val="28"/>
          <w:lang w:val="en-US"/>
        </w:rPr>
      </w:pPr>
    </w:p>
    <w:p w:rsidR="00F80408" w:rsidRDefault="00F80408">
      <w:pPr>
        <w:pStyle w:val="normal3"/>
        <w:tabs>
          <w:tab w:val="clear" w:pos="4320"/>
          <w:tab w:val="clear" w:pos="4500"/>
          <w:tab w:val="clear" w:pos="9000"/>
          <w:tab w:val="clear" w:pos="9072"/>
        </w:tabs>
        <w:overflowPunct/>
        <w:autoSpaceDE/>
        <w:autoSpaceDN/>
        <w:snapToGrid/>
        <w:rPr>
          <w:rFonts w:eastAsia="SimSun"/>
          <w:szCs w:val="28"/>
          <w:lang w:val="en-US"/>
        </w:rPr>
        <w:sectPr w:rsidR="00000000">
          <w:headerReference w:type="default" r:id="rId7"/>
          <w:footerReference w:type="even" r:id="rId8"/>
          <w:footerReference w:type="default" r:id="rId9"/>
          <w:pgSz w:w="11906" w:h="16838" w:code="9"/>
          <w:pgMar w:top="1800" w:right="1800" w:bottom="1440" w:left="1800" w:header="720" w:footer="720" w:gutter="0"/>
          <w:cols w:space="708"/>
          <w:docGrid w:linePitch="380"/>
        </w:sectPr>
      </w:pPr>
    </w:p>
    <w:p w:rsidR="00F80408" w:rsidRDefault="00F80408">
      <w:pPr>
        <w:spacing w:line="360" w:lineRule="auto"/>
        <w:jc w:val="center"/>
        <w:rPr>
          <w:szCs w:val="28"/>
        </w:rPr>
      </w:pPr>
      <w:r>
        <w:rPr>
          <w:szCs w:val="28"/>
        </w:rPr>
        <w:t>IN THE DISTRICT COURT OF THE</w:t>
      </w:r>
    </w:p>
    <w:p w:rsidR="00F80408" w:rsidRDefault="00F80408">
      <w:pPr>
        <w:spacing w:line="360" w:lineRule="auto"/>
        <w:jc w:val="center"/>
        <w:rPr>
          <w:szCs w:val="28"/>
        </w:rPr>
      </w:pPr>
      <w:r>
        <w:rPr>
          <w:szCs w:val="28"/>
        </w:rPr>
        <w:t>HONG KONG SPECIAL ADMINISTRATIVE REGION</w:t>
      </w:r>
    </w:p>
    <w:p w:rsidR="00F80408" w:rsidRDefault="00F80408">
      <w:pPr>
        <w:spacing w:line="360" w:lineRule="auto"/>
        <w:jc w:val="center"/>
        <w:rPr>
          <w:szCs w:val="28"/>
        </w:rPr>
      </w:pPr>
      <w:r>
        <w:rPr>
          <w:szCs w:val="28"/>
        </w:rPr>
        <w:t>PERSONAL INJURIES ACTION NO.2372 OF 2006</w:t>
      </w:r>
    </w:p>
    <w:p w:rsidR="00F80408" w:rsidRDefault="00F80408">
      <w:pPr>
        <w:jc w:val="center"/>
        <w:rPr>
          <w:szCs w:val="28"/>
        </w:rPr>
      </w:pPr>
      <w:r>
        <w:rPr>
          <w:szCs w:val="28"/>
        </w:rPr>
        <w:t>__________</w:t>
      </w:r>
    </w:p>
    <w:p w:rsidR="00F80408" w:rsidRDefault="00F80408">
      <w:pPr>
        <w:spacing w:beforeLines="100" w:before="240" w:afterLines="100" w:after="240"/>
        <w:jc w:val="both"/>
        <w:rPr>
          <w:szCs w:val="28"/>
        </w:rPr>
      </w:pPr>
      <w:r>
        <w:rPr>
          <w:szCs w:val="28"/>
        </w:rPr>
        <w:t>BETWEEN</w:t>
      </w:r>
    </w:p>
    <w:p w:rsidR="00F80408" w:rsidRDefault="00F80408">
      <w:pPr>
        <w:tabs>
          <w:tab w:val="clear" w:pos="1440"/>
          <w:tab w:val="clear" w:pos="4320"/>
          <w:tab w:val="clear" w:pos="9072"/>
          <w:tab w:val="left" w:pos="2100"/>
          <w:tab w:val="right" w:pos="8260"/>
        </w:tabs>
        <w:jc w:val="both"/>
        <w:rPr>
          <w:rFonts w:eastAsia="PMingLiU"/>
          <w:szCs w:val="28"/>
          <w:lang w:eastAsia="zh-TW"/>
        </w:rPr>
      </w:pPr>
      <w:r>
        <w:rPr>
          <w:rFonts w:eastAsia="PMingLiU" w:hint="eastAsia"/>
          <w:szCs w:val="28"/>
          <w:lang w:eastAsia="zh-TW"/>
        </w:rPr>
        <w:tab/>
      </w:r>
      <w:r>
        <w:rPr>
          <w:rFonts w:eastAsia="PMingLiU"/>
          <w:szCs w:val="28"/>
          <w:lang w:eastAsia="zh-TW"/>
        </w:rPr>
        <w:t xml:space="preserve">NG HO YIN (a minor) by </w:t>
      </w:r>
    </w:p>
    <w:p w:rsidR="00F80408" w:rsidRDefault="00F80408">
      <w:pPr>
        <w:tabs>
          <w:tab w:val="clear" w:pos="1440"/>
          <w:tab w:val="clear" w:pos="4320"/>
          <w:tab w:val="clear" w:pos="9072"/>
          <w:tab w:val="left" w:pos="2100"/>
          <w:tab w:val="right" w:pos="8260"/>
        </w:tabs>
        <w:jc w:val="both"/>
        <w:rPr>
          <w:rFonts w:eastAsia="PMingLiU"/>
          <w:szCs w:val="28"/>
          <w:lang w:eastAsia="zh-TW"/>
        </w:rPr>
      </w:pPr>
      <w:r>
        <w:rPr>
          <w:rFonts w:eastAsia="PMingLiU" w:hint="eastAsia"/>
          <w:szCs w:val="28"/>
          <w:lang w:eastAsia="zh-TW"/>
        </w:rPr>
        <w:tab/>
      </w:r>
      <w:r>
        <w:rPr>
          <w:rFonts w:eastAsia="PMingLiU"/>
          <w:szCs w:val="28"/>
          <w:lang w:eastAsia="zh-TW"/>
        </w:rPr>
        <w:t xml:space="preserve">CHAN WAI YU KITTY, </w:t>
      </w:r>
    </w:p>
    <w:p w:rsidR="00F80408" w:rsidRDefault="00F80408">
      <w:pPr>
        <w:tabs>
          <w:tab w:val="clear" w:pos="1440"/>
          <w:tab w:val="clear" w:pos="4320"/>
          <w:tab w:val="clear" w:pos="9072"/>
          <w:tab w:val="left" w:pos="2100"/>
          <w:tab w:val="right" w:pos="8260"/>
        </w:tabs>
        <w:jc w:val="both"/>
        <w:rPr>
          <w:rFonts w:eastAsia="PMingLiU"/>
          <w:szCs w:val="28"/>
          <w:lang w:eastAsia="zh-TW"/>
        </w:rPr>
      </w:pPr>
      <w:r>
        <w:rPr>
          <w:rFonts w:eastAsia="PMingLiU" w:hint="eastAsia"/>
          <w:szCs w:val="28"/>
          <w:lang w:eastAsia="zh-TW"/>
        </w:rPr>
        <w:tab/>
      </w:r>
      <w:r>
        <w:rPr>
          <w:rFonts w:eastAsia="PMingLiU"/>
          <w:szCs w:val="28"/>
          <w:lang w:eastAsia="zh-TW"/>
        </w:rPr>
        <w:t>his mother and next friend</w:t>
      </w:r>
      <w:r>
        <w:rPr>
          <w:rFonts w:eastAsia="PMingLiU" w:hint="eastAsia"/>
          <w:szCs w:val="28"/>
          <w:lang w:eastAsia="zh-TW"/>
        </w:rPr>
        <w:tab/>
      </w:r>
      <w:r>
        <w:rPr>
          <w:rFonts w:eastAsia="PMingLiU"/>
          <w:szCs w:val="28"/>
          <w:lang w:eastAsia="zh-TW"/>
        </w:rPr>
        <w:t>Plaintiff</w:t>
      </w:r>
    </w:p>
    <w:p w:rsidR="00F80408" w:rsidRDefault="00F80408">
      <w:pPr>
        <w:jc w:val="both"/>
        <w:rPr>
          <w:szCs w:val="28"/>
        </w:rPr>
      </w:pPr>
    </w:p>
    <w:p w:rsidR="00F80408" w:rsidRDefault="00F80408">
      <w:pPr>
        <w:jc w:val="center"/>
        <w:rPr>
          <w:szCs w:val="28"/>
        </w:rPr>
      </w:pPr>
      <w:r>
        <w:rPr>
          <w:szCs w:val="28"/>
        </w:rPr>
        <w:t>and</w:t>
      </w:r>
    </w:p>
    <w:p w:rsidR="00F80408" w:rsidRDefault="00F80408">
      <w:pPr>
        <w:jc w:val="both"/>
        <w:rPr>
          <w:szCs w:val="28"/>
        </w:rPr>
      </w:pPr>
    </w:p>
    <w:p w:rsidR="00F80408" w:rsidRDefault="00F80408">
      <w:pPr>
        <w:tabs>
          <w:tab w:val="clear" w:pos="1440"/>
          <w:tab w:val="clear" w:pos="4320"/>
          <w:tab w:val="clear" w:pos="9072"/>
          <w:tab w:val="left" w:pos="2100"/>
          <w:tab w:val="right" w:pos="8260"/>
        </w:tabs>
        <w:jc w:val="both"/>
        <w:rPr>
          <w:rFonts w:eastAsia="PMingLiU"/>
          <w:szCs w:val="28"/>
          <w:lang w:eastAsia="zh-TW"/>
        </w:rPr>
      </w:pPr>
      <w:r>
        <w:rPr>
          <w:rFonts w:eastAsia="PMingLiU" w:hint="eastAsia"/>
          <w:szCs w:val="28"/>
          <w:lang w:eastAsia="zh-TW"/>
        </w:rPr>
        <w:tab/>
      </w:r>
      <w:r>
        <w:rPr>
          <w:rFonts w:eastAsia="PMingLiU"/>
          <w:szCs w:val="28"/>
          <w:lang w:eastAsia="zh-TW"/>
        </w:rPr>
        <w:t>LAU WAI CHUN AKI</w:t>
      </w:r>
      <w:r>
        <w:rPr>
          <w:rFonts w:eastAsia="PMingLiU" w:hint="eastAsia"/>
          <w:szCs w:val="28"/>
          <w:lang w:eastAsia="zh-TW"/>
        </w:rPr>
        <w:tab/>
      </w:r>
      <w:r>
        <w:rPr>
          <w:rFonts w:eastAsia="PMingLiU"/>
          <w:szCs w:val="28"/>
          <w:lang w:eastAsia="zh-TW"/>
        </w:rPr>
        <w:t>1</w:t>
      </w:r>
      <w:r>
        <w:rPr>
          <w:rFonts w:eastAsia="PMingLiU" w:hint="eastAsia"/>
          <w:szCs w:val="28"/>
          <w:vertAlign w:val="superscript"/>
          <w:lang w:eastAsia="zh-TW"/>
        </w:rPr>
        <w:t>st</w:t>
      </w:r>
      <w:r>
        <w:rPr>
          <w:rFonts w:eastAsia="PMingLiU" w:hint="eastAsia"/>
          <w:szCs w:val="28"/>
          <w:lang w:eastAsia="zh-TW"/>
        </w:rPr>
        <w:t xml:space="preserve"> </w:t>
      </w:r>
      <w:r>
        <w:rPr>
          <w:rFonts w:eastAsia="PMingLiU"/>
          <w:szCs w:val="28"/>
          <w:lang w:eastAsia="zh-TW"/>
        </w:rPr>
        <w:t>Defendant</w:t>
      </w:r>
    </w:p>
    <w:p w:rsidR="00F80408" w:rsidRDefault="00F80408">
      <w:pPr>
        <w:jc w:val="both"/>
        <w:rPr>
          <w:szCs w:val="28"/>
        </w:rPr>
      </w:pPr>
    </w:p>
    <w:p w:rsidR="00F80408" w:rsidRDefault="00F80408">
      <w:pPr>
        <w:tabs>
          <w:tab w:val="clear" w:pos="1440"/>
          <w:tab w:val="clear" w:pos="4320"/>
          <w:tab w:val="clear" w:pos="9072"/>
          <w:tab w:val="left" w:pos="2100"/>
          <w:tab w:val="right" w:pos="8260"/>
        </w:tabs>
        <w:jc w:val="both"/>
        <w:rPr>
          <w:szCs w:val="28"/>
        </w:rPr>
      </w:pPr>
      <w:r>
        <w:rPr>
          <w:rFonts w:eastAsia="PMingLiU" w:hint="eastAsia"/>
          <w:szCs w:val="28"/>
          <w:lang w:eastAsia="zh-TW"/>
        </w:rPr>
        <w:tab/>
      </w:r>
      <w:r>
        <w:rPr>
          <w:szCs w:val="28"/>
        </w:rPr>
        <w:t>LAU KA MAN CARMEN trading as</w:t>
      </w:r>
    </w:p>
    <w:p w:rsidR="00F80408" w:rsidRDefault="00F80408">
      <w:pPr>
        <w:tabs>
          <w:tab w:val="clear" w:pos="1440"/>
          <w:tab w:val="clear" w:pos="4320"/>
          <w:tab w:val="clear" w:pos="9072"/>
          <w:tab w:val="left" w:pos="2100"/>
          <w:tab w:val="right" w:pos="8260"/>
        </w:tabs>
        <w:jc w:val="both"/>
        <w:rPr>
          <w:rFonts w:eastAsia="PMingLiU" w:hint="eastAsia"/>
          <w:szCs w:val="28"/>
          <w:lang w:eastAsia="zh-TW"/>
        </w:rPr>
      </w:pPr>
      <w:r>
        <w:rPr>
          <w:rFonts w:eastAsia="PMingLiU" w:hint="eastAsia"/>
          <w:szCs w:val="28"/>
          <w:lang w:eastAsia="zh-TW"/>
        </w:rPr>
        <w:tab/>
      </w:r>
      <w:r>
        <w:rPr>
          <w:szCs w:val="28"/>
        </w:rPr>
        <w:t xml:space="preserve">Prince William Education Centre </w:t>
      </w:r>
      <w:r>
        <w:rPr>
          <w:szCs w:val="28"/>
        </w:rPr>
        <w:tab/>
        <w:t xml:space="preserve">   2</w:t>
      </w:r>
      <w:r>
        <w:rPr>
          <w:szCs w:val="28"/>
          <w:vertAlign w:val="superscript"/>
        </w:rPr>
        <w:t>nd</w:t>
      </w:r>
      <w:r>
        <w:rPr>
          <w:szCs w:val="28"/>
        </w:rPr>
        <w:t xml:space="preserve"> Defendant</w:t>
      </w:r>
    </w:p>
    <w:p w:rsidR="00F80408" w:rsidRDefault="00F80408">
      <w:pPr>
        <w:tabs>
          <w:tab w:val="clear" w:pos="1440"/>
          <w:tab w:val="clear" w:pos="4320"/>
          <w:tab w:val="clear" w:pos="9072"/>
          <w:tab w:val="left" w:pos="2100"/>
          <w:tab w:val="right" w:pos="8260"/>
        </w:tabs>
        <w:jc w:val="both"/>
        <w:rPr>
          <w:rFonts w:eastAsia="PMingLiU" w:hint="eastAsia"/>
          <w:szCs w:val="28"/>
          <w:lang w:eastAsia="zh-TW"/>
        </w:rPr>
      </w:pPr>
    </w:p>
    <w:p w:rsidR="00F80408" w:rsidRDefault="00F80408">
      <w:pPr>
        <w:jc w:val="center"/>
        <w:rPr>
          <w:szCs w:val="28"/>
        </w:rPr>
      </w:pPr>
      <w:r>
        <w:rPr>
          <w:szCs w:val="28"/>
        </w:rPr>
        <w:t>__________</w:t>
      </w:r>
    </w:p>
    <w:p w:rsidR="00F80408" w:rsidRDefault="00F80408">
      <w:pPr>
        <w:jc w:val="center"/>
        <w:rPr>
          <w:szCs w:val="28"/>
        </w:rPr>
      </w:pPr>
    </w:p>
    <w:p w:rsidR="00F80408" w:rsidRDefault="00F80408">
      <w:pPr>
        <w:jc w:val="both"/>
        <w:rPr>
          <w:szCs w:val="28"/>
        </w:rPr>
      </w:pPr>
    </w:p>
    <w:p w:rsidR="00F80408" w:rsidRDefault="00F80408">
      <w:pPr>
        <w:jc w:val="both"/>
        <w:rPr>
          <w:szCs w:val="28"/>
        </w:rPr>
      </w:pPr>
    </w:p>
    <w:p w:rsidR="00F80408" w:rsidRDefault="00F80408">
      <w:pPr>
        <w:spacing w:line="360" w:lineRule="auto"/>
        <w:jc w:val="both"/>
        <w:rPr>
          <w:szCs w:val="28"/>
        </w:rPr>
      </w:pPr>
      <w:r>
        <w:rPr>
          <w:szCs w:val="28"/>
        </w:rPr>
        <w:t>Coram: Deputy District Judge Ronald Tang in Chambers</w:t>
      </w:r>
    </w:p>
    <w:p w:rsidR="00F80408" w:rsidRDefault="00F80408">
      <w:pPr>
        <w:spacing w:line="360" w:lineRule="auto"/>
        <w:jc w:val="both"/>
        <w:rPr>
          <w:szCs w:val="28"/>
        </w:rPr>
      </w:pPr>
      <w:r>
        <w:rPr>
          <w:szCs w:val="28"/>
        </w:rPr>
        <w:t>Date of Hearing: 29</w:t>
      </w:r>
      <w:r>
        <w:rPr>
          <w:szCs w:val="28"/>
          <w:vertAlign w:val="superscript"/>
        </w:rPr>
        <w:t>th</w:t>
      </w:r>
      <w:r>
        <w:rPr>
          <w:szCs w:val="28"/>
        </w:rPr>
        <w:t xml:space="preserve"> May 2008</w:t>
      </w:r>
    </w:p>
    <w:p w:rsidR="00F80408" w:rsidRDefault="00F80408">
      <w:pPr>
        <w:spacing w:line="360" w:lineRule="auto"/>
        <w:jc w:val="both"/>
        <w:rPr>
          <w:szCs w:val="28"/>
        </w:rPr>
      </w:pPr>
      <w:r>
        <w:rPr>
          <w:szCs w:val="28"/>
        </w:rPr>
        <w:t>Date of Handing Down Judgment: 3</w:t>
      </w:r>
      <w:r>
        <w:rPr>
          <w:szCs w:val="28"/>
          <w:vertAlign w:val="superscript"/>
        </w:rPr>
        <w:t>rd</w:t>
      </w:r>
      <w:r>
        <w:rPr>
          <w:szCs w:val="28"/>
        </w:rPr>
        <w:t xml:space="preserve"> June 2008</w:t>
      </w:r>
    </w:p>
    <w:p w:rsidR="00F80408" w:rsidRDefault="00F80408">
      <w:pPr>
        <w:jc w:val="both"/>
        <w:rPr>
          <w:szCs w:val="28"/>
        </w:rPr>
      </w:pPr>
    </w:p>
    <w:p w:rsidR="00F80408" w:rsidRDefault="00F80408">
      <w:pPr>
        <w:jc w:val="both"/>
        <w:rPr>
          <w:szCs w:val="28"/>
        </w:rPr>
      </w:pPr>
    </w:p>
    <w:p w:rsidR="00F80408" w:rsidRDefault="00F80408">
      <w:pPr>
        <w:pStyle w:val="Heading3"/>
        <w:rPr>
          <w:sz w:val="28"/>
          <w:szCs w:val="28"/>
          <w:u w:val="single"/>
        </w:rPr>
      </w:pPr>
      <w:r>
        <w:rPr>
          <w:sz w:val="28"/>
          <w:szCs w:val="28"/>
          <w:u w:val="single"/>
        </w:rPr>
        <w:t>JUDGMENT</w:t>
      </w:r>
    </w:p>
    <w:p w:rsidR="00F80408" w:rsidRDefault="00F80408">
      <w:pPr>
        <w:jc w:val="both"/>
        <w:rPr>
          <w:szCs w:val="28"/>
        </w:rPr>
      </w:pPr>
    </w:p>
    <w:p w:rsidR="00F80408" w:rsidRDefault="00F80408">
      <w:pPr>
        <w:jc w:val="both"/>
        <w:rPr>
          <w:szCs w:val="28"/>
        </w:rPr>
      </w:pPr>
    </w:p>
    <w:p w:rsidR="00F80408" w:rsidRDefault="00F80408">
      <w:pPr>
        <w:pStyle w:val="Heading1"/>
        <w:spacing w:before="0" w:afterLines="100" w:after="240" w:line="360" w:lineRule="auto"/>
        <w:rPr>
          <w:rFonts w:ascii="Times New Roman" w:hAnsi="Times New Roman"/>
          <w:szCs w:val="28"/>
        </w:rPr>
      </w:pPr>
      <w:r>
        <w:rPr>
          <w:rFonts w:ascii="Times New Roman" w:hAnsi="Times New Roman"/>
          <w:szCs w:val="28"/>
        </w:rPr>
        <w:t>Introduction</w:t>
      </w:r>
    </w:p>
    <w:p w:rsidR="00F80408" w:rsidRDefault="00F80408">
      <w:pPr>
        <w:numPr>
          <w:ilvl w:val="0"/>
          <w:numId w:val="11"/>
        </w:numPr>
        <w:tabs>
          <w:tab w:val="clear" w:pos="480"/>
          <w:tab w:val="clear" w:pos="1440"/>
          <w:tab w:val="num" w:pos="840"/>
        </w:tabs>
        <w:spacing w:afterLines="200" w:after="480" w:line="360" w:lineRule="auto"/>
        <w:ind w:left="840" w:hanging="840"/>
        <w:jc w:val="both"/>
        <w:rPr>
          <w:szCs w:val="28"/>
        </w:rPr>
      </w:pPr>
      <w:r>
        <w:rPr>
          <w:szCs w:val="28"/>
        </w:rPr>
        <w:t>This is an application by the 1</w:t>
      </w:r>
      <w:r>
        <w:rPr>
          <w:szCs w:val="28"/>
          <w:vertAlign w:val="superscript"/>
        </w:rPr>
        <w:t>st</w:t>
      </w:r>
      <w:r>
        <w:rPr>
          <w:szCs w:val="28"/>
        </w:rPr>
        <w:t xml:space="preserve"> Defendant to set aside a default judgment entered against her on 6</w:t>
      </w:r>
      <w:r>
        <w:rPr>
          <w:szCs w:val="28"/>
          <w:vertAlign w:val="superscript"/>
        </w:rPr>
        <w:t>th</w:t>
      </w:r>
      <w:r>
        <w:rPr>
          <w:szCs w:val="28"/>
        </w:rPr>
        <w:t xml:space="preserve"> September 2007.</w:t>
      </w:r>
    </w:p>
    <w:p w:rsidR="00F80408" w:rsidRDefault="00F80408">
      <w:pPr>
        <w:pStyle w:val="Heading1"/>
        <w:spacing w:before="0" w:afterLines="100" w:after="240" w:line="360" w:lineRule="auto"/>
        <w:rPr>
          <w:rFonts w:ascii="Times New Roman" w:hAnsi="Times New Roman"/>
          <w:szCs w:val="28"/>
        </w:rPr>
      </w:pPr>
      <w:r>
        <w:rPr>
          <w:rFonts w:ascii="Times New Roman" w:hAnsi="Times New Roman"/>
          <w:szCs w:val="28"/>
        </w:rPr>
        <w:lastRenderedPageBreak/>
        <w:t>Background</w:t>
      </w:r>
    </w:p>
    <w:p w:rsidR="00F80408" w:rsidRDefault="00F80408">
      <w:pPr>
        <w:numPr>
          <w:ilvl w:val="0"/>
          <w:numId w:val="11"/>
        </w:numPr>
        <w:tabs>
          <w:tab w:val="clear" w:pos="480"/>
          <w:tab w:val="clear" w:pos="1440"/>
          <w:tab w:val="num" w:pos="840"/>
        </w:tabs>
        <w:spacing w:afterLines="200" w:after="480" w:line="360" w:lineRule="auto"/>
        <w:ind w:left="840" w:hanging="840"/>
        <w:jc w:val="both"/>
        <w:rPr>
          <w:szCs w:val="28"/>
        </w:rPr>
      </w:pPr>
      <w:r>
        <w:rPr>
          <w:szCs w:val="28"/>
        </w:rPr>
        <w:t>This action is a personal injuries action which arose out of a traffic accident on 26</w:t>
      </w:r>
      <w:r>
        <w:rPr>
          <w:szCs w:val="28"/>
          <w:vertAlign w:val="superscript"/>
        </w:rPr>
        <w:t>th</w:t>
      </w:r>
      <w:r>
        <w:rPr>
          <w:szCs w:val="28"/>
        </w:rPr>
        <w:t xml:space="preserve"> August 2006.  At the time of the accident, the Plaintiff was an 8-year-old student who took Putonghua lessons at a tuition centre of which the 2</w:t>
      </w:r>
      <w:r>
        <w:rPr>
          <w:szCs w:val="28"/>
          <w:vertAlign w:val="superscript"/>
        </w:rPr>
        <w:t>nd</w:t>
      </w:r>
      <w:r>
        <w:rPr>
          <w:szCs w:val="28"/>
        </w:rPr>
        <w:t xml:space="preserve"> Defendant was the sole proprietor.  </w:t>
      </w:r>
    </w:p>
    <w:p w:rsidR="00F80408" w:rsidRDefault="00F80408">
      <w:pPr>
        <w:numPr>
          <w:ilvl w:val="0"/>
          <w:numId w:val="11"/>
        </w:numPr>
        <w:tabs>
          <w:tab w:val="clear" w:pos="480"/>
          <w:tab w:val="clear" w:pos="1440"/>
          <w:tab w:val="num" w:pos="840"/>
        </w:tabs>
        <w:spacing w:afterLines="200" w:after="480" w:line="360" w:lineRule="auto"/>
        <w:ind w:left="840" w:hanging="840"/>
        <w:jc w:val="both"/>
        <w:rPr>
          <w:szCs w:val="28"/>
        </w:rPr>
      </w:pPr>
      <w:r>
        <w:rPr>
          <w:szCs w:val="28"/>
        </w:rPr>
        <w:t>The Plaintiff’s case was that it was the 2</w:t>
      </w:r>
      <w:r>
        <w:rPr>
          <w:szCs w:val="28"/>
          <w:vertAlign w:val="superscript"/>
        </w:rPr>
        <w:t>nd</w:t>
      </w:r>
      <w:r>
        <w:rPr>
          <w:szCs w:val="28"/>
        </w:rPr>
        <w:t xml:space="preserve"> Defendant’s duty to take the Plaintiff home after the lessons.  On the afternoon of 26</w:t>
      </w:r>
      <w:r>
        <w:rPr>
          <w:szCs w:val="28"/>
          <w:vertAlign w:val="superscript"/>
        </w:rPr>
        <w:t>th</w:t>
      </w:r>
      <w:r>
        <w:rPr>
          <w:szCs w:val="28"/>
        </w:rPr>
        <w:t xml:space="preserve"> August 2006, the Plaintiff was taken home by the 1</w:t>
      </w:r>
      <w:r>
        <w:rPr>
          <w:szCs w:val="28"/>
          <w:vertAlign w:val="superscript"/>
        </w:rPr>
        <w:t>st</w:t>
      </w:r>
      <w:r>
        <w:rPr>
          <w:szCs w:val="28"/>
        </w:rPr>
        <w:t xml:space="preserve"> Defendant, who was the sister and employee of the 2</w:t>
      </w:r>
      <w:r>
        <w:rPr>
          <w:szCs w:val="28"/>
          <w:vertAlign w:val="superscript"/>
        </w:rPr>
        <w:t>nd</w:t>
      </w:r>
      <w:r>
        <w:rPr>
          <w:szCs w:val="28"/>
        </w:rPr>
        <w:t xml:space="preserve"> Defendant.  After alighting from a taxi, however, the 1</w:t>
      </w:r>
      <w:r>
        <w:rPr>
          <w:szCs w:val="28"/>
          <w:vertAlign w:val="superscript"/>
        </w:rPr>
        <w:t>st</w:t>
      </w:r>
      <w:r>
        <w:rPr>
          <w:szCs w:val="28"/>
        </w:rPr>
        <w:t xml:space="preserve"> Defendant left the Plaintiff unaccompanied and unsupervised, in consequence of which he was struck and injured by a goods vehicle when he crossed the road by himself.    </w:t>
      </w:r>
    </w:p>
    <w:p w:rsidR="00F80408" w:rsidRDefault="00F80408">
      <w:pPr>
        <w:numPr>
          <w:ilvl w:val="0"/>
          <w:numId w:val="11"/>
        </w:numPr>
        <w:tabs>
          <w:tab w:val="clear" w:pos="480"/>
          <w:tab w:val="clear" w:pos="1440"/>
          <w:tab w:val="num" w:pos="840"/>
        </w:tabs>
        <w:spacing w:afterLines="200" w:after="480" w:line="360" w:lineRule="auto"/>
        <w:ind w:left="840" w:hanging="840"/>
        <w:jc w:val="both"/>
        <w:rPr>
          <w:szCs w:val="28"/>
        </w:rPr>
      </w:pPr>
      <w:r>
        <w:rPr>
          <w:szCs w:val="28"/>
        </w:rPr>
        <w:t>The writ in this action was issued on 20</w:t>
      </w:r>
      <w:r>
        <w:rPr>
          <w:szCs w:val="28"/>
          <w:vertAlign w:val="superscript"/>
        </w:rPr>
        <w:t>th</w:t>
      </w:r>
      <w:r>
        <w:rPr>
          <w:szCs w:val="28"/>
        </w:rPr>
        <w:t xml:space="preserve"> December 2006, which however was not served on the Defendants until 14</w:t>
      </w:r>
      <w:r>
        <w:rPr>
          <w:szCs w:val="28"/>
          <w:vertAlign w:val="superscript"/>
        </w:rPr>
        <w:t>th</w:t>
      </w:r>
      <w:r>
        <w:rPr>
          <w:szCs w:val="28"/>
        </w:rPr>
        <w:t xml:space="preserve"> June 2007.  The 1</w:t>
      </w:r>
      <w:r>
        <w:rPr>
          <w:szCs w:val="28"/>
          <w:vertAlign w:val="superscript"/>
        </w:rPr>
        <w:t>st</w:t>
      </w:r>
      <w:r>
        <w:rPr>
          <w:szCs w:val="28"/>
        </w:rPr>
        <w:t xml:space="preserve"> Defendant applied for legal aid on 21</w:t>
      </w:r>
      <w:r>
        <w:rPr>
          <w:szCs w:val="28"/>
          <w:vertAlign w:val="superscript"/>
        </w:rPr>
        <w:t>st</w:t>
      </w:r>
      <w:r>
        <w:rPr>
          <w:szCs w:val="28"/>
        </w:rPr>
        <w:t xml:space="preserve"> June 2007 to defend the action.  </w:t>
      </w:r>
    </w:p>
    <w:p w:rsidR="00F80408" w:rsidRDefault="00F80408">
      <w:pPr>
        <w:numPr>
          <w:ilvl w:val="0"/>
          <w:numId w:val="11"/>
        </w:numPr>
        <w:tabs>
          <w:tab w:val="clear" w:pos="480"/>
          <w:tab w:val="clear" w:pos="1440"/>
          <w:tab w:val="num" w:pos="840"/>
        </w:tabs>
        <w:spacing w:afterLines="200" w:after="480" w:line="360" w:lineRule="auto"/>
        <w:ind w:left="840" w:hanging="840"/>
        <w:jc w:val="both"/>
        <w:rPr>
          <w:szCs w:val="28"/>
        </w:rPr>
      </w:pPr>
      <w:r>
        <w:rPr>
          <w:szCs w:val="28"/>
        </w:rPr>
        <w:t>The Director of Legal Aid (‘the Director’) however refused her application by a memorandum dated 29</w:t>
      </w:r>
      <w:r>
        <w:rPr>
          <w:szCs w:val="28"/>
          <w:vertAlign w:val="superscript"/>
        </w:rPr>
        <w:t>th</w:t>
      </w:r>
      <w:r>
        <w:rPr>
          <w:szCs w:val="28"/>
        </w:rPr>
        <w:t xml:space="preserve"> August 2007.   Subsequently, as the 1</w:t>
      </w:r>
      <w:r>
        <w:rPr>
          <w:szCs w:val="28"/>
          <w:vertAlign w:val="superscript"/>
        </w:rPr>
        <w:t>st</w:t>
      </w:r>
      <w:r>
        <w:rPr>
          <w:szCs w:val="28"/>
        </w:rPr>
        <w:t xml:space="preserve"> Defendant did not file an acknowledgment of service, interlocutory judgment in default of notice of intention to defend was entered against her on 6</w:t>
      </w:r>
      <w:r>
        <w:rPr>
          <w:szCs w:val="28"/>
          <w:vertAlign w:val="superscript"/>
        </w:rPr>
        <w:t>th</w:t>
      </w:r>
      <w:r>
        <w:rPr>
          <w:szCs w:val="28"/>
        </w:rPr>
        <w:t xml:space="preserve"> September 2007 (‘the default judgment’).</w:t>
      </w:r>
    </w:p>
    <w:p w:rsidR="00F80408" w:rsidRDefault="00F80408">
      <w:pPr>
        <w:numPr>
          <w:ilvl w:val="0"/>
          <w:numId w:val="11"/>
        </w:numPr>
        <w:tabs>
          <w:tab w:val="clear" w:pos="480"/>
          <w:tab w:val="clear" w:pos="1440"/>
          <w:tab w:val="num" w:pos="840"/>
        </w:tabs>
        <w:spacing w:afterLines="200" w:after="480" w:line="360" w:lineRule="auto"/>
        <w:ind w:left="840" w:hanging="840"/>
        <w:jc w:val="both"/>
        <w:rPr>
          <w:szCs w:val="28"/>
        </w:rPr>
      </w:pPr>
      <w:r>
        <w:rPr>
          <w:szCs w:val="28"/>
        </w:rPr>
        <w:lastRenderedPageBreak/>
        <w:t>On 11</w:t>
      </w:r>
      <w:r>
        <w:rPr>
          <w:szCs w:val="28"/>
          <w:vertAlign w:val="superscript"/>
        </w:rPr>
        <w:t>th</w:t>
      </w:r>
      <w:r>
        <w:rPr>
          <w:szCs w:val="28"/>
        </w:rPr>
        <w:t xml:space="preserve"> December 2007, the 1</w:t>
      </w:r>
      <w:r>
        <w:rPr>
          <w:szCs w:val="28"/>
          <w:vertAlign w:val="superscript"/>
        </w:rPr>
        <w:t>st</w:t>
      </w:r>
      <w:r>
        <w:rPr>
          <w:szCs w:val="28"/>
        </w:rPr>
        <w:t xml:space="preserve"> Defendant issued the present summons to apply to have the default judgment set aside.</w:t>
      </w:r>
    </w:p>
    <w:p w:rsidR="00F80408" w:rsidRDefault="00F80408">
      <w:pPr>
        <w:tabs>
          <w:tab w:val="clear" w:pos="1440"/>
          <w:tab w:val="num" w:pos="840"/>
        </w:tabs>
        <w:spacing w:afterLines="200" w:after="480" w:line="360" w:lineRule="auto"/>
        <w:ind w:left="840" w:hanging="840"/>
        <w:jc w:val="both"/>
        <w:rPr>
          <w:szCs w:val="28"/>
        </w:rPr>
      </w:pPr>
    </w:p>
    <w:p w:rsidR="00F80408" w:rsidRDefault="00F80408">
      <w:pPr>
        <w:pStyle w:val="Heading1"/>
        <w:tabs>
          <w:tab w:val="num" w:pos="840"/>
        </w:tabs>
        <w:spacing w:before="0" w:afterLines="100" w:after="240" w:line="360" w:lineRule="auto"/>
        <w:rPr>
          <w:rFonts w:ascii="Times New Roman" w:hAnsi="Times New Roman"/>
          <w:szCs w:val="28"/>
        </w:rPr>
      </w:pPr>
      <w:r>
        <w:rPr>
          <w:rFonts w:ascii="Times New Roman" w:hAnsi="Times New Roman"/>
          <w:szCs w:val="28"/>
        </w:rPr>
        <w:t>Regular Judgment</w:t>
      </w:r>
    </w:p>
    <w:p w:rsidR="00F80408" w:rsidRDefault="00F80408">
      <w:pPr>
        <w:numPr>
          <w:ilvl w:val="0"/>
          <w:numId w:val="11"/>
        </w:numPr>
        <w:tabs>
          <w:tab w:val="clear" w:pos="480"/>
          <w:tab w:val="clear" w:pos="1440"/>
          <w:tab w:val="num" w:pos="840"/>
        </w:tabs>
        <w:spacing w:afterLines="200" w:after="480" w:line="360" w:lineRule="auto"/>
        <w:ind w:left="840" w:hanging="840"/>
        <w:jc w:val="both"/>
        <w:rPr>
          <w:szCs w:val="28"/>
        </w:rPr>
      </w:pPr>
      <w:r>
        <w:rPr>
          <w:szCs w:val="28"/>
        </w:rPr>
        <w:t>It is clear on the evidence that the default judgment was a regular judgment.</w:t>
      </w:r>
    </w:p>
    <w:p w:rsidR="00F80408" w:rsidRDefault="00F80408">
      <w:pPr>
        <w:tabs>
          <w:tab w:val="clear" w:pos="1440"/>
          <w:tab w:val="num" w:pos="840"/>
        </w:tabs>
        <w:spacing w:afterLines="200" w:after="480" w:line="360" w:lineRule="auto"/>
        <w:ind w:left="840" w:hanging="840"/>
        <w:jc w:val="both"/>
        <w:rPr>
          <w:szCs w:val="28"/>
        </w:rPr>
      </w:pPr>
    </w:p>
    <w:p w:rsidR="00F80408" w:rsidRDefault="00F80408">
      <w:pPr>
        <w:pStyle w:val="Heading1"/>
        <w:tabs>
          <w:tab w:val="num" w:pos="840"/>
        </w:tabs>
        <w:spacing w:before="0" w:afterLines="100" w:after="240" w:line="360" w:lineRule="auto"/>
        <w:rPr>
          <w:rFonts w:ascii="Times New Roman" w:hAnsi="Times New Roman"/>
          <w:szCs w:val="28"/>
        </w:rPr>
      </w:pPr>
      <w:r>
        <w:rPr>
          <w:rFonts w:ascii="Times New Roman" w:hAnsi="Times New Roman"/>
          <w:szCs w:val="28"/>
        </w:rPr>
        <w:t>Meritorious Defence</w:t>
      </w:r>
    </w:p>
    <w:p w:rsidR="00F80408" w:rsidRDefault="00F80408">
      <w:pPr>
        <w:numPr>
          <w:ilvl w:val="0"/>
          <w:numId w:val="11"/>
        </w:numPr>
        <w:tabs>
          <w:tab w:val="clear" w:pos="480"/>
          <w:tab w:val="clear" w:pos="1440"/>
          <w:tab w:val="num" w:pos="840"/>
        </w:tabs>
        <w:spacing w:afterLines="200" w:after="480" w:line="360" w:lineRule="auto"/>
        <w:ind w:left="840" w:hanging="840"/>
        <w:jc w:val="both"/>
        <w:rPr>
          <w:szCs w:val="28"/>
        </w:rPr>
      </w:pPr>
      <w:r>
        <w:rPr>
          <w:szCs w:val="28"/>
        </w:rPr>
        <w:t>Since the default judgment was a regular judgment, it is incumbent upon the 1</w:t>
      </w:r>
      <w:r>
        <w:rPr>
          <w:szCs w:val="28"/>
          <w:vertAlign w:val="superscript"/>
        </w:rPr>
        <w:t>st</w:t>
      </w:r>
      <w:r>
        <w:rPr>
          <w:szCs w:val="28"/>
        </w:rPr>
        <w:t xml:space="preserve"> Defendant to give a satisfactory explanation as to why she has allowed judgment to go by default and to show that she has a defence to the Plaintiff’s claim with a real prospect of success.</w:t>
      </w:r>
    </w:p>
    <w:p w:rsidR="00F80408" w:rsidRDefault="00F80408">
      <w:pPr>
        <w:numPr>
          <w:ilvl w:val="0"/>
          <w:numId w:val="11"/>
        </w:numPr>
        <w:tabs>
          <w:tab w:val="clear" w:pos="480"/>
          <w:tab w:val="clear" w:pos="1440"/>
          <w:tab w:val="num" w:pos="840"/>
        </w:tabs>
        <w:spacing w:afterLines="200" w:after="480" w:line="360" w:lineRule="auto"/>
        <w:ind w:left="840" w:hanging="840"/>
        <w:jc w:val="both"/>
        <w:rPr>
          <w:szCs w:val="28"/>
        </w:rPr>
      </w:pPr>
      <w:r>
        <w:rPr>
          <w:szCs w:val="28"/>
        </w:rPr>
        <w:t>By her affirmation filed on 11</w:t>
      </w:r>
      <w:r>
        <w:rPr>
          <w:szCs w:val="28"/>
          <w:vertAlign w:val="superscript"/>
        </w:rPr>
        <w:t>th</w:t>
      </w:r>
      <w:r>
        <w:rPr>
          <w:szCs w:val="28"/>
        </w:rPr>
        <w:t xml:space="preserve"> December 2007, the 1</w:t>
      </w:r>
      <w:r>
        <w:rPr>
          <w:szCs w:val="28"/>
          <w:vertAlign w:val="superscript"/>
        </w:rPr>
        <w:t>st</w:t>
      </w:r>
      <w:r>
        <w:rPr>
          <w:szCs w:val="28"/>
        </w:rPr>
        <w:t xml:space="preserve"> Defendant explained that she had in fact prepared a document setting out her defence to the Plaintiff’s claim (‘Grounds of Defence’), which she had forwarded to the Director in support of her application for legal aid.  A copy of the Grounds of Defence dated 22</w:t>
      </w:r>
      <w:r>
        <w:rPr>
          <w:szCs w:val="28"/>
          <w:vertAlign w:val="superscript"/>
        </w:rPr>
        <w:t>nd</w:t>
      </w:r>
      <w:r>
        <w:rPr>
          <w:szCs w:val="28"/>
        </w:rPr>
        <w:t xml:space="preserve"> August 2007 has been exhibited to her affirmation.</w:t>
      </w:r>
    </w:p>
    <w:p w:rsidR="00F80408" w:rsidRDefault="00F80408">
      <w:pPr>
        <w:tabs>
          <w:tab w:val="clear" w:pos="1440"/>
          <w:tab w:val="num" w:pos="840"/>
        </w:tabs>
        <w:spacing w:afterLines="200" w:after="480" w:line="360" w:lineRule="auto"/>
        <w:ind w:left="840" w:hanging="840"/>
        <w:jc w:val="both"/>
        <w:rPr>
          <w:szCs w:val="28"/>
        </w:rPr>
      </w:pPr>
    </w:p>
    <w:p w:rsidR="00F80408" w:rsidRDefault="00F80408">
      <w:pPr>
        <w:numPr>
          <w:ilvl w:val="0"/>
          <w:numId w:val="11"/>
        </w:numPr>
        <w:tabs>
          <w:tab w:val="clear" w:pos="480"/>
          <w:tab w:val="clear" w:pos="1440"/>
          <w:tab w:val="num" w:pos="840"/>
        </w:tabs>
        <w:spacing w:afterLines="200" w:after="480" w:line="360" w:lineRule="auto"/>
        <w:ind w:left="840" w:hanging="840"/>
        <w:jc w:val="both"/>
        <w:rPr>
          <w:szCs w:val="28"/>
        </w:rPr>
      </w:pPr>
      <w:r>
        <w:rPr>
          <w:szCs w:val="28"/>
        </w:rPr>
        <w:t>She further explained that it was her understanding that the Director would file her Grounds of Defence into the Court on her behalf.  And it was not until the middle of October 2007 that she realized that the Director had not done so, in consequence of which the default judgment was entered against her.</w:t>
      </w:r>
    </w:p>
    <w:p w:rsidR="00F80408" w:rsidRDefault="00F80408">
      <w:pPr>
        <w:numPr>
          <w:ilvl w:val="0"/>
          <w:numId w:val="11"/>
        </w:numPr>
        <w:tabs>
          <w:tab w:val="clear" w:pos="480"/>
          <w:tab w:val="clear" w:pos="1440"/>
          <w:tab w:val="num" w:pos="840"/>
        </w:tabs>
        <w:spacing w:afterLines="200" w:after="480" w:line="360" w:lineRule="auto"/>
        <w:ind w:left="840" w:hanging="840"/>
        <w:jc w:val="both"/>
        <w:rPr>
          <w:szCs w:val="28"/>
        </w:rPr>
      </w:pPr>
      <w:r>
        <w:rPr>
          <w:szCs w:val="28"/>
        </w:rPr>
        <w:t>Miss Monica Chow who appeared on behalf of the Plaintiff pointed out that there is evidence that the 1</w:t>
      </w:r>
      <w:r>
        <w:rPr>
          <w:szCs w:val="28"/>
          <w:vertAlign w:val="superscript"/>
        </w:rPr>
        <w:t>st</w:t>
      </w:r>
      <w:r>
        <w:rPr>
          <w:szCs w:val="28"/>
        </w:rPr>
        <w:t xml:space="preserve"> Defendant had access to legal advice and assistance from the 2</w:t>
      </w:r>
      <w:r>
        <w:rPr>
          <w:szCs w:val="28"/>
          <w:vertAlign w:val="superscript"/>
        </w:rPr>
        <w:t>nd</w:t>
      </w:r>
      <w:r>
        <w:rPr>
          <w:szCs w:val="28"/>
        </w:rPr>
        <w:t xml:space="preserve"> Defendant’s lawyers shortly before she took out the present summons, ie on or about 10</w:t>
      </w:r>
      <w:r>
        <w:rPr>
          <w:szCs w:val="28"/>
          <w:vertAlign w:val="superscript"/>
        </w:rPr>
        <w:t>th</w:t>
      </w:r>
      <w:r>
        <w:rPr>
          <w:szCs w:val="28"/>
        </w:rPr>
        <w:t xml:space="preserve"> December 2007.  I agree.</w:t>
      </w:r>
    </w:p>
    <w:p w:rsidR="00F80408" w:rsidRDefault="00F80408">
      <w:pPr>
        <w:numPr>
          <w:ilvl w:val="0"/>
          <w:numId w:val="11"/>
        </w:numPr>
        <w:tabs>
          <w:tab w:val="clear" w:pos="480"/>
          <w:tab w:val="clear" w:pos="1440"/>
          <w:tab w:val="num" w:pos="840"/>
        </w:tabs>
        <w:spacing w:afterLines="200" w:after="480" w:line="360" w:lineRule="auto"/>
        <w:ind w:left="840" w:hanging="840"/>
        <w:jc w:val="both"/>
        <w:rPr>
          <w:szCs w:val="28"/>
        </w:rPr>
      </w:pPr>
      <w:r>
        <w:rPr>
          <w:szCs w:val="28"/>
        </w:rPr>
        <w:t xml:space="preserve">However, the relevant time is August and September 2007 and there is no evidence that she then had the benefit of legal advice and assistance. </w:t>
      </w:r>
    </w:p>
    <w:p w:rsidR="00F80408" w:rsidRDefault="00F80408">
      <w:pPr>
        <w:numPr>
          <w:ilvl w:val="0"/>
          <w:numId w:val="11"/>
        </w:numPr>
        <w:tabs>
          <w:tab w:val="clear" w:pos="480"/>
          <w:tab w:val="clear" w:pos="1440"/>
          <w:tab w:val="num" w:pos="840"/>
        </w:tabs>
        <w:spacing w:afterLines="200" w:after="480" w:line="360" w:lineRule="auto"/>
        <w:ind w:left="840" w:hanging="840"/>
        <w:jc w:val="both"/>
        <w:rPr>
          <w:szCs w:val="28"/>
        </w:rPr>
      </w:pPr>
      <w:r>
        <w:rPr>
          <w:szCs w:val="28"/>
        </w:rPr>
        <w:t>The 1</w:t>
      </w:r>
      <w:r>
        <w:rPr>
          <w:szCs w:val="28"/>
          <w:vertAlign w:val="superscript"/>
        </w:rPr>
        <w:t>st</w:t>
      </w:r>
      <w:r>
        <w:rPr>
          <w:szCs w:val="28"/>
        </w:rPr>
        <w:t xml:space="preserve"> Defendant was then not legally represented.  She was not familiar with court procedure.  She did prepare the Grounds of Defence setting out her defence to the Plaintiff’s claim.  I accept her explanation that she made a genuine mistake in thinking that the Director would file her Grounds of Defence into Court on her behalf. </w:t>
      </w:r>
    </w:p>
    <w:p w:rsidR="00F80408" w:rsidRDefault="00F80408">
      <w:pPr>
        <w:numPr>
          <w:ilvl w:val="0"/>
          <w:numId w:val="11"/>
        </w:numPr>
        <w:tabs>
          <w:tab w:val="clear" w:pos="480"/>
          <w:tab w:val="clear" w:pos="1440"/>
          <w:tab w:val="num" w:pos="840"/>
        </w:tabs>
        <w:spacing w:afterLines="200" w:after="480" w:line="360" w:lineRule="auto"/>
        <w:ind w:left="840" w:hanging="840"/>
        <w:jc w:val="both"/>
        <w:rPr>
          <w:szCs w:val="28"/>
        </w:rPr>
      </w:pPr>
      <w:r>
        <w:rPr>
          <w:szCs w:val="28"/>
        </w:rPr>
        <w:t>It should also be pointed out that it was almost 2 months from the time the 1</w:t>
      </w:r>
      <w:r>
        <w:rPr>
          <w:szCs w:val="28"/>
          <w:vertAlign w:val="superscript"/>
        </w:rPr>
        <w:t>st</w:t>
      </w:r>
      <w:r>
        <w:rPr>
          <w:szCs w:val="28"/>
        </w:rPr>
        <w:t xml:space="preserve"> Defendant became aware of the default judgment to the time she took out this application.  I accept however that she was not familiar with court procedure until she had the benefit of legal advice from the 2</w:t>
      </w:r>
      <w:r>
        <w:rPr>
          <w:szCs w:val="28"/>
          <w:vertAlign w:val="superscript"/>
        </w:rPr>
        <w:t>nd</w:t>
      </w:r>
      <w:r>
        <w:rPr>
          <w:szCs w:val="28"/>
        </w:rPr>
        <w:t xml:space="preserve"> Defendant’s lawyers, whereupon she immediately took out this application.   I am also satisfied that no injustice has been occasioned to the Plaintiff in the conduct of this action by such delay.   </w:t>
      </w:r>
    </w:p>
    <w:p w:rsidR="00F80408" w:rsidRDefault="00F80408">
      <w:pPr>
        <w:numPr>
          <w:ilvl w:val="0"/>
          <w:numId w:val="11"/>
        </w:numPr>
        <w:tabs>
          <w:tab w:val="clear" w:pos="480"/>
          <w:tab w:val="clear" w:pos="1440"/>
          <w:tab w:val="num" w:pos="840"/>
        </w:tabs>
        <w:spacing w:afterLines="200" w:after="480" w:line="360" w:lineRule="auto"/>
        <w:ind w:left="840" w:hanging="840"/>
        <w:jc w:val="both"/>
        <w:rPr>
          <w:szCs w:val="28"/>
        </w:rPr>
      </w:pPr>
      <w:r>
        <w:rPr>
          <w:szCs w:val="28"/>
        </w:rPr>
        <w:t>In the Grounds of Defence, the 1</w:t>
      </w:r>
      <w:r>
        <w:rPr>
          <w:szCs w:val="28"/>
          <w:vertAlign w:val="superscript"/>
        </w:rPr>
        <w:t>st</w:t>
      </w:r>
      <w:r>
        <w:rPr>
          <w:szCs w:val="28"/>
        </w:rPr>
        <w:t xml:space="preserve"> Defendant stated her version of how the accident came to happen.  After she alighted from the taxi, she was holding a $10 coin in her right hand, and she was holding the right arm of the Plaintiff with her left hand.   Then the $10 coin fell from her right hand, whereupon she squatted to pick it up, and she temporarily let go of the Plaintiff’s right arm.  At this juncture, the Plaintiff suddenly ran out into the road and was struck by a goods vehicle.   She denied that she was negligent in failing to lo</w:t>
      </w:r>
      <w:r>
        <w:rPr>
          <w:szCs w:val="28"/>
        </w:rPr>
        <w:t>ok after the Plaintiff properly.</w:t>
      </w:r>
    </w:p>
    <w:p w:rsidR="00F80408" w:rsidRDefault="00F80408">
      <w:pPr>
        <w:numPr>
          <w:ilvl w:val="0"/>
          <w:numId w:val="11"/>
        </w:numPr>
        <w:tabs>
          <w:tab w:val="clear" w:pos="480"/>
          <w:tab w:val="clear" w:pos="1440"/>
          <w:tab w:val="num" w:pos="840"/>
        </w:tabs>
        <w:spacing w:afterLines="200" w:after="480" w:line="360" w:lineRule="auto"/>
        <w:ind w:left="840" w:hanging="840"/>
        <w:jc w:val="both"/>
        <w:rPr>
          <w:szCs w:val="28"/>
        </w:rPr>
      </w:pPr>
      <w:r>
        <w:rPr>
          <w:szCs w:val="28"/>
        </w:rPr>
        <w:t>Insofar as liability is concerned, the ultimate outcome in this case would depend on whose evidence is believed.  I am satisfied that on the matters set out in the Grounds of Defence, the 1</w:t>
      </w:r>
      <w:r>
        <w:rPr>
          <w:szCs w:val="28"/>
          <w:vertAlign w:val="superscript"/>
        </w:rPr>
        <w:t>st</w:t>
      </w:r>
      <w:r>
        <w:rPr>
          <w:szCs w:val="28"/>
        </w:rPr>
        <w:t xml:space="preserve"> Defendant’s case is potentially credible, carries some degree of conviction, and could well be established at trial.   </w:t>
      </w:r>
    </w:p>
    <w:p w:rsidR="00F80408" w:rsidRDefault="00F80408">
      <w:pPr>
        <w:numPr>
          <w:ilvl w:val="0"/>
          <w:numId w:val="11"/>
        </w:numPr>
        <w:tabs>
          <w:tab w:val="clear" w:pos="480"/>
          <w:tab w:val="clear" w:pos="1440"/>
          <w:tab w:val="num" w:pos="840"/>
        </w:tabs>
        <w:spacing w:afterLines="200" w:after="480" w:line="360" w:lineRule="auto"/>
        <w:ind w:left="840" w:hanging="840"/>
        <w:jc w:val="both"/>
        <w:rPr>
          <w:szCs w:val="28"/>
        </w:rPr>
      </w:pPr>
      <w:r>
        <w:rPr>
          <w:szCs w:val="28"/>
        </w:rPr>
        <w:t xml:space="preserve">In the circumstances, I am satisfied that she has a meritorious defence to the Plaintiff’s claim, both as to whether she was negligent and as to whether the Plaintiff was contributorily negligent. </w:t>
      </w:r>
    </w:p>
    <w:p w:rsidR="00F80408" w:rsidRDefault="00F80408">
      <w:pPr>
        <w:numPr>
          <w:ilvl w:val="0"/>
          <w:numId w:val="11"/>
        </w:numPr>
        <w:tabs>
          <w:tab w:val="clear" w:pos="480"/>
          <w:tab w:val="clear" w:pos="1440"/>
          <w:tab w:val="num" w:pos="840"/>
        </w:tabs>
        <w:spacing w:afterLines="200" w:after="480" w:line="360" w:lineRule="auto"/>
        <w:ind w:left="840" w:hanging="840"/>
        <w:jc w:val="both"/>
        <w:rPr>
          <w:szCs w:val="28"/>
        </w:rPr>
      </w:pPr>
      <w:r>
        <w:rPr>
          <w:szCs w:val="28"/>
        </w:rPr>
        <w:t>Taking the foregoing matters into consideration, I exercise my discretion to set aside the default judgment and give leave to the 1</w:t>
      </w:r>
      <w:r>
        <w:rPr>
          <w:szCs w:val="28"/>
          <w:vertAlign w:val="superscript"/>
        </w:rPr>
        <w:t>st</w:t>
      </w:r>
      <w:r>
        <w:rPr>
          <w:szCs w:val="28"/>
        </w:rPr>
        <w:t xml:space="preserve"> Defendant to defend the action.   She is to file a Defence within 14 days from the date hereof.  The Plaintiff is to file a Reply, if so advised, within 14 days thereafter.</w:t>
      </w:r>
    </w:p>
    <w:p w:rsidR="00F80408" w:rsidRDefault="00F80408">
      <w:pPr>
        <w:tabs>
          <w:tab w:val="clear" w:pos="1440"/>
          <w:tab w:val="num" w:pos="840"/>
        </w:tabs>
        <w:spacing w:afterLines="200" w:after="480" w:line="360" w:lineRule="auto"/>
        <w:ind w:left="840" w:hanging="840"/>
        <w:jc w:val="both"/>
        <w:rPr>
          <w:szCs w:val="28"/>
        </w:rPr>
      </w:pPr>
    </w:p>
    <w:p w:rsidR="00F80408" w:rsidRDefault="00F80408">
      <w:pPr>
        <w:pStyle w:val="Heading1"/>
        <w:tabs>
          <w:tab w:val="num" w:pos="840"/>
        </w:tabs>
        <w:spacing w:before="0" w:afterLines="100" w:after="240" w:line="360" w:lineRule="auto"/>
        <w:rPr>
          <w:rFonts w:ascii="Times New Roman" w:hAnsi="Times New Roman"/>
          <w:szCs w:val="28"/>
        </w:rPr>
      </w:pPr>
      <w:r>
        <w:rPr>
          <w:rFonts w:ascii="Times New Roman" w:hAnsi="Times New Roman"/>
          <w:szCs w:val="28"/>
        </w:rPr>
        <w:t>Costs</w:t>
      </w:r>
    </w:p>
    <w:p w:rsidR="00F80408" w:rsidRDefault="00F80408">
      <w:pPr>
        <w:numPr>
          <w:ilvl w:val="0"/>
          <w:numId w:val="11"/>
        </w:numPr>
        <w:tabs>
          <w:tab w:val="clear" w:pos="480"/>
          <w:tab w:val="clear" w:pos="1440"/>
          <w:tab w:val="num" w:pos="840"/>
        </w:tabs>
        <w:spacing w:afterLines="200" w:after="480" w:line="360" w:lineRule="auto"/>
        <w:ind w:left="840" w:hanging="840"/>
        <w:jc w:val="both"/>
        <w:rPr>
          <w:szCs w:val="28"/>
        </w:rPr>
      </w:pPr>
      <w:r>
        <w:rPr>
          <w:szCs w:val="28"/>
        </w:rPr>
        <w:t>I make an order nisi that the 1</w:t>
      </w:r>
      <w:r>
        <w:rPr>
          <w:szCs w:val="28"/>
          <w:vertAlign w:val="superscript"/>
        </w:rPr>
        <w:t>st</w:t>
      </w:r>
      <w:r>
        <w:rPr>
          <w:szCs w:val="28"/>
        </w:rPr>
        <w:t xml:space="preserve"> Defendant do pay the Plaintiff’s costs of this application in any event to be taxed if not agreed, with a certificate for counsel</w:t>
      </w:r>
      <w:r>
        <w:rPr>
          <w:rFonts w:hint="eastAsia"/>
          <w:szCs w:val="28"/>
        </w:rPr>
        <w:t xml:space="preserve">, and that the </w:t>
      </w:r>
      <w:r>
        <w:rPr>
          <w:szCs w:val="28"/>
        </w:rPr>
        <w:t>Plaintiff’</w:t>
      </w:r>
      <w:r>
        <w:rPr>
          <w:rFonts w:hint="eastAsia"/>
          <w:szCs w:val="28"/>
        </w:rPr>
        <w:t>s own costs be taxed in accordance with legal aid regulations</w:t>
      </w:r>
      <w:r>
        <w:rPr>
          <w:szCs w:val="28"/>
        </w:rPr>
        <w:t>.   Unless an application is made to vary it, this costs order shall become absolute 14 days from the date thereof.</w:t>
      </w:r>
    </w:p>
    <w:p w:rsidR="00F80408" w:rsidRDefault="00F80408">
      <w:pPr>
        <w:snapToGrid/>
        <w:spacing w:afterLines="100" w:after="240" w:line="360" w:lineRule="auto"/>
        <w:jc w:val="both"/>
        <w:rPr>
          <w:rFonts w:eastAsia="PMingLiU" w:hint="eastAsia"/>
          <w:szCs w:val="28"/>
          <w:lang w:eastAsia="zh-TW"/>
        </w:rPr>
      </w:pPr>
    </w:p>
    <w:p w:rsidR="00F80408" w:rsidRDefault="00F80408">
      <w:pPr>
        <w:snapToGrid/>
        <w:spacing w:afterLines="100" w:after="240" w:line="360" w:lineRule="auto"/>
        <w:jc w:val="both"/>
        <w:rPr>
          <w:rFonts w:eastAsia="PMingLiU" w:hint="eastAsia"/>
          <w:szCs w:val="28"/>
          <w:lang w:eastAsia="zh-TW"/>
        </w:rPr>
      </w:pPr>
    </w:p>
    <w:p w:rsidR="00F80408" w:rsidRDefault="00F80408">
      <w:pPr>
        <w:tabs>
          <w:tab w:val="clear" w:pos="1440"/>
          <w:tab w:val="clear" w:pos="4320"/>
          <w:tab w:val="clear" w:pos="9072"/>
        </w:tabs>
        <w:snapToGrid/>
        <w:ind w:left="3958"/>
        <w:jc w:val="center"/>
        <w:rPr>
          <w:szCs w:val="28"/>
        </w:rPr>
      </w:pPr>
      <w:r>
        <w:rPr>
          <w:szCs w:val="28"/>
        </w:rPr>
        <w:t>Ronald Tang</w:t>
      </w:r>
    </w:p>
    <w:p w:rsidR="00F80408" w:rsidRDefault="00F80408">
      <w:pPr>
        <w:tabs>
          <w:tab w:val="clear" w:pos="1440"/>
          <w:tab w:val="clear" w:pos="4320"/>
          <w:tab w:val="clear" w:pos="9072"/>
        </w:tabs>
        <w:snapToGrid/>
        <w:ind w:left="3958"/>
        <w:jc w:val="center"/>
        <w:rPr>
          <w:szCs w:val="28"/>
        </w:rPr>
      </w:pPr>
      <w:r>
        <w:rPr>
          <w:szCs w:val="28"/>
        </w:rPr>
        <w:t>Deputy District Judge</w:t>
      </w:r>
    </w:p>
    <w:p w:rsidR="00F80408" w:rsidRDefault="00F80408">
      <w:pPr>
        <w:snapToGrid/>
        <w:spacing w:line="360" w:lineRule="auto"/>
        <w:jc w:val="both"/>
        <w:rPr>
          <w:rFonts w:eastAsia="PMingLiU" w:hint="eastAsia"/>
          <w:szCs w:val="28"/>
          <w:lang w:eastAsia="zh-TW"/>
        </w:rPr>
      </w:pPr>
    </w:p>
    <w:p w:rsidR="00F80408" w:rsidRDefault="00F80408">
      <w:pPr>
        <w:snapToGrid/>
        <w:spacing w:line="360" w:lineRule="auto"/>
        <w:jc w:val="both"/>
        <w:rPr>
          <w:rFonts w:eastAsia="PMingLiU" w:hint="eastAsia"/>
          <w:szCs w:val="28"/>
          <w:lang w:eastAsia="zh-TW"/>
        </w:rPr>
      </w:pPr>
    </w:p>
    <w:p w:rsidR="00F80408" w:rsidRDefault="00F80408">
      <w:pPr>
        <w:snapToGrid/>
        <w:spacing w:line="360" w:lineRule="auto"/>
        <w:jc w:val="both"/>
        <w:rPr>
          <w:rFonts w:eastAsia="PMingLiU"/>
          <w:szCs w:val="28"/>
          <w:lang w:eastAsia="zh-TW"/>
        </w:rPr>
      </w:pPr>
    </w:p>
    <w:p w:rsidR="00F80408" w:rsidRDefault="00F80408">
      <w:pPr>
        <w:spacing w:line="360" w:lineRule="auto"/>
        <w:jc w:val="both"/>
        <w:rPr>
          <w:szCs w:val="28"/>
        </w:rPr>
      </w:pPr>
      <w:r>
        <w:rPr>
          <w:szCs w:val="28"/>
        </w:rPr>
        <w:t>Miss Monica Chow, instructed by Messrs Fan &amp; Fan, for the Plaintiff</w:t>
      </w:r>
    </w:p>
    <w:p w:rsidR="00F80408" w:rsidRDefault="00F80408">
      <w:pPr>
        <w:snapToGrid/>
        <w:spacing w:line="360" w:lineRule="auto"/>
        <w:jc w:val="both"/>
        <w:rPr>
          <w:b/>
          <w:bCs/>
          <w:szCs w:val="28"/>
        </w:rPr>
      </w:pPr>
      <w:r>
        <w:rPr>
          <w:szCs w:val="28"/>
        </w:rPr>
        <w:t>The 1</w:t>
      </w:r>
      <w:r>
        <w:rPr>
          <w:szCs w:val="28"/>
          <w:vertAlign w:val="superscript"/>
        </w:rPr>
        <w:t>st</w:t>
      </w:r>
      <w:r>
        <w:rPr>
          <w:szCs w:val="28"/>
        </w:rPr>
        <w:t xml:space="preserve"> Defendant appeared in person.</w:t>
      </w:r>
    </w:p>
    <w:sectPr w:rsidR="0000000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0408" w:rsidRDefault="00F80408">
      <w:r>
        <w:separator/>
      </w:r>
    </w:p>
  </w:endnote>
  <w:endnote w:type="continuationSeparator" w:id="0">
    <w:p w:rsidR="00F80408" w:rsidRDefault="00F80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0408" w:rsidRDefault="00F804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80408" w:rsidRDefault="00F804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0408" w:rsidRDefault="00F80408">
    <w:pPr>
      <w:pStyle w:val="Footer"/>
      <w:framePr w:wrap="around" w:vAnchor="text" w:hAnchor="margin" w:xAlign="right" w:y="1"/>
      <w:rPr>
        <w:rStyle w:val="PageNumber"/>
      </w:rPr>
    </w:pPr>
  </w:p>
  <w:p w:rsidR="00F80408" w:rsidRDefault="00F80408">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0408" w:rsidRDefault="00F80408">
      <w:r>
        <w:separator/>
      </w:r>
    </w:p>
  </w:footnote>
  <w:footnote w:type="continuationSeparator" w:id="0">
    <w:p w:rsidR="00F80408" w:rsidRDefault="00F80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0408" w:rsidRDefault="00F80408">
    <w:pPr>
      <w:pStyle w:val="Header"/>
      <w:rPr>
        <w:rFonts w:hint="eastAsia"/>
      </w:rPr>
    </w:pPr>
    <w:r>
      <w:rPr>
        <w:noProof/>
        <w:sz w:val="20"/>
      </w:rPr>
    </w:r>
    <w:r w:rsidR="00F80408">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F80408" w:rsidRDefault="00F80408">
                <w:pPr>
                  <w:rPr>
                    <w:rFonts w:hint="eastAsia"/>
                    <w:b/>
                    <w:sz w:val="20"/>
                  </w:rPr>
                </w:pPr>
                <w:r>
                  <w:rPr>
                    <w:rFonts w:hint="eastAsia"/>
                    <w:b/>
                    <w:sz w:val="20"/>
                  </w:rPr>
                  <w:t>A</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20"/>
                  </w:rPr>
                </w:pPr>
                <w:r>
                  <w:rPr>
                    <w:rFonts w:hint="eastAsia"/>
                    <w:b/>
                    <w:sz w:val="20"/>
                  </w:rPr>
                  <w:t>B</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C</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pStyle w:val="Heading2"/>
                  <w:rPr>
                    <w:rFonts w:hint="eastAsia"/>
                    <w:sz w:val="16"/>
                  </w:rPr>
                </w:pPr>
                <w:r>
                  <w:rPr>
                    <w:rFonts w:hint="eastAsia"/>
                  </w:rPr>
                  <w:t>D</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E</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20"/>
                  </w:rPr>
                </w:pPr>
                <w:r>
                  <w:rPr>
                    <w:rFonts w:hint="eastAsia"/>
                    <w:b/>
                    <w:sz w:val="20"/>
                  </w:rPr>
                  <w:t>F</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G</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H</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I</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J</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K</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L</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M</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N</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O</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P</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Q</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R</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S</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T</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U</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pStyle w:val="Heading3"/>
                  <w:jc w:val="left"/>
                  <w:rPr>
                    <w:rFonts w:hint="eastAsia"/>
                  </w:rPr>
                </w:pPr>
                <w:r>
                  <w:rPr>
                    <w:rFonts w:hint="eastAsia"/>
                  </w:rPr>
                  <w:t>V</w:t>
                </w:r>
              </w:p>
            </w:txbxContent>
          </v:textbox>
        </v:shape>
      </w:pict>
    </w:r>
    <w:r>
      <w:rPr>
        <w:noProof/>
        <w:sz w:val="20"/>
      </w:rPr>
    </w:r>
    <w:r w:rsidR="00F80408">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F80408" w:rsidRDefault="00F80408">
                <w:pPr>
                  <w:rPr>
                    <w:rFonts w:eastAsia="SimHei" w:hint="eastAsia"/>
                    <w:b/>
                    <w:sz w:val="18"/>
                  </w:rPr>
                </w:pPr>
                <w:r>
                  <w:rPr>
                    <w:rFonts w:eastAsia="SimHei" w:hint="eastAsia"/>
                    <w:b/>
                    <w:sz w:val="18"/>
                  </w:rPr>
                  <w:t>由此</w:t>
                </w:r>
              </w:p>
            </w:txbxContent>
          </v:textbox>
        </v:shape>
      </w:pict>
    </w:r>
    <w:r>
      <w:rPr>
        <w:noProof/>
        <w:sz w:val="20"/>
      </w:rPr>
    </w:r>
    <w:r w:rsidR="00F80408">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F80408" w:rsidRDefault="00F80408">
                <w:pPr>
                  <w:rPr>
                    <w:rFonts w:hint="eastAsia"/>
                    <w:b/>
                    <w:sz w:val="20"/>
                  </w:rPr>
                </w:pPr>
                <w:r>
                  <w:rPr>
                    <w:rFonts w:hint="eastAsia"/>
                    <w:b/>
                    <w:sz w:val="20"/>
                  </w:rPr>
                  <w:t>A</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20"/>
                  </w:rPr>
                </w:pPr>
                <w:r>
                  <w:rPr>
                    <w:rFonts w:hint="eastAsia"/>
                    <w:b/>
                    <w:sz w:val="20"/>
                  </w:rPr>
                  <w:t>B</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C</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pStyle w:val="Heading2"/>
                  <w:rPr>
                    <w:rFonts w:hint="eastAsia"/>
                    <w:sz w:val="16"/>
                  </w:rPr>
                </w:pPr>
                <w:r>
                  <w:rPr>
                    <w:rFonts w:hint="eastAsia"/>
                  </w:rPr>
                  <w:t>D</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E</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20"/>
                  </w:rPr>
                </w:pPr>
                <w:r>
                  <w:rPr>
                    <w:rFonts w:hint="eastAsia"/>
                    <w:b/>
                    <w:sz w:val="20"/>
                  </w:rPr>
                  <w:t>F</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G</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H</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I</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J</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K</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L</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M</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N</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O</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P</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Q</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R</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S</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T</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U</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0408" w:rsidRDefault="00F80408">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6</w:t>
    </w:r>
    <w:r>
      <w:rPr>
        <w:rStyle w:val="PageNumber"/>
        <w:sz w:val="28"/>
      </w:rPr>
      <w:fldChar w:fldCharType="end"/>
    </w:r>
    <w:r>
      <w:rPr>
        <w:rStyle w:val="PageNumber"/>
        <w:rFonts w:hint="eastAsia"/>
        <w:sz w:val="28"/>
      </w:rPr>
      <w:t xml:space="preserve">  -</w:t>
    </w:r>
    <w:r>
      <w:rPr>
        <w:noProof/>
        <w:sz w:val="28"/>
      </w:rPr>
    </w:r>
    <w:r w:rsidR="00F80408">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F80408" w:rsidRDefault="00F80408">
                <w:pPr>
                  <w:rPr>
                    <w:rFonts w:hint="eastAsia"/>
                    <w:b/>
                    <w:sz w:val="20"/>
                  </w:rPr>
                </w:pPr>
                <w:r>
                  <w:rPr>
                    <w:rFonts w:hint="eastAsia"/>
                    <w:b/>
                    <w:sz w:val="20"/>
                  </w:rPr>
                  <w:t>A</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20"/>
                  </w:rPr>
                </w:pPr>
                <w:r>
                  <w:rPr>
                    <w:rFonts w:hint="eastAsia"/>
                    <w:b/>
                    <w:sz w:val="20"/>
                  </w:rPr>
                  <w:t>B</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C</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pStyle w:val="Heading2"/>
                  <w:rPr>
                    <w:rFonts w:hint="eastAsia"/>
                    <w:sz w:val="16"/>
                  </w:rPr>
                </w:pPr>
                <w:r>
                  <w:rPr>
                    <w:rFonts w:hint="eastAsia"/>
                  </w:rPr>
                  <w:t>D</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E</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20"/>
                  </w:rPr>
                </w:pPr>
                <w:r>
                  <w:rPr>
                    <w:rFonts w:hint="eastAsia"/>
                    <w:b/>
                    <w:sz w:val="20"/>
                  </w:rPr>
                  <w:t>F</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G</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H</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I</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J</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K</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L</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M</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N</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O</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P</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Q</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R</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S</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T</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U</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pStyle w:val="Heading3"/>
                  <w:jc w:val="left"/>
                  <w:rPr>
                    <w:rFonts w:hint="eastAsia"/>
                  </w:rPr>
                </w:pPr>
                <w:r>
                  <w:rPr>
                    <w:rFonts w:hint="eastAsia"/>
                  </w:rPr>
                  <w:t>V</w:t>
                </w:r>
              </w:p>
            </w:txbxContent>
          </v:textbox>
        </v:shape>
      </w:pict>
    </w:r>
    <w:r>
      <w:rPr>
        <w:noProof/>
        <w:sz w:val="28"/>
      </w:rPr>
    </w:r>
    <w:r w:rsidR="00F80408">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F80408" w:rsidRDefault="00F80408">
                <w:pPr>
                  <w:rPr>
                    <w:rFonts w:eastAsia="SimHei" w:hint="eastAsia"/>
                    <w:b/>
                    <w:sz w:val="18"/>
                  </w:rPr>
                </w:pPr>
                <w:r>
                  <w:rPr>
                    <w:rFonts w:eastAsia="SimHei" w:hint="eastAsia"/>
                    <w:b/>
                    <w:sz w:val="18"/>
                  </w:rPr>
                  <w:t>由此</w:t>
                </w:r>
              </w:p>
            </w:txbxContent>
          </v:textbox>
        </v:shape>
      </w:pict>
    </w:r>
    <w:r>
      <w:rPr>
        <w:noProof/>
        <w:sz w:val="28"/>
      </w:rPr>
    </w:r>
    <w:r w:rsidR="00F80408">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F80408" w:rsidRDefault="00F80408">
                <w:pPr>
                  <w:rPr>
                    <w:rFonts w:hint="eastAsia"/>
                    <w:b/>
                    <w:sz w:val="20"/>
                  </w:rPr>
                </w:pPr>
                <w:r>
                  <w:rPr>
                    <w:rFonts w:hint="eastAsia"/>
                    <w:b/>
                    <w:sz w:val="20"/>
                  </w:rPr>
                  <w:t>A</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20"/>
                  </w:rPr>
                </w:pPr>
                <w:r>
                  <w:rPr>
                    <w:rFonts w:hint="eastAsia"/>
                    <w:b/>
                    <w:sz w:val="20"/>
                  </w:rPr>
                  <w:t>B</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C</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pStyle w:val="Heading2"/>
                  <w:rPr>
                    <w:rFonts w:hint="eastAsia"/>
                    <w:sz w:val="16"/>
                  </w:rPr>
                </w:pPr>
                <w:r>
                  <w:rPr>
                    <w:rFonts w:hint="eastAsia"/>
                  </w:rPr>
                  <w:t>D</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E</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20"/>
                  </w:rPr>
                </w:pPr>
                <w:r>
                  <w:rPr>
                    <w:rFonts w:hint="eastAsia"/>
                    <w:b/>
                    <w:sz w:val="20"/>
                  </w:rPr>
                  <w:t>F</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G</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H</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I</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J</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K</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L</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M</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N</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O</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P</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Q</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R</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S</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T</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rPr>
                    <w:rFonts w:hint="eastAsia"/>
                    <w:b/>
                    <w:sz w:val="16"/>
                  </w:rPr>
                </w:pPr>
                <w:r>
                  <w:rPr>
                    <w:rFonts w:hint="eastAsia"/>
                    <w:b/>
                    <w:sz w:val="20"/>
                  </w:rPr>
                  <w:t>U</w:t>
                </w:r>
              </w:p>
              <w:p w:rsidR="00F80408" w:rsidRDefault="00F80408">
                <w:pPr>
                  <w:rPr>
                    <w:rFonts w:hint="eastAsia"/>
                    <w:b/>
                    <w:sz w:val="10"/>
                  </w:rPr>
                </w:pPr>
              </w:p>
              <w:p w:rsidR="00F80408" w:rsidRDefault="00F80408">
                <w:pPr>
                  <w:rPr>
                    <w:rFonts w:hint="eastAsia"/>
                    <w:b/>
                    <w:sz w:val="16"/>
                  </w:rPr>
                </w:pPr>
              </w:p>
              <w:p w:rsidR="00F80408" w:rsidRDefault="00F80408">
                <w:pPr>
                  <w:rPr>
                    <w:rFonts w:hint="eastAsia"/>
                    <w:b/>
                    <w:sz w:val="16"/>
                  </w:rPr>
                </w:pPr>
              </w:p>
              <w:p w:rsidR="00F80408" w:rsidRDefault="00F80408">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0C35"/>
    <w:multiLevelType w:val="hybridMultilevel"/>
    <w:tmpl w:val="FD647A56"/>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D1E7CD8"/>
    <w:multiLevelType w:val="hybridMultilevel"/>
    <w:tmpl w:val="96385FF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1A76561B"/>
    <w:multiLevelType w:val="hybridMultilevel"/>
    <w:tmpl w:val="0C3A934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25876E6C"/>
    <w:multiLevelType w:val="hybridMultilevel"/>
    <w:tmpl w:val="CFF463B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49726EB0"/>
    <w:multiLevelType w:val="hybridMultilevel"/>
    <w:tmpl w:val="43EE886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4EEB5327"/>
    <w:multiLevelType w:val="hybridMultilevel"/>
    <w:tmpl w:val="6A2EE8D6"/>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52E024AD"/>
    <w:multiLevelType w:val="hybridMultilevel"/>
    <w:tmpl w:val="78A850F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5AE55292"/>
    <w:multiLevelType w:val="hybridMultilevel"/>
    <w:tmpl w:val="FC3C0C02"/>
    <w:lvl w:ilvl="0" w:tplc="FC3AD17E">
      <w:start w:val="1"/>
      <w:numFmt w:val="decimal"/>
      <w:lvlText w:val="%1."/>
      <w:lvlJc w:val="left"/>
      <w:pPr>
        <w:tabs>
          <w:tab w:val="num" w:pos="1830"/>
        </w:tabs>
        <w:ind w:left="1830" w:hanging="1470"/>
      </w:pPr>
      <w:rPr>
        <w:rFonts w:hint="eastAsia"/>
      </w:rPr>
    </w:lvl>
    <w:lvl w:ilvl="1" w:tplc="1240957C">
      <w:start w:val="1"/>
      <w:numFmt w:val="lowerLetter"/>
      <w:lvlText w:val="(%2)"/>
      <w:lvlJc w:val="left"/>
      <w:pPr>
        <w:tabs>
          <w:tab w:val="num" w:pos="1800"/>
        </w:tabs>
        <w:ind w:left="1800" w:hanging="720"/>
      </w:pPr>
      <w:rPr>
        <w:rFonts w:hint="default"/>
      </w:rPr>
    </w:lvl>
    <w:lvl w:ilvl="2" w:tplc="C4AA6650">
      <w:start w:val="36"/>
      <w:numFmt w:val="decimal"/>
      <w:lvlText w:val="%3."/>
      <w:lvlJc w:val="left"/>
      <w:pPr>
        <w:tabs>
          <w:tab w:val="num" w:pos="1800"/>
        </w:tabs>
        <w:ind w:left="1692" w:hanging="252"/>
      </w:pPr>
      <w:rPr>
        <w:rFonts w:hint="eastAsia"/>
        <w:sz w:val="28"/>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89A1D51"/>
    <w:multiLevelType w:val="hybridMultilevel"/>
    <w:tmpl w:val="DF185B98"/>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74966C03"/>
    <w:multiLevelType w:val="hybridMultilevel"/>
    <w:tmpl w:val="DF0211A6"/>
    <w:lvl w:ilvl="0" w:tplc="2F04F8F8">
      <w:start w:val="18"/>
      <w:numFmt w:val="decimal"/>
      <w:lvlText w:val="%1."/>
      <w:lvlJc w:val="left"/>
      <w:pPr>
        <w:tabs>
          <w:tab w:val="num" w:pos="360"/>
        </w:tabs>
        <w:ind w:left="360" w:hanging="36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7BA76B2"/>
    <w:multiLevelType w:val="hybridMultilevel"/>
    <w:tmpl w:val="447E0672"/>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62676991">
    <w:abstractNumId w:val="7"/>
  </w:num>
  <w:num w:numId="2" w16cid:durableId="1993867517">
    <w:abstractNumId w:val="9"/>
  </w:num>
  <w:num w:numId="3" w16cid:durableId="175965400">
    <w:abstractNumId w:val="10"/>
  </w:num>
  <w:num w:numId="4" w16cid:durableId="347871560">
    <w:abstractNumId w:val="4"/>
  </w:num>
  <w:num w:numId="5" w16cid:durableId="566575091">
    <w:abstractNumId w:val="2"/>
  </w:num>
  <w:num w:numId="6" w16cid:durableId="85615621">
    <w:abstractNumId w:val="6"/>
  </w:num>
  <w:num w:numId="7" w16cid:durableId="1372264967">
    <w:abstractNumId w:val="1"/>
  </w:num>
  <w:num w:numId="8" w16cid:durableId="763186495">
    <w:abstractNumId w:val="8"/>
  </w:num>
  <w:num w:numId="9" w16cid:durableId="905648275">
    <w:abstractNumId w:val="0"/>
  </w:num>
  <w:num w:numId="10" w16cid:durableId="1891771260">
    <w:abstractNumId w:val="3"/>
  </w:num>
  <w:num w:numId="11" w16cid:durableId="2464256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0408"/>
    <w:rsid w:val="00F8040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DD5557F-7559-8D47-B37C-AE0715A2D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2008-05-30T08:42:00Z</cp:lastPrinted>
  <dcterms:created xsi:type="dcterms:W3CDTF">2023-10-14T01:21:00Z</dcterms:created>
  <dcterms:modified xsi:type="dcterms:W3CDTF">2023-10-14T01:21:00Z</dcterms:modified>
</cp:coreProperties>
</file>