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Maret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10109086</w:t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 xml:space="preserve"> - </w:t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SURATA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76.067.185.9-505.000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127.317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127.317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3.229.241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1.019.900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151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8.793.801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749.556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8.044.245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Maret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1120013759456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MUHAMMAD ILHAM SETYAWAN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Maret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10121222 - YIPTA YOGA PRASTYA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76.966.749.4-503.000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1.100.370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1.100.370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4.902.868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5.604.976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16.025.556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1.722.609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14.302.947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Maret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1120013759423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/>
        <w:t>a.n. YIPTA YOGA PRASTYA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Maret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10122059 - RIO CANDRA VALENTINO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42.221.402.3-514.000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MECHANIC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G0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PLANT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3.952.233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124.198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124.198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226.859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3.775.371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79.045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Mekanik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270.000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158.089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226.859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79.045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158.089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39.522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79.045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39.522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176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8.585.795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746.280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7.839.515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Maret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BNI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1249998597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RIO CANDRA VALENTINO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3</Pages>
  <Words>411</Words>
  <Characters>1850</Characters>
  <CharactersWithSpaces>2252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2025-04-25T16:12:28Z</dcterms:created>
  <dc:creator/>
  <dc:description/>
  <dc:language>en-GB</dc:language>
  <cp:lastModifiedBy/>
  <dcterms:modified xsi:type="dcterms:W3CDTF">2025-06-14T14:19:27Z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