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This is a great question. The CONC calculator's methodology is actually well-grounded, but making that grounding explicit and citable is what turns it from "our model" into "an industry-standard approach." Here's what you can  lean on:</w:t>
      </w:r>
    </w:p>
    <w:p>
      <w:pPr>
        <w:pStyle w:val="Normal"/>
        <w:bidi w:val="0"/>
        <w:jc w:val="start"/>
        <w:rPr/>
      </w:pPr>
      <w:r>
        <w:rPr/>
        <w:t>---</w:t>
      </w:r>
    </w:p>
    <w:p>
      <w:pPr>
        <w:pStyle w:val="Normal"/>
        <w:bidi w:val="0"/>
        <w:jc w:val="start"/>
        <w:rPr>
          <w:b/>
          <w:bCs/>
        </w:rPr>
      </w:pPr>
      <w:r>
        <w:rPr>
          <w:b/>
          <w:bCs/>
        </w:rPr>
        <w:t>Tier 1 — Primary Data Sources (cite directly)</w:t>
      </w:r>
    </w:p>
    <w:p>
      <w:pPr>
        <w:pStyle w:val="Normal"/>
        <w:bidi w:val="0"/>
        <w:jc w:val="start"/>
        <w:rPr/>
      </w:pPr>
      <w:r>
        <w:rPr/>
      </w:r>
    </w:p>
    <w:p>
      <w:pPr>
        <w:pStyle w:val="Normal"/>
        <w:bidi w:val="0"/>
        <w:jc w:val="start"/>
        <w:rPr/>
      </w:pPr>
      <w:r>
        <w:rPr>
          <w:b/>
          <w:bCs/>
        </w:rPr>
        <w:t>IBM / Ponemon Institute</w:t>
      </w:r>
      <w:r>
        <w:rPr/>
        <w:t xml:space="preserve"> — </w:t>
      </w:r>
      <w:r>
        <w:rPr>
          <w:i/>
          <w:iCs/>
        </w:rPr>
        <w:t>Cost of a Data Breach Report</w:t>
      </w:r>
    </w:p>
    <w:p>
      <w:pPr>
        <w:pStyle w:val="Normal"/>
        <w:bidi w:val="0"/>
        <w:jc w:val="start"/>
        <w:rPr/>
      </w:pPr>
      <w:r>
        <w:rPr/>
      </w:r>
    </w:p>
    <w:p>
      <w:pPr>
        <w:pStyle w:val="Normal"/>
        <w:bidi w:val="0"/>
        <w:jc w:val="start"/>
        <w:rPr/>
      </w:pPr>
      <w:r>
        <w:rPr/>
        <w:t xml:space="preserve">  </w:t>
      </w:r>
      <w:r>
        <w:rPr/>
        <w:t>- Published annually since 2006, it's the most widely cited source in the industry</w:t>
      </w:r>
    </w:p>
    <w:p>
      <w:pPr>
        <w:pStyle w:val="Normal"/>
        <w:bidi w:val="0"/>
        <w:jc w:val="start"/>
        <w:rPr/>
      </w:pPr>
      <w:r>
        <w:rPr/>
        <w:t xml:space="preserve">  </w:t>
      </w:r>
      <w:r>
        <w:rPr/>
        <w:t>- The 2024 report (covering 2023 breaches) reports a global average of $4.88M per breach</w:t>
      </w:r>
    </w:p>
    <w:p>
      <w:pPr>
        <w:pStyle w:val="Normal"/>
        <w:bidi w:val="0"/>
        <w:jc w:val="start"/>
        <w:rPr/>
      </w:pPr>
      <w:r>
        <w:rPr/>
        <w:t xml:space="preserve">  </w:t>
      </w:r>
      <w:r>
        <w:rPr/>
        <w:t>- Your sector factors are already calibrated from this data — make that explicit</w:t>
      </w:r>
    </w:p>
    <w:p>
      <w:pPr>
        <w:pStyle w:val="Normal"/>
        <w:bidi w:val="0"/>
        <w:jc w:val="start"/>
        <w:rPr/>
      </w:pPr>
      <w:r>
        <w:rPr/>
        <w:t xml:space="preserve">  </w:t>
      </w:r>
      <w:r>
        <w:rPr/>
        <w:t>- Key finding for SMEs: organizations with &lt;500 employees saw average breach costs of $3.31M (2024), which is disproportionately high relative to revenue</w:t>
      </w:r>
    </w:p>
    <w:p>
      <w:pPr>
        <w:pStyle w:val="Normal"/>
        <w:bidi w:val="0"/>
        <w:jc w:val="start"/>
        <w:rPr/>
      </w:pPr>
      <w:r>
        <w:rPr/>
        <w:t xml:space="preserve">  </w:t>
      </w:r>
      <w:r>
        <w:rPr/>
        <w:t>- Also provides cost breakdowns into 4 categories (detection/escalation, notification, post-breach response, lost business) that map closely to your 8 CONC categories</w:t>
      </w:r>
    </w:p>
    <w:p>
      <w:pPr>
        <w:pStyle w:val="Normal"/>
        <w:bidi w:val="0"/>
        <w:jc w:val="start"/>
        <w:rPr/>
      </w:pPr>
      <w:r>
        <w:rPr/>
        <w:t xml:space="preserve">  </w:t>
      </w:r>
      <w:r>
        <w:rPr/>
        <w:t xml:space="preserve">- </w:t>
      </w:r>
      <w:r>
        <w:rPr>
          <w:b/>
          <w:bCs/>
        </w:rPr>
        <w:t>Free to download</w:t>
      </w:r>
      <w:r>
        <w:rPr/>
        <w:t xml:space="preserve"> — clients can verify themselves</w:t>
      </w:r>
    </w:p>
    <w:p>
      <w:pPr>
        <w:pStyle w:val="Normal"/>
        <w:bidi w:val="0"/>
        <w:jc w:val="start"/>
        <w:rPr/>
      </w:pPr>
      <w:r>
        <w:rPr/>
      </w:r>
    </w:p>
    <w:p>
      <w:pPr>
        <w:pStyle w:val="Normal"/>
        <w:bidi w:val="0"/>
        <w:jc w:val="start"/>
        <w:rPr/>
      </w:pPr>
      <w:r>
        <w:rPr/>
        <w:t xml:space="preserve">  </w:t>
      </w:r>
      <w:r>
        <w:rPr>
          <w:b/>
          <w:bCs/>
        </w:rPr>
        <w:t>Hiscox Cyber Readiness Report</w:t>
      </w:r>
    </w:p>
    <w:p>
      <w:pPr>
        <w:pStyle w:val="Normal"/>
        <w:bidi w:val="0"/>
        <w:jc w:val="start"/>
        <w:rPr/>
      </w:pPr>
      <w:r>
        <w:rPr/>
      </w:r>
    </w:p>
    <w:p>
      <w:pPr>
        <w:pStyle w:val="Normal"/>
        <w:bidi w:val="0"/>
        <w:jc w:val="start"/>
        <w:rPr/>
      </w:pPr>
      <w:r>
        <w:rPr/>
        <w:t xml:space="preserve">  </w:t>
      </w:r>
      <w:r>
        <w:rPr/>
        <w:t>- Specifically covers SME cyber costs — much more relevant to your target market than IBM alone</w:t>
      </w:r>
    </w:p>
    <w:p>
      <w:pPr>
        <w:pStyle w:val="Normal"/>
        <w:bidi w:val="0"/>
        <w:jc w:val="start"/>
        <w:rPr/>
      </w:pPr>
      <w:r>
        <w:rPr/>
        <w:t xml:space="preserve">  </w:t>
      </w:r>
      <w:r>
        <w:rPr/>
        <w:t>- The 2024 report found median cyber incident cost for firms with &lt;250 employees was €14,000–€49,000, but the mean was significantly higher due to tail events</w:t>
      </w:r>
    </w:p>
    <w:p>
      <w:pPr>
        <w:pStyle w:val="Normal"/>
        <w:bidi w:val="0"/>
        <w:jc w:val="start"/>
        <w:rPr/>
      </w:pPr>
      <w:r>
        <w:rPr/>
        <w:t xml:space="preserve">  </w:t>
      </w:r>
      <w:r>
        <w:rPr/>
        <w:t>- Covers the "recovery time" dimension that feeds your EBI calculation</w:t>
      </w:r>
    </w:p>
    <w:p>
      <w:pPr>
        <w:pStyle w:val="Normal"/>
        <w:bidi w:val="0"/>
        <w:jc w:val="start"/>
        <w:rPr/>
      </w:pPr>
      <w:r>
        <w:rPr/>
        <w:t xml:space="preserve">  </w:t>
      </w:r>
      <w:r>
        <w:rPr/>
        <w:t>- Good for grounding the "this isn't just for enterprises" conversation</w:t>
      </w:r>
    </w:p>
    <w:p>
      <w:pPr>
        <w:pStyle w:val="Normal"/>
        <w:bidi w:val="0"/>
        <w:jc w:val="start"/>
        <w:rPr/>
      </w:pPr>
      <w:r>
        <w:rPr/>
      </w:r>
    </w:p>
    <w:p>
      <w:pPr>
        <w:pStyle w:val="Normal"/>
        <w:bidi w:val="0"/>
        <w:jc w:val="start"/>
        <w:rPr/>
      </w:pPr>
      <w:r>
        <w:rPr/>
        <w:t xml:space="preserve">  </w:t>
      </w:r>
      <w:r>
        <w:rPr>
          <w:b/>
          <w:bCs/>
        </w:rPr>
        <w:t>ENISA Threat Landscape (annual) + ENISA SME Cybersecurity Guide</w:t>
      </w:r>
    </w:p>
    <w:p>
      <w:pPr>
        <w:pStyle w:val="Normal"/>
        <w:bidi w:val="0"/>
        <w:jc w:val="start"/>
        <w:rPr/>
      </w:pPr>
      <w:r>
        <w:rPr/>
      </w:r>
    </w:p>
    <w:p>
      <w:pPr>
        <w:pStyle w:val="Normal"/>
        <w:bidi w:val="0"/>
        <w:jc w:val="start"/>
        <w:rPr/>
      </w:pPr>
      <w:r>
        <w:rPr/>
        <w:t xml:space="preserve">  </w:t>
      </w:r>
      <w:r>
        <w:rPr/>
        <w:t>- EU-focused, published by the official EU Agency for Cybersecurity</w:t>
      </w:r>
    </w:p>
    <w:p>
      <w:pPr>
        <w:pStyle w:val="Normal"/>
        <w:bidi w:val="0"/>
        <w:jc w:val="start"/>
        <w:rPr/>
      </w:pPr>
      <w:r>
        <w:rPr/>
        <w:t xml:space="preserve">  </w:t>
      </w:r>
      <w:r>
        <w:rPr/>
        <w:t>- The "</w:t>
      </w:r>
      <w:r>
        <w:rPr>
          <w:b/>
          <w:bCs/>
        </w:rPr>
        <w:t>Cybersecurity for SMEs</w:t>
      </w:r>
      <w:r>
        <w:rPr/>
        <w:t>" (2021) report specifically addresses cost estimation for smaller organizations</w:t>
      </w:r>
    </w:p>
    <w:p>
      <w:pPr>
        <w:pStyle w:val="Normal"/>
        <w:bidi w:val="0"/>
        <w:jc w:val="start"/>
        <w:rPr/>
      </w:pPr>
      <w:r>
        <w:rPr/>
        <w:t xml:space="preserve">  </w:t>
      </w:r>
      <w:r>
        <w:rPr/>
        <w:t>- Carries regulatory authority weight since ENISA is the body advising on NIS2 implementation</w:t>
      </w:r>
    </w:p>
    <w:p>
      <w:pPr>
        <w:pStyle w:val="Normal"/>
        <w:bidi w:val="0"/>
        <w:jc w:val="start"/>
        <w:rPr/>
      </w:pPr>
      <w:r>
        <w:rPr/>
        <w:t xml:space="preserve">  </w:t>
      </w:r>
      <w:r>
        <w:rPr/>
        <w:t>- Useful for the regulatory/supervisory cost category — ENISA's own guidance validates that post-incident supervisory burden is a real cost category</w:t>
      </w:r>
    </w:p>
    <w:p>
      <w:pPr>
        <w:pStyle w:val="Normal"/>
        <w:bidi w:val="0"/>
        <w:jc w:val="start"/>
        <w:rPr/>
      </w:pPr>
      <w:r>
        <w:rPr/>
      </w:r>
    </w:p>
    <w:p>
      <w:pPr>
        <w:pStyle w:val="Normal"/>
        <w:bidi w:val="0"/>
        <w:jc w:val="start"/>
        <w:rPr/>
      </w:pPr>
      <w:r>
        <w:rPr/>
        <w:t xml:space="preserve">  </w:t>
      </w:r>
      <w:r>
        <w:rPr>
          <w:b/>
          <w:bCs/>
        </w:rPr>
        <w:t>Verizon Data Breach Investigations Report (DBIR)</w:t>
      </w:r>
    </w:p>
    <w:p>
      <w:pPr>
        <w:pStyle w:val="Normal"/>
        <w:bidi w:val="0"/>
        <w:jc w:val="start"/>
        <w:rPr/>
      </w:pPr>
      <w:r>
        <w:rPr/>
      </w:r>
    </w:p>
    <w:p>
      <w:pPr>
        <w:pStyle w:val="Normal"/>
        <w:bidi w:val="0"/>
        <w:jc w:val="start"/>
        <w:rPr/>
      </w:pPr>
      <w:r>
        <w:rPr/>
        <w:t xml:space="preserve">  </w:t>
      </w:r>
      <w:r>
        <w:rPr/>
        <w:t>- Less about costs, more about attack frequency and vectors</w:t>
      </w:r>
    </w:p>
    <w:p>
      <w:pPr>
        <w:pStyle w:val="Normal"/>
        <w:bidi w:val="0"/>
        <w:jc w:val="start"/>
        <w:rPr/>
      </w:pPr>
      <w:r>
        <w:rPr/>
        <w:t xml:space="preserve">  </w:t>
      </w:r>
      <w:r>
        <w:rPr/>
        <w:t>- Valuable for the "how likely is this" conversation that precedes "how much would it cost"</w:t>
      </w:r>
    </w:p>
    <w:p>
      <w:pPr>
        <w:pStyle w:val="Normal"/>
        <w:bidi w:val="0"/>
        <w:jc w:val="start"/>
        <w:rPr/>
      </w:pPr>
      <w:r>
        <w:rPr/>
        <w:t xml:space="preserve">  </w:t>
      </w:r>
      <w:r>
        <w:rPr/>
        <w:t>- 2024 DBIR: 68% of breaches involved a human element; 15% involved a third party</w:t>
      </w:r>
    </w:p>
    <w:p>
      <w:pPr>
        <w:pStyle w:val="Normal"/>
        <w:bidi w:val="0"/>
        <w:jc w:val="start"/>
        <w:rPr/>
      </w:pPr>
      <w:r>
        <w:rPr/>
        <w:t xml:space="preserve">  </w:t>
      </w:r>
      <w:r>
        <w:rPr/>
        <w:t>- Helps justify why CMMI maturity (human process readiness) is the right input variable</w:t>
      </w:r>
    </w:p>
    <w:p>
      <w:pPr>
        <w:pStyle w:val="Normal"/>
        <w:bidi w:val="0"/>
        <w:jc w:val="start"/>
        <w:rPr/>
      </w:pPr>
      <w:r>
        <w:rPr/>
      </w:r>
    </w:p>
    <w:p>
      <w:pPr>
        <w:pStyle w:val="Normal"/>
        <w:bidi w:val="0"/>
        <w:jc w:val="start"/>
        <w:rPr/>
      </w:pPr>
      <w:r>
        <w:rPr/>
        <w:t xml:space="preserve">  </w:t>
      </w:r>
      <w:r>
        <w:rPr/>
        <w:t>---</w:t>
      </w:r>
    </w:p>
    <w:p>
      <w:pPr>
        <w:pStyle w:val="Normal"/>
        <w:bidi w:val="0"/>
        <w:jc w:val="start"/>
        <w:rPr/>
      </w:pPr>
      <w:r>
        <w:rPr/>
        <w:t xml:space="preserve">  </w:t>
      </w:r>
      <w:r>
        <w:rPr>
          <w:b/>
          <w:bCs/>
        </w:rPr>
        <w:t>Tier 2 — Methodological Frameworks (validates your approach)</w:t>
      </w:r>
    </w:p>
    <w:p>
      <w:pPr>
        <w:pStyle w:val="Normal"/>
        <w:bidi w:val="0"/>
        <w:jc w:val="start"/>
        <w:rPr/>
      </w:pPr>
      <w:r>
        <w:rPr/>
      </w:r>
    </w:p>
    <w:p>
      <w:pPr>
        <w:pStyle w:val="Normal"/>
        <w:bidi w:val="0"/>
        <w:jc w:val="start"/>
        <w:rPr/>
      </w:pPr>
      <w:r>
        <w:rPr/>
        <w:t xml:space="preserve">  </w:t>
      </w:r>
      <w:r>
        <w:rPr>
          <w:b/>
          <w:bCs/>
        </w:rPr>
        <w:t>FAIR (Factor Analysis of Information Risk)</w:t>
      </w:r>
    </w:p>
    <w:p>
      <w:pPr>
        <w:pStyle w:val="Normal"/>
        <w:bidi w:val="0"/>
        <w:jc w:val="start"/>
        <w:rPr/>
      </w:pPr>
      <w:r>
        <w:rPr/>
      </w:r>
    </w:p>
    <w:p>
      <w:pPr>
        <w:pStyle w:val="Normal"/>
        <w:bidi w:val="0"/>
        <w:jc w:val="start"/>
        <w:rPr/>
      </w:pPr>
      <w:r>
        <w:rPr/>
        <w:t xml:space="preserve">  </w:t>
      </w:r>
      <w:r>
        <w:rPr/>
        <w:t xml:space="preserve">- </w:t>
      </w:r>
      <w:r>
        <w:rPr>
          <w:b/>
          <w:bCs/>
        </w:rPr>
        <w:t>This is the most important framework to reference</w:t>
      </w:r>
      <w:r>
        <w:rPr/>
        <w:t xml:space="preserve">. It's the only international standard for quantitative cyber risk analysis (OpenFAIR is published as </w:t>
      </w:r>
      <w:r>
        <w:rPr>
          <w:b/>
          <w:bCs/>
        </w:rPr>
        <w:t>The Open Group Standard O-RA / O-RR</w:t>
      </w:r>
      <w:r>
        <w:rPr/>
        <w:t>)</w:t>
      </w:r>
    </w:p>
    <w:p>
      <w:pPr>
        <w:pStyle w:val="Normal"/>
        <w:bidi w:val="0"/>
        <w:jc w:val="start"/>
        <w:rPr/>
      </w:pPr>
      <w:r>
        <w:rPr/>
        <w:t xml:space="preserve">- Your 8 cost categories map almost directly to FAIR's </w:t>
      </w:r>
      <w:r>
        <w:rPr>
          <w:b/>
          <w:bCs/>
        </w:rPr>
        <w:t>loss magnitude taxonomy</w:t>
      </w:r>
      <w:r>
        <w:rPr/>
        <w:t>:</w:t>
      </w:r>
    </w:p>
    <w:p>
      <w:pPr>
        <w:pStyle w:val="Normal"/>
        <w:bidi w:val="0"/>
        <w:jc w:val="start"/>
        <w:rPr/>
      </w:pPr>
      <w:r>
        <w:rPr/>
      </w:r>
    </w:p>
    <w:tbl>
      <w:tblPr>
        <w:tblW w:w="5000" w:type="pct"/>
        <w:jc w:val="start"/>
        <w:tblInd w:w="0" w:type="dxa"/>
        <w:tblLayout w:type="fixed"/>
        <w:tblCellMar>
          <w:top w:w="0" w:type="dxa"/>
          <w:start w:w="0" w:type="dxa"/>
          <w:bottom w:w="0" w:type="dxa"/>
          <w:end w:w="0" w:type="dxa"/>
        </w:tblCellMar>
      </w:tblPr>
      <w:tblGrid>
        <w:gridCol w:w="4819"/>
        <w:gridCol w:w="4819"/>
      </w:tblGrid>
      <w:tr>
        <w:trPr/>
        <w:tc>
          <w:tcPr>
            <w:tcW w:w="4819" w:type="dxa"/>
            <w:tcBorders/>
          </w:tcPr>
          <w:p>
            <w:pPr>
              <w:pStyle w:val="TableContents"/>
              <w:widowControl w:val="false"/>
              <w:suppressLineNumbers/>
              <w:bidi w:val="0"/>
              <w:jc w:val="start"/>
              <w:rPr/>
            </w:pPr>
            <w:r>
              <w:rPr/>
              <w:t>FAIR Loss Form</w:t>
            </w:r>
          </w:p>
        </w:tc>
        <w:tc>
          <w:tcPr>
            <w:tcW w:w="4819" w:type="dxa"/>
            <w:tcBorders/>
          </w:tcPr>
          <w:p>
            <w:pPr>
              <w:pStyle w:val="TableContents"/>
              <w:widowControl w:val="false"/>
              <w:suppressLineNumbers/>
              <w:bidi w:val="0"/>
              <w:jc w:val="start"/>
              <w:rPr/>
            </w:pPr>
            <w:r>
              <w:rPr/>
              <w:t>Your CONC Category</w:t>
            </w:r>
          </w:p>
        </w:tc>
      </w:tr>
      <w:tr>
        <w:trPr/>
        <w:tc>
          <w:tcPr>
            <w:tcW w:w="4819" w:type="dxa"/>
            <w:tcBorders/>
          </w:tcPr>
          <w:p>
            <w:pPr>
              <w:pStyle w:val="TableContents"/>
              <w:widowControl w:val="false"/>
              <w:suppressLineNumbers/>
              <w:bidi w:val="0"/>
              <w:jc w:val="start"/>
              <w:rPr/>
            </w:pPr>
            <w:r>
              <w:rPr/>
              <w:t>Productivity Loss</w:t>
            </w:r>
          </w:p>
        </w:tc>
        <w:tc>
          <w:tcPr>
            <w:tcW w:w="4819" w:type="dxa"/>
            <w:tcBorders/>
          </w:tcPr>
          <w:p>
            <w:pPr>
              <w:pStyle w:val="TableContents"/>
              <w:widowControl w:val="false"/>
              <w:suppressLineNumbers/>
              <w:bidi w:val="0"/>
              <w:jc w:val="start"/>
              <w:rPr/>
            </w:pPr>
            <w:r>
              <w:rPr/>
              <w:t>Operational Downtime + EBI</w:t>
            </w:r>
          </w:p>
        </w:tc>
      </w:tr>
      <w:tr>
        <w:trPr/>
        <w:tc>
          <w:tcPr>
            <w:tcW w:w="4819" w:type="dxa"/>
            <w:tcBorders/>
          </w:tcPr>
          <w:p>
            <w:pPr>
              <w:pStyle w:val="TableContents"/>
              <w:widowControl w:val="false"/>
              <w:suppressLineNumbers/>
              <w:bidi w:val="0"/>
              <w:jc w:val="start"/>
              <w:rPr/>
            </w:pPr>
            <w:r>
              <w:rPr/>
              <w:t>Response Cost</w:t>
            </w:r>
          </w:p>
        </w:tc>
        <w:tc>
          <w:tcPr>
            <w:tcW w:w="4819" w:type="dxa"/>
            <w:tcBorders/>
          </w:tcPr>
          <w:p>
            <w:pPr>
              <w:pStyle w:val="TableContents"/>
              <w:widowControl w:val="false"/>
              <w:suppressLineNumbers/>
              <w:bidi w:val="0"/>
              <w:jc w:val="start"/>
              <w:rPr/>
            </w:pPr>
            <w:r>
              <w:rPr/>
              <w:t>Incident Response &amp; Forensics</w:t>
            </w:r>
          </w:p>
        </w:tc>
      </w:tr>
      <w:tr>
        <w:trPr/>
        <w:tc>
          <w:tcPr>
            <w:tcW w:w="4819" w:type="dxa"/>
            <w:tcBorders/>
          </w:tcPr>
          <w:p>
            <w:pPr>
              <w:pStyle w:val="TableContents"/>
              <w:widowControl w:val="false"/>
              <w:suppressLineNumbers/>
              <w:bidi w:val="0"/>
              <w:jc w:val="start"/>
              <w:rPr/>
            </w:pPr>
            <w:r>
              <w:rPr/>
              <w:t>Replacement Cost</w:t>
            </w:r>
          </w:p>
        </w:tc>
        <w:tc>
          <w:tcPr>
            <w:tcW w:w="4819" w:type="dxa"/>
            <w:tcBorders/>
          </w:tcPr>
          <w:p>
            <w:pPr>
              <w:pStyle w:val="TableContents"/>
              <w:widowControl w:val="false"/>
              <w:suppressLineNumbers/>
              <w:bidi w:val="0"/>
              <w:jc w:val="start"/>
              <w:rPr/>
            </w:pPr>
            <w:r>
              <w:rPr/>
              <w:t>System Restoration &amp; Rebuild</w:t>
            </w:r>
          </w:p>
        </w:tc>
      </w:tr>
      <w:tr>
        <w:trPr/>
        <w:tc>
          <w:tcPr>
            <w:tcW w:w="4819" w:type="dxa"/>
            <w:tcBorders/>
          </w:tcPr>
          <w:p>
            <w:pPr>
              <w:pStyle w:val="TableContents"/>
              <w:widowControl w:val="false"/>
              <w:suppressLineNumbers/>
              <w:bidi w:val="0"/>
              <w:jc w:val="start"/>
              <w:rPr/>
            </w:pPr>
            <w:r>
              <w:rPr/>
              <w:t>Fines &amp; Judgments</w:t>
            </w:r>
          </w:p>
        </w:tc>
        <w:tc>
          <w:tcPr>
            <w:tcW w:w="4819" w:type="dxa"/>
            <w:tcBorders/>
          </w:tcPr>
          <w:p>
            <w:pPr>
              <w:pStyle w:val="TableContents"/>
              <w:widowControl w:val="false"/>
              <w:suppressLineNumbers/>
              <w:bidi w:val="0"/>
              <w:jc w:val="start"/>
              <w:rPr/>
            </w:pPr>
            <w:r>
              <w:rPr/>
              <w:t>Administrative Fine Ceiling + Regulatory</w:t>
            </w:r>
          </w:p>
        </w:tc>
      </w:tr>
      <w:tr>
        <w:trPr/>
        <w:tc>
          <w:tcPr>
            <w:tcW w:w="4819" w:type="dxa"/>
            <w:tcBorders/>
          </w:tcPr>
          <w:p>
            <w:pPr>
              <w:pStyle w:val="TableContents"/>
              <w:widowControl w:val="false"/>
              <w:suppressLineNumbers/>
              <w:bidi w:val="0"/>
              <w:jc w:val="start"/>
              <w:rPr/>
            </w:pPr>
            <w:r>
              <w:rPr/>
              <w:t>Competitive Advantage</w:t>
            </w:r>
          </w:p>
        </w:tc>
        <w:tc>
          <w:tcPr>
            <w:tcW w:w="4819" w:type="dxa"/>
            <w:tcBorders/>
          </w:tcPr>
          <w:p>
            <w:pPr>
              <w:pStyle w:val="TableContents"/>
              <w:widowControl w:val="false"/>
              <w:suppressLineNumbers/>
              <w:bidi w:val="0"/>
              <w:jc w:val="start"/>
              <w:rPr/>
            </w:pPr>
            <w:r>
              <w:rPr/>
              <w:t>Customer &amp; Contract Loss</w:t>
            </w:r>
          </w:p>
        </w:tc>
      </w:tr>
      <w:tr>
        <w:trPr/>
        <w:tc>
          <w:tcPr>
            <w:tcW w:w="4819" w:type="dxa"/>
            <w:tcBorders/>
          </w:tcPr>
          <w:p>
            <w:pPr>
              <w:pStyle w:val="TableContents"/>
              <w:widowControl w:val="false"/>
              <w:suppressLineNumbers/>
              <w:bidi w:val="0"/>
              <w:jc w:val="start"/>
              <w:rPr/>
            </w:pPr>
            <w:r>
              <w:rPr/>
              <w:t>Reputation Damage</w:t>
            </w:r>
          </w:p>
        </w:tc>
        <w:tc>
          <w:tcPr>
            <w:tcW w:w="4819" w:type="dxa"/>
            <w:tcBorders/>
          </w:tcPr>
          <w:p>
            <w:pPr>
              <w:pStyle w:val="TableContents"/>
              <w:widowControl w:val="false"/>
              <w:suppressLineNumbers/>
              <w:bidi w:val="0"/>
              <w:jc w:val="start"/>
              <w:rPr/>
            </w:pPr>
            <w:r>
              <w:rPr/>
              <w:t>Reputational Impact</w:t>
            </w:r>
          </w:p>
        </w:tc>
      </w:tr>
    </w:tbl>
    <w:p>
      <w:pPr>
        <w:pStyle w:val="Normal"/>
        <w:bidi w:val="0"/>
        <w:jc w:val="start"/>
        <w:rPr/>
      </w:pPr>
      <w:r>
        <w:rPr/>
      </w:r>
    </w:p>
    <w:p>
      <w:pPr>
        <w:pStyle w:val="Normal"/>
        <w:bidi w:val="0"/>
        <w:jc w:val="start"/>
        <w:rPr/>
      </w:pPr>
      <w:r>
        <w:rPr/>
      </w:r>
    </w:p>
    <w:p>
      <w:pPr>
        <w:pStyle w:val="Normal"/>
        <w:bidi w:val="0"/>
        <w:jc w:val="start"/>
        <w:rPr/>
      </w:pPr>
      <w:r>
        <w:rPr/>
        <w:t xml:space="preserve">  </w:t>
      </w:r>
      <w:r>
        <w:rPr/>
        <w:t xml:space="preserve">- FAIR advocates for </w:t>
      </w:r>
      <w:r>
        <w:rPr>
          <w:b/>
          <w:bCs/>
        </w:rPr>
        <w:t>range estimates</w:t>
      </w:r>
      <w:r>
        <w:rPr/>
        <w:t xml:space="preserve"> (your low/mid/high bands) rather than point estimates — this is a recognized best practice in risk quantification</w:t>
      </w:r>
    </w:p>
    <w:p>
      <w:pPr>
        <w:pStyle w:val="Normal"/>
        <w:bidi w:val="0"/>
        <w:jc w:val="start"/>
        <w:rPr/>
      </w:pPr>
      <w:r>
        <w:rPr/>
        <w:t xml:space="preserve">  </w:t>
      </w:r>
      <w:r>
        <w:rPr/>
        <w:t>- Referencing FAIR alignment tells sophisticated clients "this follows the same framework used by Fortune 500 risk teams and cyber insurance underwriters"</w:t>
      </w:r>
    </w:p>
    <w:p>
      <w:pPr>
        <w:pStyle w:val="Normal"/>
        <w:bidi w:val="0"/>
        <w:jc w:val="start"/>
        <w:rPr/>
      </w:pPr>
      <w:r>
        <w:rPr/>
        <w:t xml:space="preserve">  </w:t>
      </w:r>
      <w:r>
        <w:rPr/>
        <w:t>- The FAIR Institute (fairinstitute.org) publishes case studies and training materials</w:t>
      </w:r>
    </w:p>
    <w:p>
      <w:pPr>
        <w:pStyle w:val="Normal"/>
        <w:bidi w:val="0"/>
        <w:jc w:val="start"/>
        <w:rPr/>
      </w:pPr>
      <w:r>
        <w:rPr/>
      </w:r>
    </w:p>
    <w:p>
      <w:pPr>
        <w:pStyle w:val="Normal"/>
        <w:bidi w:val="0"/>
        <w:jc w:val="start"/>
        <w:rPr/>
      </w:pPr>
      <w:r>
        <w:rPr/>
        <w:t xml:space="preserve">  </w:t>
      </w:r>
      <w:r>
        <w:rPr>
          <w:b/>
          <w:bCs/>
        </w:rPr>
        <w:t>CIS RAM (CIS Risk Assessment Method)</w:t>
      </w:r>
    </w:p>
    <w:p>
      <w:pPr>
        <w:pStyle w:val="Normal"/>
        <w:bidi w:val="0"/>
        <w:jc w:val="start"/>
        <w:rPr/>
      </w:pPr>
      <w:r>
        <w:rPr/>
      </w:r>
    </w:p>
    <w:p>
      <w:pPr>
        <w:pStyle w:val="Normal"/>
        <w:bidi w:val="0"/>
        <w:jc w:val="start"/>
        <w:rPr/>
      </w:pPr>
      <w:r>
        <w:rPr/>
        <w:t xml:space="preserve">  </w:t>
      </w:r>
      <w:r>
        <w:rPr/>
        <w:t xml:space="preserve">- Published by the </w:t>
      </w:r>
      <w:r>
        <w:rPr>
          <w:b/>
          <w:bCs/>
        </w:rPr>
        <w:t>Center for Internet Security</w:t>
      </w:r>
      <w:r>
        <w:rPr/>
        <w:t xml:space="preserve"> — the same body behind CIS Controls v8 that your safeguards come from</w:t>
      </w:r>
    </w:p>
    <w:p>
      <w:pPr>
        <w:pStyle w:val="Normal"/>
        <w:bidi w:val="0"/>
        <w:jc w:val="start"/>
        <w:rPr/>
      </w:pPr>
      <w:r>
        <w:rPr/>
        <w:t xml:space="preserve">  </w:t>
      </w:r>
      <w:r>
        <w:rPr/>
        <w:t>- CIS RAM v2.1 explicitly provides a methodology for risk assessment tied to CIS Controls implementation levels</w:t>
      </w:r>
    </w:p>
    <w:p>
      <w:pPr>
        <w:pStyle w:val="Normal"/>
        <w:bidi w:val="0"/>
        <w:jc w:val="start"/>
        <w:rPr/>
      </w:pPr>
      <w:r>
        <w:rPr/>
        <w:t xml:space="preserve">  </w:t>
      </w:r>
      <w:r>
        <w:rPr/>
        <w:t>- Since your calculator uses CIS safeguard CMMI scores as inputs, citing CIS RAM validates that specific design choice</w:t>
      </w:r>
    </w:p>
    <w:p>
      <w:pPr>
        <w:pStyle w:val="Normal"/>
        <w:bidi w:val="0"/>
        <w:jc w:val="start"/>
        <w:rPr/>
      </w:pPr>
      <w:r>
        <w:rPr/>
        <w:t xml:space="preserve">  </w:t>
      </w:r>
      <w:r>
        <w:rPr/>
        <w:t>- This creates a coherent narrative: "We assess maturity using CIS Controls (industry standard), then quantify risk using CIS RAM-aligned methodology"</w:t>
      </w:r>
    </w:p>
    <w:p>
      <w:pPr>
        <w:pStyle w:val="Normal"/>
        <w:bidi w:val="0"/>
        <w:jc w:val="start"/>
        <w:rPr/>
      </w:pPr>
      <w:r>
        <w:rPr/>
      </w:r>
    </w:p>
    <w:p>
      <w:pPr>
        <w:pStyle w:val="Normal"/>
        <w:bidi w:val="0"/>
        <w:jc w:val="start"/>
        <w:rPr/>
      </w:pPr>
      <w:r>
        <w:rPr/>
        <w:t xml:space="preserve">  </w:t>
      </w:r>
      <w:r>
        <w:rPr>
          <w:b/>
          <w:bCs/>
        </w:rPr>
        <w:t xml:space="preserve">NIST SP 800-30 Rev. 1 — </w:t>
      </w:r>
      <w:r>
        <w:rPr>
          <w:b/>
          <w:bCs/>
          <w:i/>
          <w:iCs/>
        </w:rPr>
        <w:t>Guide for Conducting Risk Assessments</w:t>
      </w:r>
    </w:p>
    <w:p>
      <w:pPr>
        <w:pStyle w:val="Normal"/>
        <w:bidi w:val="0"/>
        <w:jc w:val="start"/>
        <w:rPr/>
      </w:pPr>
      <w:r>
        <w:rPr/>
      </w:r>
    </w:p>
    <w:p>
      <w:pPr>
        <w:pStyle w:val="Normal"/>
        <w:bidi w:val="0"/>
        <w:jc w:val="start"/>
        <w:rPr/>
      </w:pPr>
      <w:r>
        <w:rPr/>
        <w:t xml:space="preserve">  </w:t>
      </w:r>
      <w:r>
        <w:rPr/>
        <w:t>- US standard but internationally recognized</w:t>
      </w:r>
    </w:p>
    <w:p>
      <w:pPr>
        <w:pStyle w:val="Normal"/>
        <w:bidi w:val="0"/>
        <w:jc w:val="start"/>
        <w:rPr/>
      </w:pPr>
      <w:r>
        <w:rPr/>
        <w:t xml:space="preserve">  </w:t>
      </w:r>
      <w:r>
        <w:rPr/>
        <w:t>- Validates the general approach of combining threat likelihood with impact magnitude</w:t>
      </w:r>
    </w:p>
    <w:p>
      <w:pPr>
        <w:pStyle w:val="Normal"/>
        <w:bidi w:val="0"/>
        <w:jc w:val="start"/>
        <w:rPr/>
      </w:pPr>
      <w:r>
        <w:rPr/>
        <w:t xml:space="preserve">  </w:t>
      </w:r>
      <w:r>
        <w:rPr/>
        <w:t>- Less prescriptive than FAIR but more widely known in government/regulated contexts</w:t>
      </w:r>
    </w:p>
    <w:p>
      <w:pPr>
        <w:pStyle w:val="Normal"/>
        <w:bidi w:val="0"/>
        <w:jc w:val="start"/>
        <w:rPr/>
      </w:pPr>
      <w:r>
        <w:rPr/>
      </w:r>
    </w:p>
    <w:p>
      <w:pPr>
        <w:pStyle w:val="Normal"/>
        <w:bidi w:val="0"/>
        <w:jc w:val="start"/>
        <w:rPr>
          <w:b/>
          <w:bCs/>
        </w:rPr>
      </w:pPr>
      <w:r>
        <w:rPr>
          <w:b/>
          <w:bCs/>
        </w:rPr>
        <w:t xml:space="preserve">  </w:t>
      </w:r>
      <w:r>
        <w:rPr>
          <w:b/>
          <w:bCs/>
        </w:rPr>
        <w:t xml:space="preserve">ISO/IEC 27005:2022 — </w:t>
      </w:r>
      <w:r>
        <w:rPr>
          <w:b/>
          <w:bCs/>
          <w:i/>
          <w:iCs/>
        </w:rPr>
        <w:t>Information Security Risk Management</w:t>
      </w:r>
    </w:p>
    <w:p>
      <w:pPr>
        <w:pStyle w:val="Normal"/>
        <w:bidi w:val="0"/>
        <w:jc w:val="start"/>
        <w:rPr/>
      </w:pPr>
      <w:r>
        <w:rPr/>
      </w:r>
    </w:p>
    <w:p>
      <w:pPr>
        <w:pStyle w:val="Normal"/>
        <w:bidi w:val="0"/>
        <w:jc w:val="start"/>
        <w:rPr/>
      </w:pPr>
      <w:r>
        <w:rPr/>
        <w:t xml:space="preserve">  </w:t>
      </w:r>
      <w:r>
        <w:rPr/>
        <w:t>- The international standard for information security risk management</w:t>
      </w:r>
    </w:p>
    <w:p>
      <w:pPr>
        <w:pStyle w:val="Normal"/>
        <w:bidi w:val="0"/>
        <w:jc w:val="start"/>
        <w:rPr/>
      </w:pPr>
      <w:r>
        <w:rPr/>
        <w:t xml:space="preserve">  </w:t>
      </w:r>
      <w:r>
        <w:rPr/>
        <w:t>- Supports both quantitative and qualitative approaches</w:t>
      </w:r>
    </w:p>
    <w:p>
      <w:pPr>
        <w:pStyle w:val="Normal"/>
        <w:bidi w:val="0"/>
        <w:jc w:val="start"/>
        <w:rPr/>
      </w:pPr>
      <w:r>
        <w:rPr/>
        <w:t xml:space="preserve">  </w:t>
      </w:r>
      <w:r>
        <w:rPr/>
        <w:t>- Section 8.3 specifically covers risk estimation using impact scenarios — your downtime-days model is a form of scenario-based estimation</w:t>
      </w:r>
    </w:p>
    <w:p>
      <w:pPr>
        <w:pStyle w:val="Normal"/>
        <w:bidi w:val="0"/>
        <w:jc w:val="start"/>
        <w:rPr/>
      </w:pPr>
      <w:r>
        <w:rPr/>
        <w:t xml:space="preserve">  </w:t>
      </w:r>
      <w:r>
        <w:rPr/>
        <w:t>- Useful for clients in regulated industries who need to show their risk assessment follows a recognized standard</w:t>
      </w:r>
    </w:p>
    <w:p>
      <w:pPr>
        <w:pStyle w:val="Normal"/>
        <w:bidi w:val="0"/>
        <w:jc w:val="start"/>
        <w:rPr/>
      </w:pPr>
      <w:r>
        <w:rPr/>
      </w:r>
    </w:p>
    <w:p>
      <w:pPr>
        <w:pStyle w:val="Normal"/>
        <w:bidi w:val="0"/>
        <w:jc w:val="start"/>
        <w:rPr/>
      </w:pPr>
      <w:r>
        <w:rPr/>
        <w:t xml:space="preserve">  </w:t>
      </w:r>
      <w:r>
        <w:rPr/>
        <w:t>---</w:t>
      </w:r>
    </w:p>
    <w:p>
      <w:pPr>
        <w:pStyle w:val="Normal"/>
        <w:bidi w:val="0"/>
        <w:jc w:val="start"/>
        <w:rPr/>
      </w:pPr>
      <w:r>
        <w:rPr/>
        <w:t xml:space="preserve">  </w:t>
      </w:r>
      <w:r>
        <w:rPr>
          <w:b/>
          <w:bCs/>
        </w:rPr>
        <w:t>Tier 3 — Academic &amp; Theoretical Backing</w:t>
      </w:r>
    </w:p>
    <w:p>
      <w:pPr>
        <w:pStyle w:val="Normal"/>
        <w:bidi w:val="0"/>
        <w:jc w:val="start"/>
        <w:rPr/>
      </w:pPr>
      <w:r>
        <w:rPr/>
      </w:r>
    </w:p>
    <w:p>
      <w:pPr>
        <w:pStyle w:val="Normal"/>
        <w:bidi w:val="0"/>
        <w:jc w:val="start"/>
        <w:rPr/>
      </w:pPr>
      <w:r>
        <w:rPr/>
        <w:t xml:space="preserve">  </w:t>
      </w:r>
      <w:r>
        <w:rPr>
          <w:b/>
          <w:bCs/>
        </w:rPr>
        <w:t>Gordon-Loeb Model (2002)</w:t>
      </w:r>
    </w:p>
    <w:p>
      <w:pPr>
        <w:pStyle w:val="Normal"/>
        <w:bidi w:val="0"/>
        <w:jc w:val="start"/>
        <w:rPr/>
      </w:pPr>
      <w:r>
        <w:rPr/>
      </w:r>
    </w:p>
    <w:p>
      <w:pPr>
        <w:pStyle w:val="Normal"/>
        <w:bidi w:val="0"/>
        <w:jc w:val="start"/>
        <w:rPr/>
      </w:pPr>
      <w:r>
        <w:rPr/>
        <w:t xml:space="preserve">  </w:t>
      </w:r>
      <w:r>
        <w:rPr/>
        <w:t>- Published in ACM Transactions on Information and System Security</w:t>
      </w:r>
    </w:p>
    <w:p>
      <w:pPr>
        <w:pStyle w:val="Normal"/>
        <w:bidi w:val="0"/>
        <w:jc w:val="start"/>
        <w:rPr/>
      </w:pPr>
      <w:r>
        <w:rPr/>
        <w:t xml:space="preserve">  </w:t>
      </w:r>
      <w:r>
        <w:rPr/>
        <w:t>- Seminal economic model showing that optimal security investment is bounded by 37% of expected loss</w:t>
      </w:r>
    </w:p>
    <w:p>
      <w:pPr>
        <w:pStyle w:val="Normal"/>
        <w:bidi w:val="0"/>
        <w:jc w:val="start"/>
        <w:rPr/>
      </w:pPr>
      <w:r>
        <w:rPr/>
        <w:t xml:space="preserve">  </w:t>
      </w:r>
      <w:r>
        <w:rPr/>
        <w:t>- Directly relevant to your tool's purpose: if you can quantify the expected loss (CONC output), then the Gordon-Loeb model gives a principled upper bound on what a client should invest in security</w:t>
      </w:r>
    </w:p>
    <w:p>
      <w:pPr>
        <w:pStyle w:val="Normal"/>
        <w:bidi w:val="0"/>
        <w:jc w:val="start"/>
        <w:rPr/>
      </w:pPr>
      <w:r>
        <w:rPr/>
        <w:t xml:space="preserve">  </w:t>
      </w:r>
      <w:r>
        <w:rPr/>
        <w:t>- This is powerful in sales conversations: "Based on your CONC estimate of €X, the Gordon-Loeb model suggests your optimal security budget ceiling is approximately €0.37X"</w:t>
      </w:r>
    </w:p>
    <w:p>
      <w:pPr>
        <w:pStyle w:val="Normal"/>
        <w:bidi w:val="0"/>
        <w:jc w:val="start"/>
        <w:rPr/>
      </w:pPr>
      <w:r>
        <w:rPr/>
      </w:r>
    </w:p>
    <w:p>
      <w:pPr>
        <w:pStyle w:val="Normal"/>
        <w:bidi w:val="0"/>
        <w:jc w:val="start"/>
        <w:rPr/>
      </w:pPr>
      <w:r>
        <w:rPr/>
        <w:t xml:space="preserve">  </w:t>
      </w:r>
      <w:r>
        <w:rPr>
          <w:b/>
          <w:bCs/>
        </w:rPr>
        <w:t>Hubbard — How to Measure Anything in Cybersecurity Risk (2016)</w:t>
      </w:r>
    </w:p>
    <w:p>
      <w:pPr>
        <w:pStyle w:val="Normal"/>
        <w:bidi w:val="0"/>
        <w:jc w:val="start"/>
        <w:rPr/>
      </w:pPr>
      <w:r>
        <w:rPr/>
      </w:r>
    </w:p>
    <w:p>
      <w:pPr>
        <w:pStyle w:val="Normal"/>
        <w:bidi w:val="0"/>
        <w:jc w:val="start"/>
        <w:rPr/>
      </w:pPr>
      <w:r>
        <w:rPr/>
        <w:t xml:space="preserve">  </w:t>
      </w:r>
      <w:r>
        <w:rPr/>
        <w:t>- Douglas Hubbard (author of the broader How to Measure Anything) applied calibrated estimation techniques to cybersecurity</w:t>
      </w:r>
    </w:p>
    <w:p>
      <w:pPr>
        <w:pStyle w:val="Normal"/>
        <w:bidi w:val="0"/>
        <w:jc w:val="start"/>
        <w:rPr/>
      </w:pPr>
      <w:r>
        <w:rPr/>
        <w:t xml:space="preserve">  </w:t>
      </w:r>
      <w:r>
        <w:rPr/>
        <w:t>- Argues strongly against qualitative risk matrices (red/yellow/green) and for quantitative range estimates — which is exactly what your calculator produces</w:t>
      </w:r>
    </w:p>
    <w:p>
      <w:pPr>
        <w:pStyle w:val="Normal"/>
        <w:bidi w:val="0"/>
        <w:jc w:val="start"/>
        <w:rPr/>
      </w:pPr>
      <w:r>
        <w:rPr/>
        <w:t xml:space="preserve">  </w:t>
      </w:r>
      <w:r>
        <w:rPr/>
        <w:t>- Provides the theoretical justification for why a model with imperfect inputs still produces better decisions than no model at all</w:t>
      </w:r>
    </w:p>
    <w:p>
      <w:pPr>
        <w:pStyle w:val="Normal"/>
        <w:bidi w:val="0"/>
        <w:jc w:val="start"/>
        <w:rPr/>
      </w:pPr>
      <w:r>
        <w:rPr/>
        <w:t xml:space="preserve">  </w:t>
      </w:r>
      <w:r>
        <w:rPr/>
        <w:t>- Good quote for presentations: "The first step in measuring anything is to recognize that any measurement — even an imperfect one — is better than the illusion of knowledge created by qualitative scales"</w:t>
      </w:r>
    </w:p>
    <w:p>
      <w:pPr>
        <w:pStyle w:val="Normal"/>
        <w:bidi w:val="0"/>
        <w:jc w:val="start"/>
        <w:rPr/>
      </w:pPr>
      <w:r>
        <w:rPr/>
      </w:r>
    </w:p>
    <w:p>
      <w:pPr>
        <w:pStyle w:val="Normal"/>
        <w:bidi w:val="0"/>
        <w:jc w:val="start"/>
        <w:rPr/>
      </w:pPr>
      <w:r>
        <w:rPr/>
        <w:t xml:space="preserve">  </w:t>
      </w:r>
      <w:r>
        <w:rPr/>
        <w:t>---</w:t>
      </w:r>
    </w:p>
    <w:p>
      <w:pPr>
        <w:pStyle w:val="Normal"/>
        <w:bidi w:val="0"/>
        <w:jc w:val="start"/>
        <w:rPr/>
      </w:pPr>
      <w:r>
        <w:rPr/>
        <w:t xml:space="preserve">  </w:t>
      </w:r>
      <w:r>
        <w:rPr>
          <w:b/>
          <w:bCs/>
        </w:rPr>
        <w:t>Tier 4 — Regulatory/Legal Authority (for EU clients)</w:t>
      </w:r>
    </w:p>
    <w:p>
      <w:pPr>
        <w:pStyle w:val="Normal"/>
        <w:bidi w:val="0"/>
        <w:jc w:val="start"/>
        <w:rPr/>
      </w:pPr>
      <w:r>
        <w:rPr/>
      </w:r>
    </w:p>
    <w:p>
      <w:pPr>
        <w:pStyle w:val="Normal"/>
        <w:bidi w:val="0"/>
        <w:jc w:val="start"/>
        <w:rPr/>
      </w:pPr>
      <w:r>
        <w:rPr/>
        <w:t xml:space="preserve">  </w:t>
      </w:r>
      <w:r>
        <w:rPr>
          <w:b/>
          <w:bCs/>
        </w:rPr>
        <w:t>NIS2 Directive (EU 2022/2555)</w:t>
      </w:r>
    </w:p>
    <w:p>
      <w:pPr>
        <w:pStyle w:val="Normal"/>
        <w:bidi w:val="0"/>
        <w:jc w:val="start"/>
        <w:rPr/>
      </w:pPr>
      <w:r>
        <w:rPr/>
      </w:r>
    </w:p>
    <w:p>
      <w:pPr>
        <w:pStyle w:val="Normal"/>
        <w:bidi w:val="0"/>
        <w:jc w:val="start"/>
        <w:rPr/>
      </w:pPr>
      <w:r>
        <w:rPr/>
        <w:t xml:space="preserve">  </w:t>
      </w:r>
      <w:r>
        <w:rPr/>
        <w:t xml:space="preserve">- </w:t>
      </w:r>
      <w:r>
        <w:rPr>
          <w:b/>
          <w:bCs/>
        </w:rPr>
        <w:t>Article 21</w:t>
      </w:r>
      <w:r>
        <w:rPr/>
        <w:t xml:space="preserve"> mandates risk-based security measures — your tool directly supports this obligation</w:t>
      </w:r>
    </w:p>
    <w:p>
      <w:pPr>
        <w:pStyle w:val="Normal"/>
        <w:bidi w:val="0"/>
        <w:jc w:val="start"/>
        <w:rPr/>
      </w:pPr>
      <w:r>
        <w:rPr/>
        <w:t xml:space="preserve">  </w:t>
      </w:r>
      <w:r>
        <w:rPr/>
        <w:t xml:space="preserve">- </w:t>
      </w:r>
      <w:r>
        <w:rPr>
          <w:b/>
          <w:bCs/>
        </w:rPr>
        <w:t>Recital 89</w:t>
      </w:r>
      <w:r>
        <w:rPr/>
        <w:t xml:space="preserve"> explicitly states that measures should be proportionate to the risk, considering "the likelihood of incidents and their severity, including their societal and economic impact" — this is literally what your</w:t>
      </w:r>
    </w:p>
    <w:p>
      <w:pPr>
        <w:pStyle w:val="Normal"/>
        <w:bidi w:val="0"/>
        <w:jc w:val="start"/>
        <w:rPr/>
      </w:pPr>
      <w:r>
        <w:rPr/>
        <w:t xml:space="preserve">  </w:t>
      </w:r>
      <w:r>
        <w:rPr/>
        <w:t>calculator does</w:t>
      </w:r>
    </w:p>
    <w:p>
      <w:pPr>
        <w:pStyle w:val="Normal"/>
        <w:bidi w:val="0"/>
        <w:jc w:val="start"/>
        <w:rPr/>
      </w:pPr>
      <w:r>
        <w:rPr/>
        <w:t xml:space="preserve">  </w:t>
      </w:r>
      <w:r>
        <w:rPr/>
        <w:t>- For SMEs: NIS2 Recital 7 mentions proportionality for smaller entities</w:t>
      </w:r>
    </w:p>
    <w:p>
      <w:pPr>
        <w:pStyle w:val="Normal"/>
        <w:bidi w:val="0"/>
        <w:jc w:val="start"/>
        <w:rPr/>
      </w:pPr>
      <w:r>
        <w:rPr/>
      </w:r>
    </w:p>
    <w:p>
      <w:pPr>
        <w:pStyle w:val="Normal"/>
        <w:bidi w:val="0"/>
        <w:jc w:val="start"/>
        <w:rPr/>
      </w:pPr>
      <w:r>
        <w:rPr/>
        <w:t xml:space="preserve">  </w:t>
      </w:r>
      <w:r>
        <w:rPr>
          <w:b/>
          <w:bCs/>
        </w:rPr>
        <w:t>GDPR (Regulation 2016/679)</w:t>
      </w:r>
    </w:p>
    <w:p>
      <w:pPr>
        <w:pStyle w:val="Normal"/>
        <w:bidi w:val="0"/>
        <w:jc w:val="start"/>
        <w:rPr/>
      </w:pPr>
      <w:r>
        <w:rPr/>
      </w:r>
    </w:p>
    <w:p>
      <w:pPr>
        <w:pStyle w:val="Normal"/>
        <w:bidi w:val="0"/>
        <w:jc w:val="start"/>
        <w:rPr/>
      </w:pPr>
      <w:r>
        <w:rPr/>
        <w:t xml:space="preserve">  </w:t>
      </w:r>
      <w:r>
        <w:rPr/>
        <w:t xml:space="preserve">- </w:t>
      </w:r>
      <w:r>
        <w:rPr>
          <w:b/>
          <w:bCs/>
        </w:rPr>
        <w:t>Article 32</w:t>
      </w:r>
      <w:r>
        <w:rPr/>
        <w:t xml:space="preserve"> requires security measures appropriate to the risk, "taking into account the state of the art, the costs of implementation and the nature, scope, context and purposes of processing as well as the risk of varying</w:t>
      </w:r>
    </w:p>
    <w:p>
      <w:pPr>
        <w:pStyle w:val="Normal"/>
        <w:bidi w:val="0"/>
        <w:jc w:val="start"/>
        <w:rPr/>
      </w:pPr>
      <w:r>
        <w:rPr/>
        <w:t xml:space="preserve">  </w:t>
      </w:r>
      <w:r>
        <w:rPr/>
        <w:t>likelihood and severity"</w:t>
      </w:r>
    </w:p>
    <w:p>
      <w:pPr>
        <w:pStyle w:val="Normal"/>
        <w:bidi w:val="0"/>
        <w:jc w:val="start"/>
        <w:rPr/>
      </w:pPr>
      <w:r>
        <w:rPr/>
        <w:t xml:space="preserve">  </w:t>
      </w:r>
      <w:r>
        <w:rPr/>
        <w:t>- Your calculator helps organizations demonstrate they've performed the cost analysis that Article 32 implicitly requires</w:t>
      </w:r>
    </w:p>
    <w:p>
      <w:pPr>
        <w:pStyle w:val="Normal"/>
        <w:bidi w:val="0"/>
        <w:jc w:val="start"/>
        <w:rPr/>
      </w:pPr>
      <w:r>
        <w:rPr/>
      </w:r>
    </w:p>
    <w:p>
      <w:pPr>
        <w:pStyle w:val="Normal"/>
        <w:bidi w:val="0"/>
        <w:jc w:val="start"/>
        <w:rPr/>
      </w:pPr>
      <w:r>
        <w:rPr/>
        <w:t xml:space="preserve">  </w:t>
      </w:r>
      <w:r>
        <w:rPr>
          <w:b/>
          <w:bCs/>
        </w:rPr>
        <w:t>Danish national implementation</w:t>
      </w:r>
    </w:p>
    <w:p>
      <w:pPr>
        <w:pStyle w:val="Normal"/>
        <w:bidi w:val="0"/>
        <w:jc w:val="start"/>
        <w:rPr/>
      </w:pPr>
      <w:r>
        <w:rPr/>
      </w:r>
    </w:p>
    <w:p>
      <w:pPr>
        <w:pStyle w:val="Normal"/>
        <w:bidi w:val="0"/>
        <w:jc w:val="start"/>
        <w:rPr/>
      </w:pPr>
      <w:r>
        <w:rPr/>
        <w:t xml:space="preserve">  </w:t>
      </w:r>
      <w:r>
        <w:rPr/>
        <w:t>- Reference the specific Danish NIS2 transposition law if applicable to your primary market</w:t>
      </w:r>
    </w:p>
    <w:p>
      <w:pPr>
        <w:pStyle w:val="Normal"/>
        <w:bidi w:val="0"/>
        <w:jc w:val="start"/>
        <w:rPr/>
      </w:pPr>
      <w:r>
        <w:rPr/>
      </w:r>
    </w:p>
    <w:p>
      <w:pPr>
        <w:pStyle w:val="Normal"/>
        <w:bidi w:val="0"/>
        <w:jc w:val="start"/>
        <w:rPr/>
      </w:pPr>
      <w:r>
        <w:rPr/>
        <w:t xml:space="preserve">  </w:t>
      </w:r>
      <w:r>
        <w:rPr/>
        <w:t>---</w:t>
      </w:r>
    </w:p>
    <w:p>
      <w:pPr>
        <w:pStyle w:val="Normal"/>
        <w:bidi w:val="0"/>
        <w:jc w:val="start"/>
        <w:rPr/>
      </w:pPr>
      <w:r>
        <w:rPr/>
        <w:t xml:space="preserve">  </w:t>
      </w:r>
      <w:r>
        <w:rPr/>
        <w:t>How to Package This for Clients</w:t>
      </w:r>
    </w:p>
    <w:p>
      <w:pPr>
        <w:pStyle w:val="Normal"/>
        <w:bidi w:val="0"/>
        <w:jc w:val="start"/>
        <w:rPr/>
      </w:pPr>
      <w:r>
        <w:rPr/>
      </w:r>
    </w:p>
    <w:p>
      <w:pPr>
        <w:pStyle w:val="Normal"/>
        <w:bidi w:val="0"/>
        <w:jc w:val="start"/>
        <w:rPr/>
      </w:pPr>
      <w:r>
        <w:rPr/>
        <w:t xml:space="preserve">  </w:t>
      </w:r>
      <w:r>
        <w:rPr/>
        <w:t>For SME clients specifically, I'd suggest framing it as:</w:t>
      </w:r>
    </w:p>
    <w:p>
      <w:pPr>
        <w:pStyle w:val="Normal"/>
        <w:bidi w:val="0"/>
        <w:jc w:val="start"/>
        <w:rPr/>
      </w:pPr>
      <w:r>
        <w:rPr/>
      </w:r>
    </w:p>
    <w:p>
      <w:pPr>
        <w:pStyle w:val="Normal"/>
        <w:bidi w:val="0"/>
        <w:jc w:val="start"/>
        <w:rPr/>
      </w:pPr>
      <w:r>
        <w:rPr/>
        <w:t xml:space="preserve">  </w:t>
      </w:r>
      <w:r>
        <w:rPr/>
        <w:t xml:space="preserve">1. </w:t>
      </w:r>
      <w:r>
        <w:rPr>
          <w:b/>
          <w:bCs/>
        </w:rPr>
        <w:t>Data sources</w:t>
      </w:r>
      <w:r>
        <w:rPr/>
        <w:t>: "Our cost model is calibrated from IBM's Cost of a Data Breach dataset, the largest longitudinal study of breach costs in the industry (19 years, 6,000+ organizations)"</w:t>
      </w:r>
    </w:p>
    <w:p>
      <w:pPr>
        <w:pStyle w:val="Normal"/>
        <w:bidi w:val="0"/>
        <w:jc w:val="start"/>
        <w:rPr/>
      </w:pPr>
      <w:r>
        <w:rPr/>
        <w:t xml:space="preserve">  </w:t>
      </w:r>
      <w:r>
        <w:rPr/>
        <w:t xml:space="preserve">2. </w:t>
      </w:r>
      <w:r>
        <w:rPr>
          <w:b/>
          <w:bCs/>
        </w:rPr>
        <w:t>Methodology</w:t>
      </w:r>
      <w:r>
        <w:rPr/>
        <w:t>: "The calculation follows the FAIR (Factor Analysis of Information Risk) loss taxonomy — the same quantitative framework used by cyber insurers and Fortune 500 risk teams — adapted for the scale and profile of</w:t>
      </w:r>
    </w:p>
    <w:p>
      <w:pPr>
        <w:pStyle w:val="Normal"/>
        <w:bidi w:val="0"/>
        <w:jc w:val="start"/>
        <w:rPr/>
      </w:pPr>
      <w:r>
        <w:rPr/>
        <w:t xml:space="preserve">  </w:t>
      </w:r>
      <w:r>
        <w:rPr/>
        <w:t>mid-market organizations"</w:t>
      </w:r>
    </w:p>
    <w:p>
      <w:pPr>
        <w:pStyle w:val="Normal"/>
        <w:bidi w:val="0"/>
        <w:jc w:val="start"/>
        <w:rPr/>
      </w:pPr>
      <w:r>
        <w:rPr/>
        <w:t xml:space="preserve">  </w:t>
      </w:r>
      <w:r>
        <w:rPr/>
        <w:t xml:space="preserve">3. </w:t>
      </w:r>
      <w:r>
        <w:rPr>
          <w:b/>
          <w:bCs/>
        </w:rPr>
        <w:t>Regulatory alignment</w:t>
      </w:r>
      <w:r>
        <w:rPr/>
        <w:t>: "The output directly supports your NIS2 Article 21 obligation to implement risk-proportionate security measures, and your GDPR Article 32 requirement to assess the cost of security failures"</w:t>
      </w:r>
    </w:p>
    <w:p>
      <w:pPr>
        <w:pStyle w:val="Normal"/>
        <w:bidi w:val="0"/>
        <w:jc w:val="start"/>
        <w:rPr/>
      </w:pPr>
      <w:r>
        <w:rPr/>
        <w:t xml:space="preserve">  </w:t>
      </w:r>
      <w:r>
        <w:rPr/>
        <w:t xml:space="preserve">4. </w:t>
      </w:r>
      <w:r>
        <w:rPr>
          <w:b/>
          <w:bCs/>
        </w:rPr>
        <w:t>Conservatism</w:t>
      </w:r>
      <w:r>
        <w:rPr/>
        <w:t>: "All estimates use conservative base rates. The low/mid/high range reflects uncertainty — this is recognized best practice in risk quantification (Hubbard 2016, FAIR standard)"</w:t>
      </w:r>
    </w:p>
    <w:p>
      <w:pPr>
        <w:pStyle w:val="Normal"/>
        <w:bidi w:val="0"/>
        <w:jc w:val="start"/>
        <w:rPr/>
      </w:pPr>
      <w:r>
        <w:rPr/>
      </w:r>
    </w:p>
    <w:p>
      <w:pPr>
        <w:pStyle w:val="Normal"/>
        <w:bidi w:val="0"/>
        <w:jc w:val="start"/>
        <w:rPr/>
      </w:pPr>
      <w:r>
        <w:rPr/>
        <w:t xml:space="preserve">  </w:t>
      </w:r>
      <w:r>
        <w:rPr/>
        <w:t>---</w:t>
      </w:r>
    </w:p>
    <w:p>
      <w:pPr>
        <w:pStyle w:val="Normal"/>
        <w:bidi w:val="0"/>
        <w:jc w:val="start"/>
        <w:rPr/>
      </w:pPr>
      <w:r>
        <w:rPr/>
        <w:t xml:space="preserve">  </w:t>
      </w:r>
      <w:r>
        <w:rPr/>
        <w:t>Want me to add a methodology/sources section to the CONC page itself (e.g., a collapsible footer with citations), or create a separate methodology document that could be exported alongside the CONC report?</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LibreOffice/25.8.5.2$Linux_X86_64 LibreOffice_project/252c20f6956e3db0b52e6e2f9dda67263513c8fc</Application>
  <AppVersion>15.0000</AppVersion>
  <Pages>4</Pages>
  <Words>1193</Words>
  <Characters>6822</Characters>
  <CharactersWithSpaces>8096</CharactersWithSpaces>
  <Paragraphs>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2026-03-13T19:01:28Z</dcterms:created>
  <dc:creator/>
  <dc:description/>
  <dc:language>en-US</dc:language>
  <cp:lastModifiedBy/>
  <dcterms:modified xsi:type="dcterms:W3CDTF">2026-03-13T19:08:28Z</dcterms:modified>
  <cp:revision>1</cp:revision>
  <dc:subject/>
  <dc:title/>
</cp:coreProperties>
</file>