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ULTRATHINK.                                                                                                                                                                                                                         </w:t>
      </w:r>
    </w:p>
    <w:p>
      <w:pPr>
        <w:pStyle w:val="Normal"/>
        <w:bidi w:val="0"/>
        <w:jc w:val="start"/>
        <w:rPr/>
      </w:pPr>
      <w:r>
        <w:rPr/>
        <w:t xml:space="preserve">In line with the other calculations on the CONC page:                                                                                                                                                                                 </w:t>
      </w:r>
    </w:p>
    <w:p>
      <w:pPr>
        <w:pStyle w:val="Normal"/>
        <w:bidi w:val="0"/>
        <w:jc w:val="start"/>
        <w:rPr/>
      </w:pPr>
      <w:r>
        <w:rPr/>
        <w:t xml:space="preserve">can you suggest a realistic calculation of the likelyhood of a data breach of small and mid-sized companies.                                                                                                                          </w:t>
      </w:r>
    </w:p>
    <w:p>
      <w:pPr>
        <w:pStyle w:val="Normal"/>
        <w:bidi w:val="0"/>
        <w:jc w:val="start"/>
        <w:rPr/>
      </w:pPr>
      <w:r>
        <w:rPr/>
        <w:t xml:space="preserve">Using whatever existing data is availale on the company, and the contrals and safeguards.                                                                                                                                             </w:t>
      </w:r>
    </w:p>
    <w:p>
      <w:pPr>
        <w:pStyle w:val="Normal"/>
        <w:bidi w:val="0"/>
        <w:jc w:val="start"/>
        <w:rPr/>
      </w:pPr>
      <w:r>
        <w:rPr/>
        <w:t xml:space="preserve">Suggest additional information parameters if it would improve the calculation.                                                                                                                                                        </w:t>
      </w:r>
    </w:p>
    <w:p>
      <w:pPr>
        <w:pStyle w:val="Normal"/>
        <w:bidi w:val="0"/>
        <w:jc w:val="start"/>
        <w:rPr/>
      </w:pPr>
      <w:r>
        <w:rPr/>
        <w:t>What scientific papers, business standards are you basing the calculation on?</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b/>
          <w:bCs/>
        </w:rPr>
      </w:pPr>
      <w:r>
        <w:rPr>
          <w:b/>
          <w:bCs/>
        </w:rPr>
        <w:t>Proposed: Annual Breach Probability Calculator</w:t>
      </w:r>
    </w:p>
    <w:p>
      <w:pPr>
        <w:pStyle w:val="Normal"/>
        <w:bidi w:val="0"/>
        <w:jc w:val="start"/>
        <w:rPr/>
      </w:pPr>
      <w:r>
        <w:rPr/>
      </w:r>
    </w:p>
    <w:p>
      <w:pPr>
        <w:pStyle w:val="Normal"/>
        <w:bidi w:val="0"/>
        <w:jc w:val="start"/>
        <w:rPr>
          <w:b/>
          <w:bCs/>
        </w:rPr>
      </w:pPr>
      <w:r>
        <w:rPr>
          <w:b/>
          <w:bCs/>
        </w:rPr>
        <w:t>Approach: Logistic base-rate model with multiplicative odds-adjustments</w:t>
      </w:r>
    </w:p>
    <w:p>
      <w:pPr>
        <w:pStyle w:val="Normal"/>
        <w:bidi w:val="0"/>
        <w:jc w:val="start"/>
        <w:rPr>
          <w:b/>
          <w:bCs/>
        </w:rPr>
      </w:pPr>
      <w:r>
        <w:rPr>
          <w:b/>
          <w:bCs/>
        </w:rPr>
      </w:r>
    </w:p>
    <w:p>
      <w:pPr>
        <w:pStyle w:val="Normal"/>
        <w:bidi w:val="0"/>
        <w:jc w:val="start"/>
        <w:rPr/>
      </w:pPr>
      <w:r>
        <w:rPr/>
        <w:t xml:space="preserve">Use a </w:t>
      </w:r>
      <w:r>
        <w:rPr>
          <w:b/>
          <w:bCs/>
        </w:rPr>
        <w:t>logistic (log-odds) model</w:t>
      </w:r>
      <w:r>
        <w:rPr/>
        <w:t xml:space="preserve"> rather than simple multiplication — this keeps the output naturally in [0%, 100%] and is the standard actuarial approach. The formula:</w:t>
      </w:r>
    </w:p>
    <w:p>
      <w:pPr>
        <w:pStyle w:val="Normal"/>
        <w:bidi w:val="0"/>
        <w:jc w:val="start"/>
        <w:rPr/>
      </w:pPr>
      <w:r>
        <w:rPr/>
      </w:r>
    </w:p>
    <w:p>
      <w:pPr>
        <w:pStyle w:val="Normal"/>
        <w:bidi w:val="0"/>
        <w:rPr/>
      </w:pPr>
      <w:r>
        <w:rPr/>
        <w:t>logit(P) = logit(P_base) + Σ(βᵢ × factorᵢ)</w:t>
      </w:r>
    </w:p>
    <w:p>
      <w:pPr>
        <w:pStyle w:val="Normal"/>
        <w:bidi w:val="0"/>
        <w:rPr/>
      </w:pPr>
      <w:r>
        <w:rPr/>
        <w:t>P_annual = sigmoid(logit(P))</w:t>
      </w:r>
    </w:p>
    <w:p>
      <w:pPr>
        <w:pStyle w:val="Normal"/>
        <w:bidi w:val="0"/>
        <w:jc w:val="start"/>
        <w:rPr/>
      </w:pPr>
      <w:r>
        <w:rPr/>
      </w:r>
    </w:p>
    <w:p>
      <w:pPr>
        <w:pStyle w:val="Normal"/>
        <w:bidi w:val="0"/>
        <w:jc w:val="start"/>
        <w:rPr>
          <w:b/>
          <w:bCs/>
        </w:rPr>
      </w:pPr>
      <w:r>
        <w:rPr>
          <w:b/>
          <w:bCs/>
        </w:rPr>
        <w:t>Inputs already available in the organization profile</w:t>
      </w:r>
    </w:p>
    <w:p>
      <w:pPr>
        <w:pStyle w:val="Normal"/>
        <w:bidi w:val="0"/>
        <w:jc w:val="start"/>
        <w:rPr>
          <w:b/>
          <w:bCs/>
        </w:rPr>
      </w:pPr>
      <w:r>
        <w:rPr>
          <w:b/>
          <w:bCs/>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TableContents"/>
              <w:widowControl w:val="false"/>
              <w:suppressLineNumbers/>
              <w:bidi w:val="0"/>
              <w:jc w:val="start"/>
              <w:rPr/>
            </w:pPr>
            <w:r>
              <w:rPr/>
              <w:t>Factor</w:t>
            </w:r>
          </w:p>
        </w:tc>
        <w:tc>
          <w:tcPr>
            <w:tcW w:w="3213" w:type="dxa"/>
            <w:tcBorders/>
          </w:tcPr>
          <w:p>
            <w:pPr>
              <w:pStyle w:val="TableContents"/>
              <w:bidi w:val="0"/>
              <w:jc w:val="start"/>
              <w:rPr/>
            </w:pPr>
            <w:r>
              <w:rPr/>
              <w:t>Source</w:t>
            </w:r>
          </w:p>
        </w:tc>
        <w:tc>
          <w:tcPr>
            <w:tcW w:w="3213" w:type="dxa"/>
            <w:tcBorders/>
          </w:tcPr>
          <w:p>
            <w:pPr>
              <w:pStyle w:val="TableContents"/>
              <w:widowControl w:val="false"/>
              <w:suppressLineNumbers/>
              <w:bidi w:val="0"/>
              <w:jc w:val="start"/>
              <w:rPr/>
            </w:pPr>
            <w:r>
              <w:rPr/>
              <w:t>Role in model</w:t>
            </w:r>
          </w:p>
        </w:tc>
      </w:tr>
      <w:tr>
        <w:trPr/>
        <w:tc>
          <w:tcPr>
            <w:tcW w:w="3212" w:type="dxa"/>
            <w:tcBorders/>
          </w:tcPr>
          <w:p>
            <w:pPr>
              <w:pStyle w:val="TableContents"/>
              <w:widowControl w:val="false"/>
              <w:suppressLineNumbers/>
              <w:bidi w:val="0"/>
              <w:jc w:val="start"/>
              <w:rPr/>
            </w:pPr>
            <w:r>
              <w:rPr/>
              <w:t>Org size</w:t>
            </w:r>
          </w:p>
        </w:tc>
        <w:tc>
          <w:tcPr>
            <w:tcW w:w="3213" w:type="dxa"/>
            <w:tcBorders/>
          </w:tcPr>
          <w:p>
            <w:pPr>
              <w:pStyle w:val="TableContents"/>
              <w:widowControl w:val="false"/>
              <w:suppressLineNumbers/>
              <w:bidi w:val="0"/>
              <w:jc w:val="start"/>
              <w:rPr/>
            </w:pPr>
            <w:r>
              <w:rPr/>
              <w:t>orgSize</w:t>
            </w:r>
          </w:p>
        </w:tc>
        <w:tc>
          <w:tcPr>
            <w:tcW w:w="3213" w:type="dxa"/>
            <w:tcBorders/>
          </w:tcPr>
          <w:p>
            <w:pPr>
              <w:pStyle w:val="TableContents"/>
              <w:widowControl w:val="false"/>
              <w:suppressLineNumbers/>
              <w:bidi w:val="0"/>
              <w:jc w:val="start"/>
              <w:rPr/>
            </w:pPr>
            <w:r>
              <w:rPr/>
              <w:t>Base rate selection</w:t>
            </w:r>
          </w:p>
        </w:tc>
      </w:tr>
      <w:tr>
        <w:trPr/>
        <w:tc>
          <w:tcPr>
            <w:tcW w:w="3212" w:type="dxa"/>
            <w:tcBorders/>
          </w:tcPr>
          <w:p>
            <w:pPr>
              <w:pStyle w:val="TableContents"/>
              <w:widowControl w:val="false"/>
              <w:suppressLineNumbers/>
              <w:bidi w:val="0"/>
              <w:jc w:val="start"/>
              <w:rPr/>
            </w:pPr>
            <w:r>
              <w:rPr/>
              <w:t>Industry</w:t>
            </w:r>
          </w:p>
        </w:tc>
        <w:tc>
          <w:tcPr>
            <w:tcW w:w="3213" w:type="dxa"/>
            <w:tcBorders/>
          </w:tcPr>
          <w:p>
            <w:pPr>
              <w:pStyle w:val="TableContents"/>
              <w:widowControl w:val="false"/>
              <w:suppressLineNumbers/>
              <w:bidi w:val="0"/>
              <w:jc w:val="start"/>
              <w:rPr/>
            </w:pPr>
            <w:r>
              <w:rPr/>
              <w:t>naceSection → IBM sector</w:t>
            </w:r>
          </w:p>
        </w:tc>
        <w:tc>
          <w:tcPr>
            <w:tcW w:w="3213" w:type="dxa"/>
            <w:tcBorders/>
          </w:tcPr>
          <w:p>
            <w:pPr>
              <w:pStyle w:val="TableContents"/>
              <w:widowControl w:val="false"/>
              <w:suppressLineNumbers/>
              <w:bidi w:val="0"/>
              <w:jc w:val="start"/>
              <w:rPr/>
            </w:pPr>
            <w:r>
              <w:rPr/>
              <w:t>Industry risk modifier</w:t>
            </w:r>
          </w:p>
        </w:tc>
      </w:tr>
      <w:tr>
        <w:trPr/>
        <w:tc>
          <w:tcPr>
            <w:tcW w:w="3212" w:type="dxa"/>
            <w:tcBorders/>
          </w:tcPr>
          <w:p>
            <w:pPr>
              <w:pStyle w:val="TableContents"/>
              <w:widowControl w:val="false"/>
              <w:suppressLineNumbers/>
              <w:bidi w:val="0"/>
              <w:jc w:val="start"/>
              <w:rPr/>
            </w:pPr>
            <w:r>
              <w:rPr/>
              <w:t>CMMI scores (all safeguards</w:t>
            </w:r>
            <w:r>
              <w:rPr/>
              <w:t>)</w:t>
            </w:r>
          </w:p>
        </w:tc>
        <w:tc>
          <w:tcPr>
            <w:tcW w:w="3213" w:type="dxa"/>
            <w:tcBorders/>
          </w:tcPr>
          <w:p>
            <w:pPr>
              <w:pStyle w:val="TableContents"/>
              <w:widowControl w:val="false"/>
              <w:suppressLineNumbers/>
              <w:bidi w:val="0"/>
              <w:jc w:val="start"/>
              <w:rPr/>
            </w:pPr>
            <w:r>
              <w:rPr/>
              <w:t>GAP report</w:t>
            </w:r>
          </w:p>
        </w:tc>
        <w:tc>
          <w:tcPr>
            <w:tcW w:w="3213" w:type="dxa"/>
            <w:tcBorders/>
          </w:tcPr>
          <w:p>
            <w:pPr>
              <w:pStyle w:val="TableContents"/>
              <w:widowControl w:val="false"/>
              <w:suppressLineNumbers/>
              <w:bidi w:val="0"/>
              <w:jc w:val="start"/>
              <w:rPr/>
            </w:pPr>
            <w:r>
              <w:rPr/>
              <w:t>Primary maturity modifier — decomposed into Preventive, Detective, and Recovery sub-scores</w:t>
            </w:r>
          </w:p>
        </w:tc>
      </w:tr>
      <w:tr>
        <w:trPr/>
        <w:tc>
          <w:tcPr>
            <w:tcW w:w="3212" w:type="dxa"/>
            <w:tcBorders/>
          </w:tcPr>
          <w:p>
            <w:pPr>
              <w:pStyle w:val="TableContents"/>
              <w:widowControl w:val="false"/>
              <w:suppressLineNumbers/>
              <w:bidi w:val="0"/>
              <w:jc w:val="start"/>
              <w:rPr/>
            </w:pPr>
            <w:r>
              <w:rPr/>
              <w:t>Data sensitivity</w:t>
            </w:r>
          </w:p>
        </w:tc>
        <w:tc>
          <w:tcPr>
            <w:tcW w:w="3213" w:type="dxa"/>
            <w:tcBorders/>
          </w:tcPr>
          <w:p>
            <w:pPr>
              <w:pStyle w:val="TableContents"/>
              <w:widowControl w:val="false"/>
              <w:suppressLineNumbers/>
              <w:bidi w:val="0"/>
              <w:jc w:val="start"/>
              <w:rPr/>
            </w:pPr>
            <w:r>
              <w:rPr/>
              <w:t>dataSensitivity[]</w:t>
            </w:r>
          </w:p>
        </w:tc>
        <w:tc>
          <w:tcPr>
            <w:tcW w:w="3213" w:type="dxa"/>
            <w:tcBorders/>
          </w:tcPr>
          <w:p>
            <w:pPr>
              <w:pStyle w:val="TableContents"/>
              <w:widowControl w:val="false"/>
              <w:suppressLineNumbers/>
              <w:bidi w:val="0"/>
              <w:jc w:val="start"/>
              <w:rPr/>
            </w:pPr>
            <w:r>
              <w:rPr/>
              <w:t>Target attractiveness</w:t>
            </w:r>
          </w:p>
        </w:tc>
      </w:tr>
      <w:tr>
        <w:trPr/>
        <w:tc>
          <w:tcPr>
            <w:tcW w:w="3212" w:type="dxa"/>
            <w:tcBorders/>
          </w:tcPr>
          <w:p>
            <w:pPr>
              <w:pStyle w:val="TableContents"/>
              <w:widowControl w:val="false"/>
              <w:suppressLineNumbers/>
              <w:bidi w:val="0"/>
              <w:jc w:val="start"/>
              <w:rPr/>
            </w:pPr>
            <w:r>
              <w:rPr/>
              <w:t>Infrastructure types</w:t>
            </w:r>
          </w:p>
        </w:tc>
        <w:tc>
          <w:tcPr>
            <w:tcW w:w="3213" w:type="dxa"/>
            <w:tcBorders/>
          </w:tcPr>
          <w:p>
            <w:pPr>
              <w:pStyle w:val="TableContents"/>
              <w:widowControl w:val="false"/>
              <w:suppressLineNumbers/>
              <w:bidi w:val="0"/>
              <w:jc w:val="start"/>
              <w:rPr/>
            </w:pPr>
            <w:r>
              <w:rPr/>
              <w:t>infrastructureTypes[]</w:t>
            </w:r>
          </w:p>
        </w:tc>
        <w:tc>
          <w:tcPr>
            <w:tcW w:w="3213" w:type="dxa"/>
            <w:tcBorders/>
          </w:tcPr>
          <w:p>
            <w:pPr>
              <w:pStyle w:val="TableContents"/>
              <w:widowControl w:val="false"/>
              <w:suppressLineNumbers/>
              <w:bidi w:val="0"/>
              <w:jc w:val="start"/>
              <w:rPr/>
            </w:pPr>
            <w:r>
              <w:rPr/>
              <w:t>Attack surface complexity</w:t>
            </w:r>
          </w:p>
        </w:tc>
      </w:tr>
      <w:tr>
        <w:trPr/>
        <w:tc>
          <w:tcPr>
            <w:tcW w:w="3212" w:type="dxa"/>
            <w:tcBorders/>
          </w:tcPr>
          <w:p>
            <w:pPr>
              <w:pStyle w:val="TableContents"/>
              <w:widowControl w:val="false"/>
              <w:suppressLineNumbers/>
              <w:bidi w:val="0"/>
              <w:jc w:val="start"/>
              <w:rPr/>
            </w:pPr>
            <w:r>
              <w:rPr/>
              <w:t>Geographic scope</w:t>
            </w:r>
          </w:p>
        </w:tc>
        <w:tc>
          <w:tcPr>
            <w:tcW w:w="3213" w:type="dxa"/>
            <w:tcBorders/>
          </w:tcPr>
          <w:p>
            <w:pPr>
              <w:pStyle w:val="TableContents"/>
              <w:widowControl w:val="false"/>
              <w:suppressLineNumbers/>
              <w:bidi w:val="0"/>
              <w:jc w:val="start"/>
              <w:rPr/>
            </w:pPr>
            <w:r>
              <w:rPr/>
              <w:t>geographicScope</w:t>
            </w:r>
          </w:p>
        </w:tc>
        <w:tc>
          <w:tcPr>
            <w:tcW w:w="3213" w:type="dxa"/>
            <w:tcBorders/>
          </w:tcPr>
          <w:p>
            <w:pPr>
              <w:pStyle w:val="TableContents"/>
              <w:widowControl w:val="false"/>
              <w:suppressLineNumbers/>
              <w:bidi w:val="0"/>
              <w:jc w:val="start"/>
              <w:rPr/>
            </w:pPr>
            <w:r>
              <w:rPr/>
              <w:t>Exposure surface</w:t>
            </w:r>
          </w:p>
        </w:tc>
      </w:tr>
      <w:tr>
        <w:trPr/>
        <w:tc>
          <w:tcPr>
            <w:tcW w:w="3212" w:type="dxa"/>
            <w:tcBorders/>
          </w:tcPr>
          <w:p>
            <w:pPr>
              <w:pStyle w:val="TableContents"/>
              <w:widowControl w:val="false"/>
              <w:suppressLineNumbers/>
              <w:bidi w:val="0"/>
              <w:jc w:val="start"/>
              <w:rPr/>
            </w:pPr>
            <w:r>
              <w:rPr/>
              <w:t>IT dependency</w:t>
            </w:r>
          </w:p>
        </w:tc>
        <w:tc>
          <w:tcPr>
            <w:tcW w:w="3213" w:type="dxa"/>
            <w:tcBorders/>
          </w:tcPr>
          <w:p>
            <w:pPr>
              <w:pStyle w:val="TableContents"/>
              <w:widowControl w:val="false"/>
              <w:suppressLineNumbers/>
              <w:bidi w:val="0"/>
              <w:jc w:val="start"/>
              <w:rPr/>
            </w:pPr>
            <w:r>
              <w:rPr/>
              <w:t>derived from manual op + prod dep + cust access</w:t>
            </w:r>
          </w:p>
        </w:tc>
        <w:tc>
          <w:tcPr>
            <w:tcW w:w="3213" w:type="dxa"/>
            <w:tcBorders/>
          </w:tcPr>
          <w:p>
            <w:pPr>
              <w:pStyle w:val="TableContents"/>
              <w:widowControl w:val="false"/>
              <w:suppressLineNumbers/>
              <w:bidi w:val="0"/>
              <w:jc w:val="start"/>
              <w:rPr/>
            </w:pPr>
            <w:r>
              <w:rPr/>
              <w:t>Proxy for digital attack surface</w:t>
            </w:r>
          </w:p>
        </w:tc>
      </w:tr>
      <w:tr>
        <w:trPr/>
        <w:tc>
          <w:tcPr>
            <w:tcW w:w="3212" w:type="dxa"/>
            <w:tcBorders/>
          </w:tcPr>
          <w:p>
            <w:pPr>
              <w:pStyle w:val="TableContents"/>
              <w:widowControl w:val="false"/>
              <w:suppressLineNumbers/>
              <w:bidi w:val="0"/>
              <w:jc w:val="start"/>
              <w:rPr/>
            </w:pPr>
            <w:r>
              <w:rPr/>
              <w:t>Regulatory obligations</w:t>
            </w:r>
          </w:p>
        </w:tc>
        <w:tc>
          <w:tcPr>
            <w:tcW w:w="3213" w:type="dxa"/>
            <w:tcBorders/>
          </w:tcPr>
          <w:p>
            <w:pPr>
              <w:pStyle w:val="TableContents"/>
              <w:widowControl w:val="false"/>
              <w:suppressLineNumbers/>
              <w:bidi w:val="0"/>
              <w:jc w:val="start"/>
              <w:rPr/>
            </w:pPr>
            <w:r>
              <w:rPr/>
              <w:t>regulatoryObligations[]</w:t>
            </w:r>
          </w:p>
        </w:tc>
        <w:tc>
          <w:tcPr>
            <w:tcW w:w="3213" w:type="dxa"/>
            <w:tcBorders/>
          </w:tcPr>
          <w:p>
            <w:pPr>
              <w:pStyle w:val="TableContents"/>
              <w:widowControl w:val="false"/>
              <w:suppressLineNumbers/>
              <w:bidi w:val="0"/>
              <w:jc w:val="start"/>
              <w:rPr/>
            </w:pPr>
            <w:r>
              <w:rPr/>
              <w:t>Detection/reporting bias adjustment</w:t>
            </w:r>
          </w:p>
        </w:tc>
      </w:tr>
    </w:tbl>
    <w:p>
      <w:pPr>
        <w:pStyle w:val="Normal"/>
        <w:bidi w:val="0"/>
        <w:jc w:val="start"/>
        <w:rPr/>
      </w:pPr>
      <w:r>
        <w:rPr/>
      </w:r>
    </w:p>
    <w:p>
      <w:pPr>
        <w:pStyle w:val="Normal"/>
        <w:bidi w:val="0"/>
        <w:jc w:val="start"/>
        <w:rPr>
          <w:b/>
          <w:bCs/>
        </w:rPr>
      </w:pPr>
      <w:r>
        <w:rPr>
          <w:b/>
          <w:bCs/>
        </w:rPr>
        <w:t>Step 1: Base annual probability by organization size</w:t>
      </w:r>
    </w:p>
    <w:p>
      <w:pPr>
        <w:pStyle w:val="Normal"/>
        <w:bidi w:val="0"/>
        <w:jc w:val="start"/>
        <w:rPr>
          <w:b/>
          <w:bCs/>
        </w:rPr>
      </w:pPr>
      <w:r>
        <w:rPr>
          <w:b/>
          <w:bCs/>
        </w:rPr>
      </w:r>
    </w:p>
    <w:p>
      <w:pPr>
        <w:pStyle w:val="Normal"/>
        <w:bidi w:val="0"/>
        <w:jc w:val="start"/>
        <w:rPr/>
      </w:pPr>
      <w:r>
        <w:rPr/>
        <w:t>Calibrated from Cyentia Institute IRIS (2020–2024), Hiscox Cyber Readiness Report (2023–2024), and Ponemon/IBM longitudinal data:</w:t>
      </w:r>
    </w:p>
    <w:p>
      <w:pPr>
        <w:pStyle w:val="Normal"/>
        <w:bidi w:val="0"/>
        <w:jc w:val="start"/>
        <w:rPr/>
      </w:pPr>
      <w:r>
        <w:rPr/>
      </w:r>
    </w:p>
    <w:tbl>
      <w:tblPr>
        <w:tblW w:w="5000" w:type="pct"/>
        <w:jc w:val="start"/>
        <w:tblInd w:w="0" w:type="dxa"/>
        <w:tblLayout w:type="fixed"/>
        <w:tblCellMar>
          <w:top w:w="0" w:type="dxa"/>
          <w:start w:w="0" w:type="dxa"/>
          <w:bottom w:w="0" w:type="dxa"/>
          <w:end w:w="0" w:type="dxa"/>
        </w:tblCellMar>
      </w:tblPr>
      <w:tblGrid>
        <w:gridCol w:w="2409"/>
        <w:gridCol w:w="2410"/>
        <w:gridCol w:w="2409"/>
        <w:gridCol w:w="2410"/>
      </w:tblGrid>
      <w:tr>
        <w:trPr/>
        <w:tc>
          <w:tcPr>
            <w:tcW w:w="2409" w:type="dxa"/>
            <w:tcBorders/>
          </w:tcPr>
          <w:p>
            <w:pPr>
              <w:pStyle w:val="TableContents"/>
              <w:widowControl w:val="false"/>
              <w:suppressLineNumbers/>
              <w:bidi w:val="0"/>
              <w:jc w:val="start"/>
              <w:rPr/>
            </w:pPr>
            <w:r>
              <w:rPr/>
              <w:t>Size</w:t>
            </w:r>
          </w:p>
        </w:tc>
        <w:tc>
          <w:tcPr>
            <w:tcW w:w="2410" w:type="dxa"/>
            <w:tcBorders/>
          </w:tcPr>
          <w:p>
            <w:pPr>
              <w:pStyle w:val="TableContents"/>
              <w:widowControl w:val="false"/>
              <w:suppressLineNumbers/>
              <w:bidi w:val="0"/>
              <w:jc w:val="start"/>
              <w:rPr/>
            </w:pPr>
            <w:r>
              <w:rPr/>
              <w:t>Employees</w:t>
            </w:r>
          </w:p>
        </w:tc>
        <w:tc>
          <w:tcPr>
            <w:tcW w:w="2409" w:type="dxa"/>
            <w:tcBorders/>
          </w:tcPr>
          <w:p>
            <w:pPr>
              <w:pStyle w:val="TableContents"/>
              <w:widowControl w:val="false"/>
              <w:suppressLineNumbers/>
              <w:bidi w:val="0"/>
              <w:jc w:val="start"/>
              <w:rPr/>
            </w:pPr>
            <w:r>
              <w:rPr/>
              <w:t>Base P(breach/year)</w:t>
            </w:r>
          </w:p>
        </w:tc>
        <w:tc>
          <w:tcPr>
            <w:tcW w:w="2410" w:type="dxa"/>
            <w:tcBorders/>
          </w:tcPr>
          <w:p>
            <w:pPr>
              <w:pStyle w:val="TableContents"/>
              <w:widowControl w:val="false"/>
              <w:suppressLineNumbers/>
              <w:bidi w:val="0"/>
              <w:jc w:val="start"/>
              <w:rPr/>
            </w:pPr>
            <w:r>
              <w:rPr/>
              <w:t>Source calibration</w:t>
            </w:r>
          </w:p>
        </w:tc>
      </w:tr>
      <w:tr>
        <w:trPr/>
        <w:tc>
          <w:tcPr>
            <w:tcW w:w="2409" w:type="dxa"/>
            <w:tcBorders/>
          </w:tcPr>
          <w:p>
            <w:pPr>
              <w:pStyle w:val="TableContents"/>
              <w:widowControl w:val="false"/>
              <w:suppressLineNumbers/>
              <w:bidi w:val="0"/>
              <w:jc w:val="start"/>
              <w:rPr/>
            </w:pPr>
            <w:r>
              <w:rPr/>
              <w:t>MICRO</w:t>
            </w:r>
          </w:p>
        </w:tc>
        <w:tc>
          <w:tcPr>
            <w:tcW w:w="2410" w:type="dxa"/>
            <w:tcBorders/>
          </w:tcPr>
          <w:p>
            <w:pPr>
              <w:pStyle w:val="TableContents"/>
              <w:widowControl w:val="false"/>
              <w:suppressLineNumbers/>
              <w:bidi w:val="0"/>
              <w:jc w:val="start"/>
              <w:rPr/>
            </w:pPr>
            <w:r>
              <w:rPr/>
              <w:t>0–9</w:t>
            </w:r>
          </w:p>
        </w:tc>
        <w:tc>
          <w:tcPr>
            <w:tcW w:w="2409" w:type="dxa"/>
            <w:tcBorders/>
          </w:tcPr>
          <w:p>
            <w:pPr>
              <w:pStyle w:val="TableContents"/>
              <w:widowControl w:val="false"/>
              <w:suppressLineNumbers/>
              <w:bidi w:val="0"/>
              <w:jc w:val="start"/>
              <w:rPr/>
            </w:pPr>
            <w:r>
              <w:rPr/>
              <w:t>6%</w:t>
            </w:r>
          </w:p>
        </w:tc>
        <w:tc>
          <w:tcPr>
            <w:tcW w:w="2410" w:type="dxa"/>
            <w:tcBorders/>
          </w:tcPr>
          <w:p>
            <w:pPr>
              <w:pStyle w:val="TableContents"/>
              <w:widowControl w:val="false"/>
              <w:suppressLineNumbers/>
              <w:bidi w:val="0"/>
              <w:jc w:val="start"/>
              <w:rPr/>
            </w:pPr>
            <w:r>
              <w:rPr/>
              <w:t>Hiscox 2024: ~5% for &lt;10 FTE</w:t>
            </w:r>
          </w:p>
        </w:tc>
      </w:tr>
      <w:tr>
        <w:trPr/>
        <w:tc>
          <w:tcPr>
            <w:tcW w:w="2409" w:type="dxa"/>
            <w:tcBorders/>
          </w:tcPr>
          <w:p>
            <w:pPr>
              <w:pStyle w:val="TableContents"/>
              <w:widowControl w:val="false"/>
              <w:suppressLineNumbers/>
              <w:bidi w:val="0"/>
              <w:jc w:val="start"/>
              <w:rPr/>
            </w:pPr>
            <w:r>
              <w:rPr/>
              <w:t>SMALL</w:t>
            </w:r>
          </w:p>
        </w:tc>
        <w:tc>
          <w:tcPr>
            <w:tcW w:w="2410" w:type="dxa"/>
            <w:tcBorders/>
          </w:tcPr>
          <w:p>
            <w:pPr>
              <w:pStyle w:val="TableContents"/>
              <w:widowControl w:val="false"/>
              <w:suppressLineNumbers/>
              <w:bidi w:val="0"/>
              <w:jc w:val="start"/>
              <w:rPr/>
            </w:pPr>
            <w:r>
              <w:rPr/>
              <w:t>10–49</w:t>
            </w:r>
          </w:p>
        </w:tc>
        <w:tc>
          <w:tcPr>
            <w:tcW w:w="2409" w:type="dxa"/>
            <w:tcBorders/>
          </w:tcPr>
          <w:p>
            <w:pPr>
              <w:pStyle w:val="TableContents"/>
              <w:widowControl w:val="false"/>
              <w:suppressLineNumbers/>
              <w:bidi w:val="0"/>
              <w:jc w:val="start"/>
              <w:rPr/>
            </w:pPr>
            <w:r>
              <w:rPr/>
              <w:t>10</w:t>
            </w:r>
            <w:r>
              <w:rPr/>
              <w:t>%</w:t>
            </w:r>
          </w:p>
        </w:tc>
        <w:tc>
          <w:tcPr>
            <w:tcW w:w="2410" w:type="dxa"/>
            <w:tcBorders/>
          </w:tcPr>
          <w:p>
            <w:pPr>
              <w:pStyle w:val="TableContents"/>
              <w:widowControl w:val="false"/>
              <w:suppressLineNumbers/>
              <w:bidi w:val="0"/>
              <w:jc w:val="start"/>
              <w:rPr/>
            </w:pPr>
            <w:r>
              <w:rPr/>
              <w:t>Hiscox 2024: ~12% for 10–49</w:t>
            </w:r>
          </w:p>
        </w:tc>
      </w:tr>
      <w:tr>
        <w:trPr/>
        <w:tc>
          <w:tcPr>
            <w:tcW w:w="2409" w:type="dxa"/>
            <w:tcBorders/>
          </w:tcPr>
          <w:p>
            <w:pPr>
              <w:pStyle w:val="TableContents"/>
              <w:widowControl w:val="false"/>
              <w:suppressLineNumbers/>
              <w:bidi w:val="0"/>
              <w:jc w:val="start"/>
              <w:rPr/>
            </w:pPr>
            <w:r>
              <w:rPr/>
              <w:t>MEDIUM</w:t>
            </w:r>
          </w:p>
        </w:tc>
        <w:tc>
          <w:tcPr>
            <w:tcW w:w="2410" w:type="dxa"/>
            <w:tcBorders/>
          </w:tcPr>
          <w:p>
            <w:pPr>
              <w:pStyle w:val="TableContents"/>
              <w:widowControl w:val="false"/>
              <w:suppressLineNumbers/>
              <w:bidi w:val="0"/>
              <w:jc w:val="start"/>
              <w:rPr/>
            </w:pPr>
            <w:r>
              <w:rPr/>
              <w:t>50–249</w:t>
            </w:r>
          </w:p>
        </w:tc>
        <w:tc>
          <w:tcPr>
            <w:tcW w:w="2409" w:type="dxa"/>
            <w:tcBorders/>
          </w:tcPr>
          <w:p>
            <w:pPr>
              <w:pStyle w:val="TableContents"/>
              <w:widowControl w:val="false"/>
              <w:suppressLineNumbers/>
              <w:bidi w:val="0"/>
              <w:jc w:val="start"/>
              <w:rPr/>
            </w:pPr>
            <w:r>
              <w:rPr/>
              <w:t>18</w:t>
            </w:r>
            <w:r>
              <w:rPr/>
              <w:t>%</w:t>
            </w:r>
          </w:p>
        </w:tc>
        <w:tc>
          <w:tcPr>
            <w:tcW w:w="2410" w:type="dxa"/>
            <w:tcBorders/>
          </w:tcPr>
          <w:p>
            <w:pPr>
              <w:pStyle w:val="TableContents"/>
              <w:widowControl w:val="false"/>
              <w:suppressLineNumbers/>
              <w:bidi w:val="0"/>
              <w:jc w:val="start"/>
              <w:rPr/>
            </w:pPr>
            <w:r>
              <w:rPr/>
              <w:t>IBM/Ponemon: ~15–20% for mid-market</w:t>
            </w:r>
          </w:p>
        </w:tc>
      </w:tr>
      <w:tr>
        <w:trPr/>
        <w:tc>
          <w:tcPr>
            <w:tcW w:w="2409" w:type="dxa"/>
            <w:tcBorders/>
          </w:tcPr>
          <w:p>
            <w:pPr>
              <w:pStyle w:val="TableContents"/>
              <w:widowControl w:val="false"/>
              <w:suppressLineNumbers/>
              <w:bidi w:val="0"/>
              <w:jc w:val="start"/>
              <w:rPr/>
            </w:pPr>
            <w:r>
              <w:rPr/>
              <w:t>LARGE</w:t>
            </w:r>
          </w:p>
        </w:tc>
        <w:tc>
          <w:tcPr>
            <w:tcW w:w="2410" w:type="dxa"/>
            <w:tcBorders/>
          </w:tcPr>
          <w:p>
            <w:pPr>
              <w:pStyle w:val="TableContents"/>
              <w:widowControl w:val="false"/>
              <w:suppressLineNumbers/>
              <w:bidi w:val="0"/>
              <w:jc w:val="start"/>
              <w:rPr/>
            </w:pPr>
            <w:r>
              <w:rPr/>
              <w:t>250–999</w:t>
            </w:r>
          </w:p>
        </w:tc>
        <w:tc>
          <w:tcPr>
            <w:tcW w:w="2409" w:type="dxa"/>
            <w:tcBorders/>
          </w:tcPr>
          <w:p>
            <w:pPr>
              <w:pStyle w:val="TableContents"/>
              <w:bidi w:val="0"/>
              <w:jc w:val="start"/>
              <w:rPr/>
            </w:pPr>
            <w:r>
              <w:rPr/>
              <w:t>25%</w:t>
            </w:r>
          </w:p>
        </w:tc>
        <w:tc>
          <w:tcPr>
            <w:tcW w:w="2410" w:type="dxa"/>
            <w:tcBorders/>
          </w:tcPr>
          <w:p>
            <w:pPr>
              <w:pStyle w:val="TableContents"/>
              <w:widowControl w:val="false"/>
              <w:suppressLineNumbers/>
              <w:bidi w:val="0"/>
              <w:jc w:val="start"/>
              <w:rPr/>
            </w:pPr>
            <w:r>
              <w:rPr/>
              <w:t>Cyentia IRIS: scales log-linearly</w:t>
            </w:r>
          </w:p>
        </w:tc>
      </w:tr>
      <w:tr>
        <w:trPr>
          <w:trHeight w:val="325" w:hRule="atLeast"/>
        </w:trPr>
        <w:tc>
          <w:tcPr>
            <w:tcW w:w="2409" w:type="dxa"/>
            <w:tcBorders/>
          </w:tcPr>
          <w:p>
            <w:pPr>
              <w:pStyle w:val="TableContents"/>
              <w:widowControl w:val="false"/>
              <w:suppressLineNumbers/>
              <w:bidi w:val="0"/>
              <w:jc w:val="start"/>
              <w:rPr/>
            </w:pPr>
            <w:r>
              <w:rPr/>
              <w:t>ENTERPRISE</w:t>
            </w:r>
          </w:p>
        </w:tc>
        <w:tc>
          <w:tcPr>
            <w:tcW w:w="2410" w:type="dxa"/>
            <w:tcBorders/>
          </w:tcPr>
          <w:p>
            <w:pPr>
              <w:pStyle w:val="TableContents"/>
              <w:widowControl w:val="false"/>
              <w:suppressLineNumbers/>
              <w:bidi w:val="0"/>
              <w:jc w:val="start"/>
              <w:rPr/>
            </w:pPr>
            <w:r>
              <w:rPr/>
              <w:t>1000+</w:t>
            </w:r>
          </w:p>
        </w:tc>
        <w:tc>
          <w:tcPr>
            <w:tcW w:w="2409" w:type="dxa"/>
            <w:tcBorders/>
          </w:tcPr>
          <w:p>
            <w:pPr>
              <w:pStyle w:val="TableContents"/>
              <w:bidi w:val="0"/>
              <w:jc w:val="start"/>
              <w:rPr/>
            </w:pPr>
            <w:r>
              <w:rPr/>
              <w:t>33%</w:t>
            </w:r>
          </w:p>
        </w:tc>
        <w:tc>
          <w:tcPr>
            <w:tcW w:w="2410" w:type="dxa"/>
            <w:tcBorders/>
          </w:tcPr>
          <w:p>
            <w:pPr>
              <w:pStyle w:val="TableContents"/>
              <w:widowControl w:val="false"/>
              <w:suppressLineNumbers/>
              <w:bidi w:val="0"/>
              <w:jc w:val="start"/>
              <w:rPr/>
            </w:pPr>
            <w:r>
              <w:rPr/>
              <w:t>IBM: ~27% over 24 months → ~15%/yr, but large orgs have higher detection</w:t>
            </w:r>
          </w:p>
        </w:tc>
      </w:tr>
    </w:tbl>
    <w:p>
      <w:pPr>
        <w:pStyle w:val="Normal"/>
        <w:bidi w:val="0"/>
        <w:jc w:val="start"/>
        <w:rPr/>
      </w:pPr>
      <w:r>
        <w:rPr/>
      </w:r>
    </w:p>
    <w:p>
      <w:pPr>
        <w:pStyle w:val="Normal"/>
        <w:bidi w:val="0"/>
        <w:jc w:val="start"/>
        <w:rPr/>
      </w:pPr>
      <w:r>
        <w:rPr/>
      </w:r>
    </w:p>
    <w:p>
      <w:pPr>
        <w:pStyle w:val="Normal"/>
        <w:bidi w:val="0"/>
        <w:jc w:val="start"/>
        <w:rPr/>
      </w:pPr>
      <w:r>
        <w:rPr/>
        <w:t>These are material breach probabilities (significant operational/data impact), not all security incidents.</w:t>
      </w:r>
    </w:p>
    <w:p>
      <w:pPr>
        <w:pStyle w:val="Normal"/>
        <w:bidi w:val="0"/>
        <w:jc w:val="start"/>
        <w:rPr/>
      </w:pPr>
      <w:r>
        <w:rPr/>
      </w:r>
    </w:p>
    <w:p>
      <w:pPr>
        <w:pStyle w:val="Normal"/>
        <w:bidi w:val="0"/>
        <w:jc w:val="start"/>
        <w:rPr>
          <w:b/>
          <w:bCs/>
        </w:rPr>
      </w:pPr>
      <w:r>
        <w:rPr>
          <w:b/>
          <w:bCs/>
        </w:rPr>
        <w:t>Step 2: Industry modifier (log-odds adjustment)</w:t>
      </w:r>
    </w:p>
    <w:p>
      <w:pPr>
        <w:pStyle w:val="Normal"/>
        <w:bidi w:val="0"/>
        <w:jc w:val="start"/>
        <w:rPr/>
      </w:pPr>
      <w:r>
        <w:rPr/>
      </w:r>
    </w:p>
    <w:p>
      <w:pPr>
        <w:pStyle w:val="Normal"/>
        <w:bidi w:val="0"/>
        <w:jc w:val="start"/>
        <w:rPr/>
      </w:pPr>
      <w:r>
        <w:rPr/>
        <w:t>Derived from Verizon DBIR 2024 industry-specific breach frequency and IBM sector cost differentials:</w:t>
      </w:r>
    </w:p>
    <w:p>
      <w:pPr>
        <w:pStyle w:val="Normal"/>
        <w:bidi w:val="0"/>
        <w:jc w:val="start"/>
        <w:rPr/>
      </w:pPr>
      <w:r>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TableContents"/>
              <w:widowControl w:val="false"/>
              <w:suppressLineNumbers/>
              <w:bidi w:val="0"/>
              <w:jc w:val="start"/>
              <w:rPr/>
            </w:pPr>
            <w:r>
              <w:rPr/>
              <w:t>Sector</w:t>
            </w:r>
          </w:p>
        </w:tc>
        <w:tc>
          <w:tcPr>
            <w:tcW w:w="3213" w:type="dxa"/>
            <w:tcBorders/>
          </w:tcPr>
          <w:p>
            <w:pPr>
              <w:pStyle w:val="TableContents"/>
              <w:widowControl w:val="false"/>
              <w:suppressLineNumbers/>
              <w:bidi w:val="0"/>
              <w:jc w:val="start"/>
              <w:rPr/>
            </w:pPr>
            <w:r>
              <w:rPr/>
              <w:t>β_industry</w:t>
            </w:r>
          </w:p>
        </w:tc>
        <w:tc>
          <w:tcPr>
            <w:tcW w:w="3213" w:type="dxa"/>
            <w:tcBorders/>
          </w:tcPr>
          <w:p>
            <w:pPr>
              <w:pStyle w:val="TableContents"/>
              <w:widowControl w:val="false"/>
              <w:suppressLineNumbers/>
              <w:bidi w:val="0"/>
              <w:jc w:val="start"/>
              <w:rPr/>
            </w:pPr>
            <w:r>
              <w:rPr/>
              <w:t>Rationale</w:t>
            </w:r>
          </w:p>
        </w:tc>
      </w:tr>
      <w:tr>
        <w:trPr/>
        <w:tc>
          <w:tcPr>
            <w:tcW w:w="3212" w:type="dxa"/>
            <w:tcBorders/>
          </w:tcPr>
          <w:p>
            <w:pPr>
              <w:pStyle w:val="TableContents"/>
              <w:widowControl w:val="false"/>
              <w:suppressLineNumbers/>
              <w:bidi w:val="0"/>
              <w:jc w:val="start"/>
              <w:rPr/>
            </w:pPr>
            <w:r>
              <w:rPr/>
              <w:t>Healthcare</w:t>
            </w:r>
          </w:p>
        </w:tc>
        <w:tc>
          <w:tcPr>
            <w:tcW w:w="3213" w:type="dxa"/>
            <w:tcBorders/>
          </w:tcPr>
          <w:p>
            <w:pPr>
              <w:pStyle w:val="TableContents"/>
              <w:widowControl w:val="false"/>
              <w:suppressLineNumbers/>
              <w:bidi w:val="0"/>
              <w:jc w:val="start"/>
              <w:rPr/>
            </w:pPr>
            <w:r>
              <w:rPr/>
              <w:t>+0.40</w:t>
            </w:r>
          </w:p>
        </w:tc>
        <w:tc>
          <w:tcPr>
            <w:tcW w:w="3213" w:type="dxa"/>
            <w:tcBorders/>
          </w:tcPr>
          <w:p>
            <w:pPr>
              <w:pStyle w:val="TableContents"/>
              <w:widowControl w:val="false"/>
              <w:suppressLineNumbers/>
              <w:bidi w:val="0"/>
              <w:jc w:val="start"/>
              <w:rPr/>
            </w:pPr>
            <w:r>
              <w:rPr/>
              <w:t>Highest targeted (DBIR), high-value data</w:t>
            </w:r>
          </w:p>
        </w:tc>
      </w:tr>
      <w:tr>
        <w:trPr/>
        <w:tc>
          <w:tcPr>
            <w:tcW w:w="3212" w:type="dxa"/>
            <w:tcBorders/>
          </w:tcPr>
          <w:p>
            <w:pPr>
              <w:pStyle w:val="TableContents"/>
              <w:widowControl w:val="false"/>
              <w:suppressLineNumbers/>
              <w:bidi w:val="0"/>
              <w:jc w:val="start"/>
              <w:rPr/>
            </w:pPr>
            <w:r>
              <w:rPr/>
              <w:t>Financial</w:t>
            </w:r>
          </w:p>
        </w:tc>
        <w:tc>
          <w:tcPr>
            <w:tcW w:w="3213" w:type="dxa"/>
            <w:tcBorders/>
          </w:tcPr>
          <w:p>
            <w:pPr>
              <w:pStyle w:val="TableContents"/>
              <w:widowControl w:val="false"/>
              <w:suppressLineNumbers/>
              <w:bidi w:val="0"/>
              <w:jc w:val="start"/>
              <w:rPr/>
            </w:pPr>
            <w:r>
              <w:rPr/>
              <w:t>+0.</w:t>
            </w:r>
            <w:r>
              <w:rPr/>
              <w:t>3</w:t>
            </w:r>
            <w:r>
              <w:rPr/>
              <w:t>0</w:t>
            </w:r>
          </w:p>
        </w:tc>
        <w:tc>
          <w:tcPr>
            <w:tcW w:w="3213" w:type="dxa"/>
            <w:tcBorders/>
          </w:tcPr>
          <w:p>
            <w:pPr>
              <w:pStyle w:val="TableContents"/>
              <w:widowControl w:val="false"/>
              <w:suppressLineNumbers/>
              <w:bidi w:val="0"/>
              <w:jc w:val="start"/>
              <w:rPr/>
            </w:pPr>
            <w:r>
              <w:rPr/>
              <w:t>High-value target, regulated = more detection</w:t>
            </w:r>
          </w:p>
        </w:tc>
      </w:tr>
      <w:tr>
        <w:trPr/>
        <w:tc>
          <w:tcPr>
            <w:tcW w:w="3212" w:type="dxa"/>
            <w:tcBorders/>
          </w:tcPr>
          <w:p>
            <w:pPr>
              <w:pStyle w:val="TableContents"/>
              <w:widowControl w:val="false"/>
              <w:suppressLineNumbers/>
              <w:bidi w:val="0"/>
              <w:jc w:val="start"/>
              <w:rPr/>
            </w:pPr>
            <w:r>
              <w:rPr/>
              <w:t>Technology</w:t>
            </w:r>
          </w:p>
        </w:tc>
        <w:tc>
          <w:tcPr>
            <w:tcW w:w="3213" w:type="dxa"/>
            <w:tcBorders/>
          </w:tcPr>
          <w:p>
            <w:pPr>
              <w:pStyle w:val="TableContents"/>
              <w:widowControl w:val="false"/>
              <w:suppressLineNumbers/>
              <w:bidi w:val="0"/>
              <w:jc w:val="start"/>
              <w:rPr/>
            </w:pPr>
            <w:r>
              <w:rPr/>
              <w:t>+0.</w:t>
            </w:r>
            <w:r>
              <w:rPr/>
              <w:t>2</w:t>
            </w:r>
            <w:r>
              <w:rPr/>
              <w:t>0</w:t>
            </w:r>
          </w:p>
        </w:tc>
        <w:tc>
          <w:tcPr>
            <w:tcW w:w="3213" w:type="dxa"/>
            <w:tcBorders/>
          </w:tcPr>
          <w:p>
            <w:pPr>
              <w:pStyle w:val="TableContents"/>
              <w:widowControl w:val="false"/>
              <w:suppressLineNumbers/>
              <w:bidi w:val="0"/>
              <w:jc w:val="start"/>
              <w:rPr/>
            </w:pPr>
            <w:r>
              <w:rPr/>
              <w:t>Large attack surface, IP-rich</w:t>
            </w:r>
          </w:p>
        </w:tc>
      </w:tr>
      <w:tr>
        <w:trPr/>
        <w:tc>
          <w:tcPr>
            <w:tcW w:w="3212" w:type="dxa"/>
            <w:tcBorders/>
          </w:tcPr>
          <w:p>
            <w:pPr>
              <w:pStyle w:val="TableContents"/>
              <w:widowControl w:val="false"/>
              <w:suppressLineNumbers/>
              <w:bidi w:val="0"/>
              <w:jc w:val="start"/>
              <w:rPr/>
            </w:pPr>
            <w:r>
              <w:rPr/>
              <w:t>Energy</w:t>
            </w:r>
          </w:p>
        </w:tc>
        <w:tc>
          <w:tcPr>
            <w:tcW w:w="3213" w:type="dxa"/>
            <w:tcBorders/>
          </w:tcPr>
          <w:p>
            <w:pPr>
              <w:pStyle w:val="TableContents"/>
              <w:widowControl w:val="false"/>
              <w:suppressLineNumbers/>
              <w:bidi w:val="0"/>
              <w:jc w:val="start"/>
              <w:rPr/>
            </w:pPr>
            <w:r>
              <w:rPr/>
              <w:t>+0.</w:t>
            </w:r>
            <w:r>
              <w:rPr/>
              <w:t>15</w:t>
            </w:r>
          </w:p>
        </w:tc>
        <w:tc>
          <w:tcPr>
            <w:tcW w:w="3213" w:type="dxa"/>
            <w:tcBorders/>
          </w:tcPr>
          <w:p>
            <w:pPr>
              <w:pStyle w:val="TableContents"/>
              <w:widowControl w:val="false"/>
              <w:suppressLineNumbers/>
              <w:bidi w:val="0"/>
              <w:jc w:val="start"/>
              <w:rPr/>
            </w:pPr>
            <w:r>
              <w:rPr/>
              <w:t>OT exposure, nation-state interest</w:t>
            </w:r>
          </w:p>
        </w:tc>
      </w:tr>
      <w:tr>
        <w:trPr/>
        <w:tc>
          <w:tcPr>
            <w:tcW w:w="3212" w:type="dxa"/>
            <w:tcBorders/>
          </w:tcPr>
          <w:p>
            <w:pPr>
              <w:pStyle w:val="TableContents"/>
              <w:widowControl w:val="false"/>
              <w:suppressLineNumbers/>
              <w:bidi w:val="0"/>
              <w:jc w:val="start"/>
              <w:rPr/>
            </w:pPr>
            <w:r>
              <w:rPr/>
              <w:t>Education</w:t>
            </w:r>
          </w:p>
        </w:tc>
        <w:tc>
          <w:tcPr>
            <w:tcW w:w="3213" w:type="dxa"/>
            <w:tcBorders/>
          </w:tcPr>
          <w:p>
            <w:pPr>
              <w:pStyle w:val="TableContents"/>
              <w:widowControl w:val="false"/>
              <w:suppressLineNumbers/>
              <w:bidi w:val="0"/>
              <w:jc w:val="start"/>
              <w:rPr/>
            </w:pPr>
            <w:r>
              <w:rPr/>
              <w:t>+0.</w:t>
            </w:r>
            <w:r>
              <w:rPr/>
              <w:t>10</w:t>
            </w:r>
          </w:p>
        </w:tc>
        <w:tc>
          <w:tcPr>
            <w:tcW w:w="3213" w:type="dxa"/>
            <w:tcBorders/>
          </w:tcPr>
          <w:p>
            <w:pPr>
              <w:pStyle w:val="TableContents"/>
              <w:widowControl w:val="false"/>
              <w:suppressLineNumbers/>
              <w:bidi w:val="0"/>
              <w:jc w:val="start"/>
              <w:rPr/>
            </w:pPr>
            <w:r>
              <w:rPr/>
              <w:t>Under-resourced, large user bases</w:t>
            </w:r>
          </w:p>
        </w:tc>
      </w:tr>
      <w:tr>
        <w:trPr/>
        <w:tc>
          <w:tcPr>
            <w:tcW w:w="3212" w:type="dxa"/>
            <w:tcBorders/>
          </w:tcPr>
          <w:p>
            <w:pPr>
              <w:pStyle w:val="TableContents"/>
              <w:widowControl w:val="false"/>
              <w:suppressLineNumbers/>
              <w:bidi w:val="0"/>
              <w:jc w:val="start"/>
              <w:rPr/>
            </w:pPr>
            <w:r>
              <w:rPr/>
              <w:t>Retail</w:t>
            </w:r>
          </w:p>
        </w:tc>
        <w:tc>
          <w:tcPr>
            <w:tcW w:w="3213" w:type="dxa"/>
            <w:tcBorders/>
          </w:tcPr>
          <w:p>
            <w:pPr>
              <w:pStyle w:val="TableContents"/>
              <w:widowControl w:val="false"/>
              <w:suppressLineNumbers/>
              <w:bidi w:val="0"/>
              <w:jc w:val="start"/>
              <w:rPr/>
            </w:pPr>
            <w:r>
              <w:rPr/>
              <w:t>+0.</w:t>
            </w:r>
            <w:r>
              <w:rPr/>
              <w:t>05</w:t>
            </w:r>
          </w:p>
        </w:tc>
        <w:tc>
          <w:tcPr>
            <w:tcW w:w="3213" w:type="dxa"/>
            <w:tcBorders/>
          </w:tcPr>
          <w:p>
            <w:pPr>
              <w:pStyle w:val="TableContents"/>
              <w:widowControl w:val="false"/>
              <w:suppressLineNumbers/>
              <w:bidi w:val="0"/>
              <w:jc w:val="start"/>
              <w:rPr/>
            </w:pPr>
            <w:r>
              <w:rPr/>
              <w:t>Payment card data, but better PCI controls</w:t>
            </w:r>
          </w:p>
        </w:tc>
      </w:tr>
      <w:tr>
        <w:trPr/>
        <w:tc>
          <w:tcPr>
            <w:tcW w:w="3212" w:type="dxa"/>
            <w:tcBorders/>
          </w:tcPr>
          <w:p>
            <w:pPr>
              <w:pStyle w:val="TableContents"/>
              <w:widowControl w:val="false"/>
              <w:suppressLineNumbers/>
              <w:bidi w:val="0"/>
              <w:jc w:val="start"/>
              <w:rPr/>
            </w:pPr>
            <w:r>
              <w:rPr/>
              <w:t>Services</w:t>
            </w:r>
          </w:p>
        </w:tc>
        <w:tc>
          <w:tcPr>
            <w:tcW w:w="3213" w:type="dxa"/>
            <w:tcBorders/>
          </w:tcPr>
          <w:p>
            <w:pPr>
              <w:pStyle w:val="TableContents"/>
              <w:widowControl w:val="false"/>
              <w:suppressLineNumbers/>
              <w:bidi w:val="0"/>
              <w:jc w:val="start"/>
              <w:rPr/>
            </w:pPr>
            <w:r>
              <w:rPr/>
              <w:t>+0.</w:t>
            </w:r>
            <w:r>
              <w:rPr/>
              <w:t>00</w:t>
            </w:r>
          </w:p>
        </w:tc>
        <w:tc>
          <w:tcPr>
            <w:tcW w:w="3213" w:type="dxa"/>
            <w:tcBorders/>
          </w:tcPr>
          <w:p>
            <w:pPr>
              <w:pStyle w:val="TableContents"/>
              <w:widowControl w:val="false"/>
              <w:suppressLineNumbers/>
              <w:bidi w:val="0"/>
              <w:jc w:val="start"/>
              <w:rPr/>
            </w:pPr>
            <w:r>
              <w:rPr/>
              <w:t>Baseline</w:t>
            </w:r>
          </w:p>
        </w:tc>
      </w:tr>
      <w:tr>
        <w:trPr/>
        <w:tc>
          <w:tcPr>
            <w:tcW w:w="3212" w:type="dxa"/>
            <w:tcBorders/>
          </w:tcPr>
          <w:p>
            <w:pPr>
              <w:pStyle w:val="TableContents"/>
              <w:widowControl w:val="false"/>
              <w:suppressLineNumbers/>
              <w:bidi w:val="0"/>
              <w:jc w:val="start"/>
              <w:rPr/>
            </w:pPr>
            <w:r>
              <w:rPr/>
              <w:t>Industrial/Manufacturing</w:t>
            </w:r>
          </w:p>
        </w:tc>
        <w:tc>
          <w:tcPr>
            <w:tcW w:w="3213" w:type="dxa"/>
            <w:tcBorders/>
          </w:tcPr>
          <w:p>
            <w:pPr>
              <w:pStyle w:val="TableContents"/>
              <w:widowControl w:val="false"/>
              <w:suppressLineNumbers/>
              <w:bidi w:val="0"/>
              <w:jc w:val="start"/>
              <w:rPr/>
            </w:pPr>
            <w:r>
              <w:rPr/>
              <w:t>-0.05</w:t>
            </w:r>
          </w:p>
        </w:tc>
        <w:tc>
          <w:tcPr>
            <w:tcW w:w="3213" w:type="dxa"/>
            <w:tcBorders/>
          </w:tcPr>
          <w:p>
            <w:pPr>
              <w:pStyle w:val="TableContents"/>
              <w:widowControl w:val="false"/>
              <w:suppressLineNumbers/>
              <w:bidi w:val="0"/>
              <w:jc w:val="start"/>
              <w:rPr/>
            </w:pPr>
            <w:r>
              <w:rPr/>
              <w:t>Less data-rich, but OT risk emerging</w:t>
            </w:r>
          </w:p>
        </w:tc>
      </w:tr>
      <w:tr>
        <w:trPr/>
        <w:tc>
          <w:tcPr>
            <w:tcW w:w="3212" w:type="dxa"/>
            <w:tcBorders/>
          </w:tcPr>
          <w:p>
            <w:pPr>
              <w:pStyle w:val="TableContents"/>
              <w:widowControl w:val="false"/>
              <w:suppressLineNumbers/>
              <w:bidi w:val="0"/>
              <w:jc w:val="start"/>
              <w:rPr/>
            </w:pPr>
            <w:r>
              <w:rPr/>
              <w:t>Public</w:t>
            </w:r>
          </w:p>
        </w:tc>
        <w:tc>
          <w:tcPr>
            <w:tcW w:w="3213" w:type="dxa"/>
            <w:tcBorders/>
          </w:tcPr>
          <w:p>
            <w:pPr>
              <w:pStyle w:val="TableContents"/>
              <w:widowControl w:val="false"/>
              <w:suppressLineNumbers/>
              <w:bidi w:val="0"/>
              <w:jc w:val="start"/>
              <w:rPr/>
            </w:pPr>
            <w:r>
              <w:rPr/>
              <w:t>-0.10</w:t>
            </w:r>
          </w:p>
        </w:tc>
        <w:tc>
          <w:tcPr>
            <w:tcW w:w="3213" w:type="dxa"/>
            <w:tcBorders/>
          </w:tcPr>
          <w:p>
            <w:pPr>
              <w:pStyle w:val="TableContents"/>
              <w:widowControl w:val="false"/>
              <w:suppressLineNumbers/>
              <w:bidi w:val="0"/>
              <w:jc w:val="start"/>
              <w:rPr/>
            </w:pPr>
            <w:r>
              <w:rPr/>
              <w:t>Lower target value for financial criminals</w:t>
            </w:r>
          </w:p>
        </w:tc>
      </w:tr>
    </w:tbl>
    <w:p>
      <w:pPr>
        <w:pStyle w:val="Normal"/>
        <w:bidi w:val="0"/>
        <w:jc w:val="start"/>
        <w:rPr/>
      </w:pPr>
      <w:r>
        <w:rPr/>
      </w:r>
    </w:p>
    <w:p>
      <w:pPr>
        <w:pStyle w:val="Normal"/>
        <w:bidi w:val="0"/>
        <w:jc w:val="start"/>
        <w:rPr>
          <w:b/>
          <w:bCs/>
        </w:rPr>
      </w:pPr>
      <w:r>
        <w:rPr>
          <w:b/>
          <w:bCs/>
        </w:rPr>
        <w:t>Step 3: CIS Controls maturity modifier (largest effect)</w:t>
      </w:r>
    </w:p>
    <w:p>
      <w:pPr>
        <w:pStyle w:val="Normal"/>
        <w:bidi w:val="0"/>
        <w:jc w:val="start"/>
        <w:rPr/>
      </w:pPr>
      <w:r>
        <w:rPr/>
      </w:r>
    </w:p>
    <w:p>
      <w:pPr>
        <w:pStyle w:val="Normal"/>
        <w:bidi w:val="0"/>
        <w:jc w:val="start"/>
        <w:rPr/>
      </w:pPr>
      <w:r>
        <w:rPr/>
        <w:t>This is the most impactful and actionable factor. Decompose into three control sub-groups using the full GAP assessment:</w:t>
      </w:r>
    </w:p>
    <w:p>
      <w:pPr>
        <w:pStyle w:val="Normal"/>
        <w:bidi w:val="0"/>
        <w:jc w:val="start"/>
        <w:rPr/>
      </w:pPr>
      <w:r>
        <w:rPr/>
      </w:r>
    </w:p>
    <w:p>
      <w:pPr>
        <w:pStyle w:val="Normal"/>
        <w:bidi w:val="0"/>
        <w:jc w:val="start"/>
        <w:rPr/>
      </w:pPr>
      <w:r>
        <w:rPr>
          <w:b/>
          <w:bCs/>
        </w:rPr>
        <w:t>Preventive Controls</w:t>
      </w:r>
      <w:r>
        <w:rPr/>
        <w:t xml:space="preserve"> (weighted 45% of maturity effect):</w:t>
      </w:r>
    </w:p>
    <w:p>
      <w:pPr>
        <w:pStyle w:val="Normal"/>
        <w:bidi w:val="0"/>
        <w:jc w:val="start"/>
        <w:rPr/>
      </w:pPr>
      <w:r>
        <w:rPr/>
        <w:t>- CIS 4: Secure Configuration</w:t>
      </w:r>
    </w:p>
    <w:p>
      <w:pPr>
        <w:pStyle w:val="Normal"/>
        <w:bidi w:val="0"/>
        <w:jc w:val="start"/>
        <w:rPr/>
      </w:pPr>
      <w:r>
        <w:rPr/>
        <w:t>- CIS 5: Account Management</w:t>
      </w:r>
    </w:p>
    <w:p>
      <w:pPr>
        <w:pStyle w:val="Normal"/>
        <w:bidi w:val="0"/>
        <w:jc w:val="start"/>
        <w:rPr/>
      </w:pPr>
      <w:r>
        <w:rPr/>
        <w:t>- CIS 6: Access Control Management</w:t>
      </w:r>
    </w:p>
    <w:p>
      <w:pPr>
        <w:pStyle w:val="Normal"/>
        <w:bidi w:val="0"/>
        <w:jc w:val="start"/>
        <w:rPr/>
      </w:pPr>
      <w:r>
        <w:rPr/>
        <w:t>- CIS 7: Continuous Vulnerability Management</w:t>
      </w:r>
    </w:p>
    <w:p>
      <w:pPr>
        <w:pStyle w:val="Normal"/>
        <w:bidi w:val="0"/>
        <w:jc w:val="start"/>
        <w:rPr/>
      </w:pPr>
      <w:r>
        <w:rPr/>
        <w:t>- CIS 10: Malware Defenses</w:t>
      </w:r>
    </w:p>
    <w:p>
      <w:pPr>
        <w:pStyle w:val="Normal"/>
        <w:bidi w:val="0"/>
        <w:jc w:val="start"/>
        <w:rPr/>
      </w:pPr>
      <w:r>
        <w:rPr/>
        <w:t>- CIS 12: Network Infrastructure Management</w:t>
      </w:r>
    </w:p>
    <w:p>
      <w:pPr>
        <w:pStyle w:val="Normal"/>
        <w:bidi w:val="0"/>
        <w:jc w:val="start"/>
        <w:rPr/>
      </w:pPr>
      <w:r>
        <w:rPr/>
        <w:t>- CIS 14: Security Awareness Training</w:t>
      </w:r>
    </w:p>
    <w:p>
      <w:pPr>
        <w:pStyle w:val="Normal"/>
        <w:bidi w:val="0"/>
        <w:jc w:val="start"/>
        <w:rPr/>
      </w:pPr>
      <w:r>
        <w:rPr/>
      </w:r>
    </w:p>
    <w:p>
      <w:pPr>
        <w:pStyle w:val="Normal"/>
        <w:bidi w:val="0"/>
        <w:jc w:val="start"/>
        <w:rPr/>
      </w:pPr>
      <w:r>
        <w:rPr>
          <w:b/>
          <w:bCs/>
        </w:rPr>
        <w:t>Detective Controls</w:t>
      </w:r>
      <w:r>
        <w:rPr/>
        <w:t xml:space="preserve"> (weighted 35%):</w:t>
      </w:r>
    </w:p>
    <w:p>
      <w:pPr>
        <w:pStyle w:val="Normal"/>
        <w:bidi w:val="0"/>
        <w:jc w:val="start"/>
        <w:rPr/>
      </w:pPr>
      <w:r>
        <w:rPr/>
        <w:t>- CIS 8: Audit Log Management (8.1–8.12)</w:t>
      </w:r>
    </w:p>
    <w:p>
      <w:pPr>
        <w:pStyle w:val="Normal"/>
        <w:bidi w:val="0"/>
        <w:jc w:val="start"/>
        <w:rPr/>
      </w:pPr>
      <w:r>
        <w:rPr/>
        <w:t>- CIS 9: Email and Web Browser Protections</w:t>
      </w:r>
    </w:p>
    <w:p>
      <w:pPr>
        <w:pStyle w:val="Normal"/>
        <w:bidi w:val="0"/>
        <w:jc w:val="start"/>
        <w:rPr/>
      </w:pPr>
      <w:r>
        <w:rPr/>
        <w:t>- CIS 13: Network Monitoring and Defense</w:t>
      </w:r>
    </w:p>
    <w:p>
      <w:pPr>
        <w:pStyle w:val="Normal"/>
        <w:bidi w:val="0"/>
        <w:jc w:val="start"/>
        <w:rPr/>
      </w:pPr>
      <w:r>
        <w:rPr/>
      </w:r>
    </w:p>
    <w:p>
      <w:pPr>
        <w:pStyle w:val="Normal"/>
        <w:bidi w:val="0"/>
        <w:jc w:val="start"/>
        <w:rPr/>
      </w:pPr>
      <w:r>
        <w:rPr/>
        <w:t>Data Protection Controls (weighted 20%):</w:t>
      </w:r>
    </w:p>
    <w:p>
      <w:pPr>
        <w:pStyle w:val="Normal"/>
        <w:bidi w:val="0"/>
        <w:jc w:val="start"/>
        <w:rPr/>
      </w:pPr>
      <w:r>
        <w:rPr/>
        <w:t>- CIS 3: Data Protection</w:t>
      </w:r>
    </w:p>
    <w:p>
      <w:pPr>
        <w:pStyle w:val="Normal"/>
        <w:bidi w:val="0"/>
        <w:jc w:val="start"/>
        <w:rPr/>
      </w:pPr>
      <w:r>
        <w:rPr/>
        <w:t>- CIS 11: Data Recovery (overlaps with existing CONC restore)</w:t>
      </w:r>
    </w:p>
    <w:p>
      <w:pPr>
        <w:pStyle w:val="Normal"/>
        <w:bidi w:val="0"/>
        <w:jc w:val="start"/>
        <w:rPr/>
      </w:pPr>
      <w:r>
        <w:rPr/>
        <w:t>- CIS 15: Service Provider Management</w:t>
      </w:r>
    </w:p>
    <w:p>
      <w:pPr>
        <w:pStyle w:val="Normal"/>
        <w:bidi w:val="0"/>
        <w:jc w:val="start"/>
        <w:rPr/>
      </w:pPr>
      <w:r>
        <w:rPr/>
        <w:t>- CIS 16: Application Software Security</w:t>
      </w:r>
    </w:p>
    <w:p>
      <w:pPr>
        <w:pStyle w:val="Normal"/>
        <w:bidi w:val="0"/>
        <w:jc w:val="start"/>
        <w:rPr/>
      </w:pPr>
      <w:r>
        <w:rPr/>
      </w:r>
    </w:p>
    <w:p>
      <w:pPr>
        <w:pStyle w:val="Normal"/>
        <w:bidi w:val="0"/>
        <w:jc w:val="start"/>
        <w:rPr/>
      </w:pPr>
      <w:r>
        <w:rPr/>
        <w:t>For each sub-group, compute average CMMI (1–5), then:</w:t>
      </w:r>
    </w:p>
    <w:p>
      <w:pPr>
        <w:pStyle w:val="Normal"/>
        <w:bidi w:val="0"/>
        <w:jc w:val="start"/>
        <w:rPr/>
      </w:pPr>
      <w:r>
        <w:rPr/>
      </w:r>
    </w:p>
    <w:p>
      <w:pPr>
        <w:pStyle w:val="Normal"/>
        <w:bidi w:val="0"/>
        <w:jc w:val="start"/>
        <w:rPr/>
      </w:pPr>
      <w:r>
        <w:rPr/>
        <w:t>β_maturity = -0.8 × ((weighted_avg_cmmi - 1) / 4)</w:t>
      </w:r>
    </w:p>
    <w:p>
      <w:pPr>
        <w:pStyle w:val="Normal"/>
        <w:bidi w:val="0"/>
        <w:jc w:val="start"/>
        <w:rPr/>
      </w:pPr>
      <w:r>
        <w:rPr/>
      </w:r>
    </w:p>
    <w:p>
      <w:pPr>
        <w:pStyle w:val="Normal"/>
        <w:bidi w:val="0"/>
        <w:jc w:val="start"/>
        <w:rPr/>
      </w:pPr>
      <w:r>
        <w:rPr/>
        <w:t xml:space="preserve">Range: </w:t>
      </w:r>
      <w:r>
        <w:rPr>
          <w:b/>
          <w:bCs/>
        </w:rPr>
        <w:t>0.0 (CMMI 1) to -0.8 (CMMI 5</w:t>
      </w:r>
      <w:r>
        <w:rPr/>
        <w:t>)</w:t>
      </w:r>
    </w:p>
    <w:p>
      <w:pPr>
        <w:pStyle w:val="Normal"/>
        <w:bidi w:val="0"/>
        <w:jc w:val="start"/>
        <w:rPr/>
      </w:pPr>
      <w:r>
        <w:rPr/>
      </w:r>
    </w:p>
    <w:p>
      <w:pPr>
        <w:pStyle w:val="Normal"/>
        <w:bidi w:val="0"/>
        <w:jc w:val="start"/>
        <w:rPr/>
      </w:pPr>
      <w:r>
        <w:rPr/>
        <w:t>This means a fully mature organization reduces its breach odds by ~55% vs. an immature one. Calibrated from:</w:t>
      </w:r>
    </w:p>
    <w:p>
      <w:pPr>
        <w:pStyle w:val="Normal"/>
        <w:bidi w:val="0"/>
        <w:jc w:val="start"/>
        <w:rPr/>
      </w:pPr>
      <w:r>
        <w:rPr/>
      </w:r>
    </w:p>
    <w:p>
      <w:pPr>
        <w:pStyle w:val="Normal"/>
        <w:bidi w:val="0"/>
        <w:jc w:val="start"/>
        <w:rPr/>
      </w:pPr>
      <w:r>
        <w:rPr/>
        <w:t>- IBM 2024: organizations with security AI/automation (CMMI 4–5 equivalent) had 108 fewer days to identify breaches and $2.22M lower costs</w:t>
      </w:r>
    </w:p>
    <w:p>
      <w:pPr>
        <w:pStyle w:val="Normal"/>
        <w:bidi w:val="0"/>
        <w:jc w:val="start"/>
        <w:rPr/>
      </w:pPr>
      <w:r>
        <w:rPr/>
        <w:t>- Cyentia IRIS: organizations in top quintile of security maturity had ~45% fewer breaches</w:t>
      </w:r>
    </w:p>
    <w:p>
      <w:pPr>
        <w:pStyle w:val="Normal"/>
        <w:bidi w:val="0"/>
        <w:jc w:val="start"/>
        <w:rPr/>
      </w:pPr>
      <w:r>
        <w:rPr/>
        <w:t>- SANS 2023: CIS Controls adoption correlates with ~40–60% reduction in successful attacks</w:t>
      </w:r>
    </w:p>
    <w:p>
      <w:pPr>
        <w:pStyle w:val="Normal"/>
        <w:bidi w:val="0"/>
        <w:jc w:val="start"/>
        <w:rPr/>
      </w:pPr>
      <w:r>
        <w:rPr/>
      </w:r>
    </w:p>
    <w:p>
      <w:pPr>
        <w:pStyle w:val="Normal"/>
        <w:bidi w:val="0"/>
        <w:jc w:val="start"/>
        <w:rPr>
          <w:b/>
          <w:bCs/>
        </w:rPr>
      </w:pPr>
      <w:r>
        <w:rPr>
          <w:b/>
          <w:bCs/>
        </w:rPr>
        <w:t>Step 4: Data attractiveness modifier</w:t>
      </w:r>
    </w:p>
    <w:p>
      <w:pPr>
        <w:pStyle w:val="Normal"/>
        <w:bidi w:val="0"/>
        <w:jc w:val="start"/>
        <w:rPr>
          <w:b/>
          <w:bCs/>
        </w:rPr>
      </w:pPr>
      <w:r>
        <w:rPr>
          <w:b/>
          <w:bCs/>
        </w:rPr>
      </w:r>
    </w:p>
    <w:p>
      <w:pPr>
        <w:pStyle w:val="Normal"/>
        <w:bidi w:val="0"/>
        <w:jc w:val="start"/>
        <w:rPr/>
      </w:pPr>
      <w:r>
        <w:rPr/>
        <w:t>Higher-value data attracts more sophisticated and persistent attackers:</w:t>
      </w:r>
    </w:p>
    <w:p>
      <w:pPr>
        <w:pStyle w:val="Normal"/>
        <w:bidi w:val="0"/>
        <w:jc w:val="start"/>
        <w:rPr>
          <w:b/>
          <w:bCs/>
        </w:rPr>
      </w:pPr>
      <w:r>
        <w:rPr>
          <w:b/>
          <w:bCs/>
        </w:rPr>
      </w:r>
    </w:p>
    <w:tbl>
      <w:tblPr>
        <w:tblW w:w="5000" w:type="pct"/>
        <w:jc w:val="start"/>
        <w:tblInd w:w="0" w:type="dxa"/>
        <w:tblLayout w:type="fixed"/>
        <w:tblCellMar>
          <w:top w:w="0" w:type="dxa"/>
          <w:start w:w="0" w:type="dxa"/>
          <w:bottom w:w="0" w:type="dxa"/>
          <w:end w:w="0" w:type="dxa"/>
        </w:tblCellMar>
      </w:tblPr>
      <w:tblGrid>
        <w:gridCol w:w="3695"/>
        <w:gridCol w:w="1078"/>
        <w:gridCol w:w="4865"/>
      </w:tblGrid>
      <w:tr>
        <w:trPr/>
        <w:tc>
          <w:tcPr>
            <w:tcW w:w="3695" w:type="dxa"/>
            <w:tcBorders/>
          </w:tcPr>
          <w:p>
            <w:pPr>
              <w:pStyle w:val="TableContents"/>
              <w:widowControl w:val="false"/>
              <w:suppressLineNumbers/>
              <w:bidi w:val="0"/>
              <w:jc w:val="start"/>
              <w:rPr/>
            </w:pPr>
            <w:r>
              <w:rPr/>
              <w:t>Data type</w:t>
            </w:r>
          </w:p>
        </w:tc>
        <w:tc>
          <w:tcPr>
            <w:tcW w:w="1078" w:type="dxa"/>
            <w:tcBorders/>
          </w:tcPr>
          <w:p>
            <w:pPr>
              <w:pStyle w:val="TableContents"/>
              <w:widowControl w:val="false"/>
              <w:suppressLineNumbers/>
              <w:bidi w:val="0"/>
              <w:jc w:val="start"/>
              <w:rPr/>
            </w:pPr>
            <w:r>
              <w:rPr/>
              <w:t>β_data</w:t>
            </w:r>
          </w:p>
        </w:tc>
        <w:tc>
          <w:tcPr>
            <w:tcW w:w="4865" w:type="dxa"/>
            <w:tcBorders/>
          </w:tcPr>
          <w:p>
            <w:pPr>
              <w:pStyle w:val="TableContents"/>
              <w:widowControl w:val="false"/>
              <w:suppressLineNumbers/>
              <w:bidi w:val="0"/>
              <w:jc w:val="start"/>
              <w:rPr/>
            </w:pPr>
            <w:r>
              <w:rPr/>
              <w:t>Rationale</w:t>
            </w:r>
          </w:p>
        </w:tc>
      </w:tr>
      <w:tr>
        <w:trPr/>
        <w:tc>
          <w:tcPr>
            <w:tcW w:w="3695" w:type="dxa"/>
            <w:tcBorders/>
          </w:tcPr>
          <w:p>
            <w:pPr>
              <w:pStyle w:val="TableContents"/>
              <w:widowControl w:val="false"/>
              <w:suppressLineNumbers/>
              <w:bidi w:val="0"/>
              <w:jc w:val="start"/>
              <w:rPr/>
            </w:pPr>
            <w:r>
              <w:rPr/>
              <w:t>BASIC_BUSINESS</w:t>
            </w:r>
          </w:p>
        </w:tc>
        <w:tc>
          <w:tcPr>
            <w:tcW w:w="1078" w:type="dxa"/>
            <w:tcBorders/>
          </w:tcPr>
          <w:p>
            <w:pPr>
              <w:pStyle w:val="TableContents"/>
              <w:widowControl w:val="false"/>
              <w:suppressLineNumbers/>
              <w:bidi w:val="0"/>
              <w:jc w:val="start"/>
              <w:rPr/>
            </w:pPr>
            <w:r>
              <w:rPr/>
              <w:t>-0.15</w:t>
            </w:r>
          </w:p>
        </w:tc>
        <w:tc>
          <w:tcPr>
            <w:tcW w:w="4865" w:type="dxa"/>
            <w:tcBorders/>
          </w:tcPr>
          <w:p>
            <w:pPr>
              <w:pStyle w:val="TableContents"/>
              <w:widowControl w:val="false"/>
              <w:suppressLineNumbers/>
              <w:bidi w:val="0"/>
              <w:jc w:val="start"/>
              <w:rPr/>
            </w:pPr>
            <w:r>
              <w:rPr/>
              <w:t>Low attacker motivation</w:t>
            </w:r>
          </w:p>
        </w:tc>
      </w:tr>
      <w:tr>
        <w:trPr/>
        <w:tc>
          <w:tcPr>
            <w:tcW w:w="3695" w:type="dxa"/>
            <w:tcBorders/>
          </w:tcPr>
          <w:p>
            <w:pPr>
              <w:pStyle w:val="TableContents"/>
              <w:bidi w:val="0"/>
              <w:rPr/>
            </w:pPr>
            <w:r>
              <w:rPr/>
              <w:t>INTELLECTUAL_PROPERTY</w:t>
            </w:r>
          </w:p>
        </w:tc>
        <w:tc>
          <w:tcPr>
            <w:tcW w:w="1078" w:type="dxa"/>
            <w:tcBorders/>
          </w:tcPr>
          <w:p>
            <w:pPr>
              <w:pStyle w:val="TableContents"/>
              <w:widowControl w:val="false"/>
              <w:suppressLineNumbers/>
              <w:bidi w:val="0"/>
              <w:jc w:val="start"/>
              <w:rPr/>
            </w:pPr>
            <w:r>
              <w:rPr/>
              <w:t>0.00</w:t>
            </w:r>
          </w:p>
        </w:tc>
        <w:tc>
          <w:tcPr>
            <w:tcW w:w="4865" w:type="dxa"/>
            <w:tcBorders/>
          </w:tcPr>
          <w:p>
            <w:pPr>
              <w:pStyle w:val="TableContents"/>
              <w:widowControl w:val="false"/>
              <w:suppressLineNumbers/>
              <w:bidi w:val="0"/>
              <w:jc w:val="start"/>
              <w:rPr/>
            </w:pPr>
            <w:r>
              <w:rPr/>
              <w:t>Baseline — targeted but niche</w:t>
            </w:r>
          </w:p>
        </w:tc>
      </w:tr>
      <w:tr>
        <w:trPr/>
        <w:tc>
          <w:tcPr>
            <w:tcW w:w="3695" w:type="dxa"/>
            <w:tcBorders/>
          </w:tcPr>
          <w:p>
            <w:pPr>
              <w:pStyle w:val="TableContents"/>
              <w:widowControl w:val="false"/>
              <w:suppressLineNumbers/>
              <w:bidi w:val="0"/>
              <w:jc w:val="start"/>
              <w:rPr/>
            </w:pPr>
            <w:r>
              <w:rPr/>
              <w:t>CRITICAL_INFRASTRUCTURE</w:t>
            </w:r>
          </w:p>
        </w:tc>
        <w:tc>
          <w:tcPr>
            <w:tcW w:w="1078" w:type="dxa"/>
            <w:tcBorders/>
          </w:tcPr>
          <w:p>
            <w:pPr>
              <w:pStyle w:val="TableContents"/>
              <w:widowControl w:val="false"/>
              <w:suppressLineNumbers/>
              <w:bidi w:val="0"/>
              <w:jc w:val="start"/>
              <w:rPr/>
            </w:pPr>
            <w:r>
              <w:rPr/>
              <w:t>+0.10</w:t>
            </w:r>
          </w:p>
        </w:tc>
        <w:tc>
          <w:tcPr>
            <w:tcW w:w="4865" w:type="dxa"/>
            <w:tcBorders/>
          </w:tcPr>
          <w:p>
            <w:pPr>
              <w:pStyle w:val="TableContents"/>
              <w:widowControl w:val="false"/>
              <w:suppressLineNumbers/>
              <w:bidi w:val="0"/>
              <w:jc w:val="start"/>
              <w:rPr/>
            </w:pPr>
            <w:r>
              <w:rPr/>
              <w:t>Nation-state interest</w:t>
            </w:r>
          </w:p>
        </w:tc>
      </w:tr>
      <w:tr>
        <w:trPr/>
        <w:tc>
          <w:tcPr>
            <w:tcW w:w="3695" w:type="dxa"/>
            <w:tcBorders/>
          </w:tcPr>
          <w:p>
            <w:pPr>
              <w:pStyle w:val="TableContents"/>
              <w:widowControl w:val="false"/>
              <w:suppressLineNumbers/>
              <w:bidi w:val="0"/>
              <w:jc w:val="start"/>
              <w:rPr/>
            </w:pPr>
            <w:r>
              <w:rPr/>
              <w:t>CUSTOMER_PII</w:t>
            </w:r>
          </w:p>
        </w:tc>
        <w:tc>
          <w:tcPr>
            <w:tcW w:w="1078" w:type="dxa"/>
            <w:tcBorders/>
          </w:tcPr>
          <w:p>
            <w:pPr>
              <w:pStyle w:val="TableContents"/>
              <w:widowControl w:val="false"/>
              <w:suppressLineNumbers/>
              <w:bidi w:val="0"/>
              <w:jc w:val="start"/>
              <w:rPr/>
            </w:pPr>
            <w:r>
              <w:rPr/>
              <w:t>+0.10</w:t>
            </w:r>
          </w:p>
        </w:tc>
        <w:tc>
          <w:tcPr>
            <w:tcW w:w="4865" w:type="dxa"/>
            <w:tcBorders/>
          </w:tcPr>
          <w:p>
            <w:pPr>
              <w:pStyle w:val="TableContents"/>
              <w:widowControl w:val="false"/>
              <w:suppressLineNumbers/>
              <w:bidi w:val="0"/>
              <w:jc w:val="start"/>
              <w:rPr/>
            </w:pPr>
            <w:r>
              <w:rPr/>
              <w:t>Mass monetizable</w:t>
            </w:r>
          </w:p>
        </w:tc>
      </w:tr>
      <w:tr>
        <w:trPr/>
        <w:tc>
          <w:tcPr>
            <w:tcW w:w="3695" w:type="dxa"/>
            <w:tcBorders/>
          </w:tcPr>
          <w:p>
            <w:pPr>
              <w:pStyle w:val="TableContents"/>
              <w:widowControl w:val="false"/>
              <w:suppressLineNumbers/>
              <w:bidi w:val="0"/>
              <w:jc w:val="start"/>
              <w:rPr/>
            </w:pPr>
            <w:r>
              <w:rPr/>
              <w:t>PAYMENT_CARD</w:t>
            </w:r>
          </w:p>
        </w:tc>
        <w:tc>
          <w:tcPr>
            <w:tcW w:w="1078" w:type="dxa"/>
            <w:tcBorders/>
          </w:tcPr>
          <w:p>
            <w:pPr>
              <w:pStyle w:val="TableContents"/>
              <w:widowControl w:val="false"/>
              <w:suppressLineNumbers/>
              <w:bidi w:val="0"/>
              <w:jc w:val="start"/>
              <w:rPr/>
            </w:pPr>
            <w:r>
              <w:rPr/>
              <w:t>+0.20</w:t>
            </w:r>
          </w:p>
        </w:tc>
        <w:tc>
          <w:tcPr>
            <w:tcW w:w="4865" w:type="dxa"/>
            <w:tcBorders/>
          </w:tcPr>
          <w:p>
            <w:pPr>
              <w:pStyle w:val="TableContents"/>
              <w:widowControl w:val="false"/>
              <w:suppressLineNumbers/>
              <w:bidi w:val="0"/>
              <w:jc w:val="start"/>
              <w:rPr/>
            </w:pPr>
            <w:r>
              <w:rPr/>
              <w:t>Directly monetizable, proven attack chains</w:t>
            </w:r>
          </w:p>
        </w:tc>
      </w:tr>
      <w:tr>
        <w:trPr/>
        <w:tc>
          <w:tcPr>
            <w:tcW w:w="3695" w:type="dxa"/>
            <w:tcBorders/>
          </w:tcPr>
          <w:p>
            <w:pPr>
              <w:pStyle w:val="TableContents"/>
              <w:widowControl w:val="false"/>
              <w:suppressLineNumbers/>
              <w:bidi w:val="0"/>
              <w:jc w:val="start"/>
              <w:rPr/>
            </w:pPr>
            <w:r>
              <w:rPr/>
              <w:t>SPECIAL_CATEGORY</w:t>
            </w:r>
          </w:p>
        </w:tc>
        <w:tc>
          <w:tcPr>
            <w:tcW w:w="1078" w:type="dxa"/>
            <w:tcBorders/>
          </w:tcPr>
          <w:p>
            <w:pPr>
              <w:pStyle w:val="TableContents"/>
              <w:widowControl w:val="false"/>
              <w:suppressLineNumbers/>
              <w:bidi w:val="0"/>
              <w:jc w:val="start"/>
              <w:rPr/>
            </w:pPr>
            <w:r>
              <w:rPr/>
              <w:t>+0.15</w:t>
            </w:r>
          </w:p>
        </w:tc>
        <w:tc>
          <w:tcPr>
            <w:tcW w:w="4865" w:type="dxa"/>
            <w:tcBorders/>
          </w:tcPr>
          <w:p>
            <w:pPr>
              <w:pStyle w:val="TableContents"/>
              <w:widowControl w:val="false"/>
              <w:suppressLineNumbers/>
              <w:bidi w:val="0"/>
              <w:jc w:val="start"/>
              <w:rPr/>
            </w:pPr>
            <w:r>
              <w:rPr/>
              <w:t>High extortion value</w:t>
            </w:r>
          </w:p>
        </w:tc>
      </w:tr>
      <w:tr>
        <w:trPr/>
        <w:tc>
          <w:tcPr>
            <w:tcW w:w="3695" w:type="dxa"/>
            <w:tcBorders/>
          </w:tcPr>
          <w:p>
            <w:pPr>
              <w:pStyle w:val="TableContents"/>
              <w:widowControl w:val="false"/>
              <w:suppressLineNumbers/>
              <w:bidi w:val="0"/>
              <w:jc w:val="start"/>
              <w:rPr/>
            </w:pPr>
            <w:r>
              <w:rPr/>
              <w:t>CLASSIFIED_GOVERNMENT</w:t>
            </w:r>
          </w:p>
        </w:tc>
        <w:tc>
          <w:tcPr>
            <w:tcW w:w="1078" w:type="dxa"/>
            <w:tcBorders/>
          </w:tcPr>
          <w:p>
            <w:pPr>
              <w:pStyle w:val="TableContents"/>
              <w:widowControl w:val="false"/>
              <w:suppressLineNumbers/>
              <w:bidi w:val="0"/>
              <w:jc w:val="start"/>
              <w:rPr/>
            </w:pPr>
            <w:r>
              <w:rPr/>
              <w:t>+0.25</w:t>
            </w:r>
          </w:p>
        </w:tc>
        <w:tc>
          <w:tcPr>
            <w:tcW w:w="4865" w:type="dxa"/>
            <w:tcBorders/>
          </w:tcPr>
          <w:p>
            <w:pPr>
              <w:pStyle w:val="TableContents"/>
              <w:widowControl w:val="false"/>
              <w:suppressLineNumbers/>
              <w:bidi w:val="0"/>
              <w:jc w:val="start"/>
              <w:rPr/>
            </w:pPr>
            <w:r>
              <w:rPr/>
              <w:t>Nation-state targeting</w:t>
            </w:r>
          </w:p>
        </w:tc>
      </w:tr>
    </w:tbl>
    <w:p>
      <w:pPr>
        <w:pStyle w:val="Normal"/>
        <w:bidi w:val="0"/>
        <w:jc w:val="start"/>
        <w:rPr>
          <w:b/>
          <w:bCs/>
        </w:rPr>
      </w:pPr>
      <w:r>
        <w:rPr>
          <w:b/>
          <w:bCs/>
        </w:rPr>
      </w:r>
    </w:p>
    <w:p>
      <w:pPr>
        <w:pStyle w:val="Normal"/>
        <w:bidi w:val="0"/>
        <w:jc w:val="start"/>
        <w:rPr/>
      </w:pPr>
      <w:r>
        <w:rPr/>
        <w:t>Use max across all data types (same pattern as existing CONC).</w:t>
      </w:r>
    </w:p>
    <w:p>
      <w:pPr>
        <w:pStyle w:val="Normal"/>
        <w:bidi w:val="0"/>
        <w:jc w:val="start"/>
        <w:rPr/>
      </w:pPr>
      <w:r>
        <w:rPr/>
      </w:r>
    </w:p>
    <w:p>
      <w:pPr>
        <w:pStyle w:val="Normal"/>
        <w:bidi w:val="0"/>
        <w:jc w:val="start"/>
        <w:rPr>
          <w:b/>
          <w:bCs/>
        </w:rPr>
      </w:pPr>
      <w:r>
        <w:rPr>
          <w:b/>
          <w:bCs/>
        </w:rPr>
        <w:t>Step 5: Infrastructure exposure modifier</w:t>
      </w:r>
    </w:p>
    <w:p>
      <w:pPr>
        <w:pStyle w:val="Normal"/>
        <w:bidi w:val="0"/>
        <w:jc w:val="start"/>
        <w:rPr>
          <w:b/>
          <w:bCs/>
        </w:rPr>
      </w:pPr>
      <w:r>
        <w:rPr>
          <w:b/>
          <w:bCs/>
        </w:rPr>
      </w:r>
    </w:p>
    <w:tbl>
      <w:tblPr>
        <w:tblW w:w="5000" w:type="pct"/>
        <w:jc w:val="start"/>
        <w:tblInd w:w="0" w:type="dxa"/>
        <w:tblLayout w:type="fixed"/>
        <w:tblCellMar>
          <w:top w:w="0" w:type="dxa"/>
          <w:start w:w="0" w:type="dxa"/>
          <w:bottom w:w="0" w:type="dxa"/>
          <w:end w:w="0" w:type="dxa"/>
        </w:tblCellMar>
      </w:tblPr>
      <w:tblGrid>
        <w:gridCol w:w="3955"/>
        <w:gridCol w:w="2470"/>
        <w:gridCol w:w="3213"/>
      </w:tblGrid>
      <w:tr>
        <w:trPr/>
        <w:tc>
          <w:tcPr>
            <w:tcW w:w="3955" w:type="dxa"/>
            <w:tcBorders/>
          </w:tcPr>
          <w:p>
            <w:pPr>
              <w:pStyle w:val="TableContents"/>
              <w:bidi w:val="0"/>
              <w:jc w:val="start"/>
              <w:rPr/>
            </w:pPr>
            <w:r>
              <w:rPr/>
              <w:t>Infrastructure</w:t>
            </w:r>
          </w:p>
        </w:tc>
        <w:tc>
          <w:tcPr>
            <w:tcW w:w="2470" w:type="dxa"/>
            <w:tcBorders/>
          </w:tcPr>
          <w:p>
            <w:pPr>
              <w:pStyle w:val="TableContents"/>
              <w:bidi w:val="0"/>
              <w:jc w:val="start"/>
              <w:rPr/>
            </w:pPr>
            <w:r>
              <w:rPr/>
              <w:t>β_infra</w:t>
            </w:r>
          </w:p>
        </w:tc>
        <w:tc>
          <w:tcPr>
            <w:tcW w:w="3213" w:type="dxa"/>
            <w:tcBorders/>
          </w:tcPr>
          <w:p>
            <w:pPr>
              <w:pStyle w:val="TableContents"/>
              <w:bidi w:val="0"/>
              <w:jc w:val="start"/>
              <w:rPr/>
            </w:pPr>
            <w:r>
              <w:rPr/>
              <w:t>Rationale</w:t>
            </w:r>
          </w:p>
        </w:tc>
      </w:tr>
      <w:tr>
        <w:trPr/>
        <w:tc>
          <w:tcPr>
            <w:tcW w:w="3955" w:type="dxa"/>
            <w:tcBorders/>
          </w:tcPr>
          <w:p>
            <w:pPr>
              <w:pStyle w:val="TableContents"/>
              <w:bidi w:val="0"/>
              <w:jc w:val="start"/>
              <w:rPr/>
            </w:pPr>
            <w:r>
              <w:rPr/>
              <w:t>CLOUD_ONLY</w:t>
            </w:r>
          </w:p>
        </w:tc>
        <w:tc>
          <w:tcPr>
            <w:tcW w:w="2470" w:type="dxa"/>
            <w:tcBorders/>
          </w:tcPr>
          <w:p>
            <w:pPr>
              <w:pStyle w:val="TableContents"/>
              <w:bidi w:val="0"/>
              <w:jc w:val="start"/>
              <w:rPr/>
            </w:pPr>
            <w:r>
              <w:rPr/>
              <w:t>-0.10</w:t>
            </w:r>
          </w:p>
        </w:tc>
        <w:tc>
          <w:tcPr>
            <w:tcW w:w="3213" w:type="dxa"/>
            <w:tcBorders/>
          </w:tcPr>
          <w:p>
            <w:pPr>
              <w:pStyle w:val="TableContents"/>
              <w:bidi w:val="0"/>
              <w:jc w:val="start"/>
              <w:rPr/>
            </w:pPr>
            <w:r>
              <w:rPr/>
              <w:t>Smaller perimeter, provider-managed patching</w:t>
            </w:r>
          </w:p>
        </w:tc>
      </w:tr>
      <w:tr>
        <w:trPr/>
        <w:tc>
          <w:tcPr>
            <w:tcW w:w="3955" w:type="dxa"/>
            <w:tcBorders/>
          </w:tcPr>
          <w:p>
            <w:pPr>
              <w:pStyle w:val="TableContents"/>
              <w:bidi w:val="0"/>
              <w:jc w:val="start"/>
              <w:rPr/>
            </w:pPr>
            <w:r>
              <w:rPr/>
              <w:t>MULTI_CLOUD</w:t>
            </w:r>
          </w:p>
        </w:tc>
        <w:tc>
          <w:tcPr>
            <w:tcW w:w="2470" w:type="dxa"/>
            <w:tcBorders/>
          </w:tcPr>
          <w:p>
            <w:pPr>
              <w:pStyle w:val="TableContents"/>
              <w:bidi w:val="0"/>
              <w:jc w:val="start"/>
              <w:rPr/>
            </w:pPr>
            <w:r>
              <w:rPr/>
              <w:t>0.00</w:t>
            </w:r>
          </w:p>
        </w:tc>
        <w:tc>
          <w:tcPr>
            <w:tcW w:w="3213" w:type="dxa"/>
            <w:tcBorders/>
          </w:tcPr>
          <w:p>
            <w:pPr>
              <w:pStyle w:val="TableContents"/>
              <w:bidi w:val="0"/>
              <w:jc w:val="start"/>
              <w:rPr/>
            </w:pPr>
            <w:r>
              <w:rPr/>
              <w:t>Baseline — wider but managed</w:t>
            </w:r>
          </w:p>
        </w:tc>
      </w:tr>
      <w:tr>
        <w:trPr/>
        <w:tc>
          <w:tcPr>
            <w:tcW w:w="3955" w:type="dxa"/>
            <w:tcBorders/>
          </w:tcPr>
          <w:p>
            <w:pPr>
              <w:pStyle w:val="TableContents"/>
              <w:bidi w:val="0"/>
              <w:jc w:val="start"/>
              <w:rPr/>
            </w:pPr>
            <w:r>
              <w:rPr/>
              <w:t>HYBRID</w:t>
            </w:r>
          </w:p>
        </w:tc>
        <w:tc>
          <w:tcPr>
            <w:tcW w:w="2470" w:type="dxa"/>
            <w:tcBorders/>
          </w:tcPr>
          <w:p>
            <w:pPr>
              <w:pStyle w:val="TableContents"/>
              <w:bidi w:val="0"/>
              <w:jc w:val="start"/>
              <w:rPr/>
            </w:pPr>
            <w:r>
              <w:rPr/>
              <w:t>+0.05</w:t>
            </w:r>
          </w:p>
        </w:tc>
        <w:tc>
          <w:tcPr>
            <w:tcW w:w="3213" w:type="dxa"/>
            <w:tcBorders/>
          </w:tcPr>
          <w:p>
            <w:pPr>
              <w:pStyle w:val="TableContents"/>
              <w:bidi w:val="0"/>
              <w:jc w:val="start"/>
              <w:rPr/>
            </w:pPr>
            <w:r>
              <w:rPr/>
              <w:t>Integration seams create exposure</w:t>
            </w:r>
          </w:p>
        </w:tc>
      </w:tr>
      <w:tr>
        <w:trPr/>
        <w:tc>
          <w:tcPr>
            <w:tcW w:w="3955" w:type="dxa"/>
            <w:tcBorders/>
          </w:tcPr>
          <w:p>
            <w:pPr>
              <w:pStyle w:val="TableContents"/>
              <w:bidi w:val="0"/>
              <w:jc w:val="start"/>
              <w:rPr/>
            </w:pPr>
            <w:r>
              <w:rPr/>
              <w:t>ON_PREMISES</w:t>
            </w:r>
          </w:p>
        </w:tc>
        <w:tc>
          <w:tcPr>
            <w:tcW w:w="2470" w:type="dxa"/>
            <w:tcBorders/>
          </w:tcPr>
          <w:p>
            <w:pPr>
              <w:pStyle w:val="TableContents"/>
              <w:bidi w:val="0"/>
              <w:jc w:val="start"/>
              <w:rPr/>
            </w:pPr>
            <w:r>
              <w:rPr/>
              <w:t>+0.10</w:t>
            </w:r>
          </w:p>
        </w:tc>
        <w:tc>
          <w:tcPr>
            <w:tcW w:w="3213" w:type="dxa"/>
            <w:tcBorders/>
          </w:tcPr>
          <w:p>
            <w:pPr>
              <w:pStyle w:val="TableContents"/>
              <w:bidi w:val="0"/>
              <w:jc w:val="start"/>
              <w:rPr/>
            </w:pPr>
            <w:r>
              <w:rPr/>
              <w:t>Larger self-managed attack surface</w:t>
            </w:r>
          </w:p>
        </w:tc>
      </w:tr>
      <w:tr>
        <w:trPr/>
        <w:tc>
          <w:tcPr>
            <w:tcW w:w="3955" w:type="dxa"/>
            <w:tcBorders/>
          </w:tcPr>
          <w:p>
            <w:pPr>
              <w:pStyle w:val="TableContents"/>
              <w:bidi w:val="0"/>
              <w:jc w:val="start"/>
              <w:rPr/>
            </w:pPr>
            <w:r>
              <w:rPr/>
              <w:t>OPERATIONAL_TECHNOLOGY</w:t>
            </w:r>
          </w:p>
        </w:tc>
        <w:tc>
          <w:tcPr>
            <w:tcW w:w="2470" w:type="dxa"/>
            <w:tcBorders/>
          </w:tcPr>
          <w:p>
            <w:pPr>
              <w:pStyle w:val="TableContents"/>
              <w:bidi w:val="0"/>
              <w:jc w:val="start"/>
              <w:rPr/>
            </w:pPr>
            <w:r>
              <w:rPr/>
              <w:t>+0.20</w:t>
            </w:r>
          </w:p>
        </w:tc>
        <w:tc>
          <w:tcPr>
            <w:tcW w:w="3213" w:type="dxa"/>
            <w:tcBorders/>
          </w:tcPr>
          <w:p>
            <w:pPr>
              <w:pStyle w:val="TableContents"/>
              <w:bidi w:val="0"/>
              <w:jc w:val="start"/>
              <w:rPr/>
            </w:pPr>
            <w:r>
              <w:rPr/>
              <w:t>Legacy protocols, difficult to patch, air-gap violations</w:t>
            </w:r>
          </w:p>
        </w:tc>
      </w:tr>
    </w:tbl>
    <w:p>
      <w:pPr>
        <w:pStyle w:val="Normal"/>
        <w:bidi w:val="0"/>
        <w:jc w:val="start"/>
        <w:rPr>
          <w:b/>
          <w:bCs/>
        </w:rPr>
      </w:pPr>
      <w:r>
        <w:rPr>
          <w:b/>
          <w:bCs/>
        </w:rPr>
      </w:r>
    </w:p>
    <w:p>
      <w:pPr>
        <w:pStyle w:val="Normal"/>
        <w:bidi w:val="0"/>
        <w:jc w:val="start"/>
        <w:rPr>
          <w:b/>
          <w:bCs/>
        </w:rPr>
      </w:pPr>
      <w:r>
        <w:rPr>
          <w:b/>
          <w:bCs/>
        </w:rPr>
        <w:t>Max across types.</w:t>
      </w:r>
    </w:p>
    <w:p>
      <w:pPr>
        <w:pStyle w:val="Normal"/>
        <w:bidi w:val="0"/>
        <w:jc w:val="start"/>
        <w:rPr>
          <w:b/>
          <w:bCs/>
        </w:rPr>
      </w:pPr>
      <w:r>
        <w:rPr>
          <w:b/>
          <w:bCs/>
        </w:rPr>
      </w:r>
    </w:p>
    <w:p>
      <w:pPr>
        <w:pStyle w:val="Normal"/>
        <w:bidi w:val="0"/>
        <w:jc w:val="start"/>
        <w:rPr>
          <w:b/>
          <w:bCs/>
        </w:rPr>
      </w:pPr>
      <w:r>
        <w:rPr>
          <w:b/>
          <w:bCs/>
        </w:rPr>
        <w:t>Step 6: Geographic exposure modifier</w:t>
      </w:r>
    </w:p>
    <w:p>
      <w:pPr>
        <w:pStyle w:val="Normal"/>
        <w:bidi w:val="0"/>
        <w:jc w:val="start"/>
        <w:rPr>
          <w:b/>
          <w:bCs/>
        </w:rPr>
      </w:pPr>
      <w:r>
        <w:rPr>
          <w:b/>
          <w:bCs/>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TableContents"/>
              <w:bidi w:val="0"/>
              <w:jc w:val="start"/>
              <w:rPr/>
            </w:pPr>
            <w:r>
              <w:rPr/>
              <w:t>Scope</w:t>
            </w:r>
          </w:p>
        </w:tc>
        <w:tc>
          <w:tcPr>
            <w:tcW w:w="3213" w:type="dxa"/>
            <w:tcBorders/>
          </w:tcPr>
          <w:p>
            <w:pPr>
              <w:pStyle w:val="TableContents"/>
              <w:widowControl w:val="false"/>
              <w:suppressLineNumbers/>
              <w:bidi w:val="0"/>
              <w:jc w:val="start"/>
              <w:rPr/>
            </w:pPr>
            <w:r>
              <w:rPr/>
              <w:t>β_geo</w:t>
            </w:r>
          </w:p>
        </w:tc>
        <w:tc>
          <w:tcPr>
            <w:tcW w:w="3213" w:type="dxa"/>
            <w:tcBorders/>
          </w:tcPr>
          <w:p>
            <w:pPr>
              <w:pStyle w:val="TableContents"/>
              <w:widowControl w:val="false"/>
              <w:suppressLineNumbers/>
              <w:bidi w:val="0"/>
              <w:jc w:val="start"/>
              <w:rPr/>
            </w:pPr>
            <w:r>
              <w:rPr/>
              <w:t>Rationale</w:t>
            </w:r>
          </w:p>
        </w:tc>
      </w:tr>
      <w:tr>
        <w:trPr/>
        <w:tc>
          <w:tcPr>
            <w:tcW w:w="3212" w:type="dxa"/>
            <w:tcBorders/>
          </w:tcPr>
          <w:p>
            <w:pPr>
              <w:pStyle w:val="TableContents"/>
              <w:widowControl w:val="false"/>
              <w:suppressLineNumbers/>
              <w:bidi w:val="0"/>
              <w:jc w:val="start"/>
              <w:rPr/>
            </w:pPr>
            <w:r>
              <w:rPr/>
              <w:t>LOCAL</w:t>
            </w:r>
          </w:p>
        </w:tc>
        <w:tc>
          <w:tcPr>
            <w:tcW w:w="3213" w:type="dxa"/>
            <w:tcBorders/>
          </w:tcPr>
          <w:p>
            <w:pPr>
              <w:pStyle w:val="TableContents"/>
              <w:widowControl w:val="false"/>
              <w:suppressLineNumbers/>
              <w:bidi w:val="0"/>
              <w:jc w:val="start"/>
              <w:rPr/>
            </w:pPr>
            <w:r>
              <w:rPr/>
              <w:t>-0.10</w:t>
            </w:r>
          </w:p>
        </w:tc>
        <w:tc>
          <w:tcPr>
            <w:tcW w:w="3213" w:type="dxa"/>
            <w:tcBorders/>
          </w:tcPr>
          <w:p>
            <w:pPr>
              <w:pStyle w:val="TableContents"/>
              <w:widowControl w:val="false"/>
              <w:suppressLineNumbers/>
              <w:bidi w:val="0"/>
              <w:jc w:val="start"/>
              <w:rPr/>
            </w:pPr>
            <w:r>
              <w:rPr/>
              <w:t>Smaller threat actor pool</w:t>
            </w:r>
          </w:p>
        </w:tc>
      </w:tr>
      <w:tr>
        <w:trPr/>
        <w:tc>
          <w:tcPr>
            <w:tcW w:w="3212" w:type="dxa"/>
            <w:tcBorders/>
          </w:tcPr>
          <w:p>
            <w:pPr>
              <w:pStyle w:val="TableContents"/>
              <w:widowControl w:val="false"/>
              <w:suppressLineNumbers/>
              <w:bidi w:val="0"/>
              <w:jc w:val="start"/>
              <w:rPr/>
            </w:pPr>
            <w:r>
              <w:rPr/>
              <w:t>REGIONAL/NATIONAL</w:t>
            </w:r>
          </w:p>
        </w:tc>
        <w:tc>
          <w:tcPr>
            <w:tcW w:w="3213" w:type="dxa"/>
            <w:tcBorders/>
          </w:tcPr>
          <w:p>
            <w:pPr>
              <w:pStyle w:val="TableContents"/>
              <w:widowControl w:val="false"/>
              <w:suppressLineNumbers/>
              <w:bidi w:val="0"/>
              <w:jc w:val="start"/>
              <w:rPr/>
            </w:pPr>
            <w:r>
              <w:rPr/>
              <w:t>0.00</w:t>
            </w:r>
          </w:p>
        </w:tc>
        <w:tc>
          <w:tcPr>
            <w:tcW w:w="3213" w:type="dxa"/>
            <w:tcBorders/>
          </w:tcPr>
          <w:p>
            <w:pPr>
              <w:pStyle w:val="TableContents"/>
              <w:widowControl w:val="false"/>
              <w:suppressLineNumbers/>
              <w:bidi w:val="0"/>
              <w:jc w:val="start"/>
              <w:rPr/>
            </w:pPr>
            <w:r>
              <w:rPr/>
              <w:t>Baseline</w:t>
            </w:r>
          </w:p>
        </w:tc>
      </w:tr>
      <w:tr>
        <w:trPr/>
        <w:tc>
          <w:tcPr>
            <w:tcW w:w="3212" w:type="dxa"/>
            <w:tcBorders/>
          </w:tcPr>
          <w:p>
            <w:pPr>
              <w:pStyle w:val="TableContents"/>
              <w:widowControl w:val="false"/>
              <w:suppressLineNumbers/>
              <w:bidi w:val="0"/>
              <w:jc w:val="start"/>
              <w:rPr/>
            </w:pPr>
            <w:r>
              <w:rPr/>
              <w:t>EUROPEAN</w:t>
            </w:r>
          </w:p>
        </w:tc>
        <w:tc>
          <w:tcPr>
            <w:tcW w:w="3213" w:type="dxa"/>
            <w:tcBorders/>
          </w:tcPr>
          <w:p>
            <w:pPr>
              <w:pStyle w:val="TableContents"/>
              <w:widowControl w:val="false"/>
              <w:suppressLineNumbers/>
              <w:bidi w:val="0"/>
              <w:jc w:val="start"/>
              <w:rPr/>
            </w:pPr>
            <w:r>
              <w:rPr/>
              <w:t>+0.05</w:t>
            </w:r>
          </w:p>
        </w:tc>
        <w:tc>
          <w:tcPr>
            <w:tcW w:w="3213" w:type="dxa"/>
            <w:tcBorders/>
          </w:tcPr>
          <w:p>
            <w:pPr>
              <w:pStyle w:val="TableContents"/>
              <w:widowControl w:val="false"/>
              <w:suppressLineNumbers/>
              <w:bidi w:val="0"/>
              <w:jc w:val="start"/>
              <w:rPr/>
            </w:pPr>
            <w:r>
              <w:rPr/>
              <w:t>More exposure points</w:t>
            </w:r>
          </w:p>
        </w:tc>
      </w:tr>
      <w:tr>
        <w:trPr/>
        <w:tc>
          <w:tcPr>
            <w:tcW w:w="3212" w:type="dxa"/>
            <w:tcBorders/>
          </w:tcPr>
          <w:p>
            <w:pPr>
              <w:pStyle w:val="TableContents"/>
              <w:widowControl w:val="false"/>
              <w:suppressLineNumbers/>
              <w:bidi w:val="0"/>
              <w:jc w:val="start"/>
              <w:rPr/>
            </w:pPr>
            <w:r>
              <w:rPr/>
              <w:t>GLOBAL</w:t>
            </w:r>
          </w:p>
        </w:tc>
        <w:tc>
          <w:tcPr>
            <w:tcW w:w="3213" w:type="dxa"/>
            <w:tcBorders/>
          </w:tcPr>
          <w:p>
            <w:pPr>
              <w:pStyle w:val="TableContents"/>
              <w:widowControl w:val="false"/>
              <w:suppressLineNumbers/>
              <w:bidi w:val="0"/>
              <w:jc w:val="start"/>
              <w:rPr/>
            </w:pPr>
            <w:r>
              <w:rPr/>
              <w:t>+0.10</w:t>
            </w:r>
          </w:p>
        </w:tc>
        <w:tc>
          <w:tcPr>
            <w:tcW w:w="3213" w:type="dxa"/>
            <w:tcBorders/>
          </w:tcPr>
          <w:p>
            <w:pPr>
              <w:pStyle w:val="TableContents"/>
              <w:widowControl w:val="false"/>
              <w:suppressLineNumbers/>
              <w:bidi w:val="0"/>
              <w:jc w:val="start"/>
              <w:rPr/>
            </w:pPr>
            <w:r>
              <w:rPr/>
              <w:t>Widest threat actor exposure</w:t>
            </w:r>
          </w:p>
        </w:tc>
      </w:tr>
    </w:tbl>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Suggested additional parameters (would improve accuracy)</w:t>
      </w:r>
    </w:p>
    <w:p>
      <w:pPr>
        <w:pStyle w:val="Normal"/>
        <w:bidi w:val="0"/>
        <w:jc w:val="start"/>
        <w:rPr/>
      </w:pPr>
      <w:r>
        <w:rPr/>
      </w:r>
    </w:p>
    <w:p>
      <w:pPr>
        <w:pStyle w:val="Normal"/>
        <w:bidi w:val="0"/>
        <w:jc w:val="start"/>
        <w:rPr/>
      </w:pPr>
      <w:r>
        <w:rPr/>
        <w:t>These are not currently in the org profile but would significantly improve the calculation:</w:t>
      </w:r>
    </w:p>
    <w:p>
      <w:pPr>
        <w:pStyle w:val="Normal"/>
        <w:bidi w:val="0"/>
        <w:jc w:val="start"/>
        <w:rPr/>
      </w:pPr>
      <w:r>
        <w:rPr/>
      </w:r>
    </w:p>
    <w:p>
      <w:pPr>
        <w:pStyle w:val="Normal"/>
        <w:bidi w:val="0"/>
        <w:jc w:val="start"/>
        <w:rPr/>
      </w:pPr>
      <w:r>
        <w:rPr/>
        <w:t xml:space="preserve">1. </w:t>
      </w:r>
      <w:r>
        <w:rPr>
          <w:b/>
          <w:bCs/>
        </w:rPr>
        <w:t>Internet-facing service count</w:t>
      </w:r>
      <w:r>
        <w:rPr/>
        <w:t xml:space="preserve"> (0, 1–5, 6–20, 20+) — directly maps to attack surface. Source: Cyentia IRIS shows breach probability scales with number of internet-facing assets.</w:t>
      </w:r>
    </w:p>
    <w:p>
      <w:pPr>
        <w:pStyle w:val="Normal"/>
        <w:bidi w:val="0"/>
        <w:jc w:val="start"/>
        <w:rPr/>
      </w:pPr>
      <w:r>
        <w:rPr/>
      </w:r>
    </w:p>
    <w:p>
      <w:pPr>
        <w:pStyle w:val="Normal"/>
        <w:bidi w:val="0"/>
        <w:jc w:val="start"/>
        <w:rPr/>
      </w:pPr>
      <w:r>
        <w:rPr/>
        <w:t xml:space="preserve">2. </w:t>
      </w:r>
      <w:r>
        <w:rPr>
          <w:b/>
          <w:bCs/>
        </w:rPr>
        <w:t>Remote workforce percentage</w:t>
      </w:r>
      <w:r>
        <w:rPr/>
        <w:t xml:space="preserve"> (0–25%, 25–50%, 50–75%, 75–100%) — expanded perimeter, VPN/RDP exposure. Source: IBM 2024 reports remote work as a cost amplifier; Verizon DBIR shows VPN/RDP as top initial access vectors.</w:t>
      </w:r>
    </w:p>
    <w:p>
      <w:pPr>
        <w:pStyle w:val="Normal"/>
        <w:bidi w:val="0"/>
        <w:jc w:val="start"/>
        <w:rPr/>
      </w:pPr>
      <w:r>
        <w:rPr/>
      </w:r>
    </w:p>
    <w:p>
      <w:pPr>
        <w:pStyle w:val="Normal"/>
        <w:bidi w:val="0"/>
        <w:jc w:val="start"/>
        <w:rPr/>
      </w:pPr>
      <w:r>
        <w:rPr/>
        <w:t xml:space="preserve">3. </w:t>
      </w:r>
      <w:r>
        <w:rPr>
          <w:b/>
          <w:bCs/>
        </w:rPr>
        <w:t>Third-party vendor count with system access</w:t>
      </w:r>
      <w:r>
        <w:rPr/>
        <w:t xml:space="preserve"> (0–5, 5–20, 20–50, 50+) — supply chain risk. Source: IBM 2024: third-party breaches cost $4.55M vs $4.35M average; Cyentia: ~60% of breaches involve a third party.</w:t>
      </w:r>
    </w:p>
    <w:p>
      <w:pPr>
        <w:pStyle w:val="Normal"/>
        <w:bidi w:val="0"/>
        <w:jc w:val="start"/>
        <w:rPr/>
      </w:pPr>
      <w:r>
        <w:rPr/>
      </w:r>
    </w:p>
    <w:p>
      <w:pPr>
        <w:pStyle w:val="Normal"/>
        <w:bidi w:val="0"/>
        <w:jc w:val="start"/>
        <w:rPr/>
      </w:pPr>
      <w:r>
        <w:rPr/>
        <w:t xml:space="preserve">4. </w:t>
      </w:r>
      <w:r>
        <w:rPr>
          <w:b/>
          <w:bCs/>
        </w:rPr>
        <w:t>Previous breach history</w:t>
      </w:r>
      <w:r>
        <w:rPr/>
        <w:t xml:space="preserve"> (yes/no in last 3 years) — strongest actuarial predictor. Source: IBM: organizations that have been breached before face 12.6% higher costs; Cyentia IRIS: prior breach is the single strongest predictor of future breach (roughly 2× the odds).</w:t>
      </w:r>
    </w:p>
    <w:p>
      <w:pPr>
        <w:pStyle w:val="Normal"/>
        <w:bidi w:val="0"/>
        <w:jc w:val="start"/>
        <w:rPr/>
      </w:pPr>
      <w:r>
        <w:rPr/>
      </w:r>
    </w:p>
    <w:p>
      <w:pPr>
        <w:pStyle w:val="Normal"/>
        <w:bidi w:val="0"/>
        <w:jc w:val="start"/>
        <w:rPr/>
      </w:pPr>
      <w:r>
        <w:rPr/>
        <w:t xml:space="preserve">5. </w:t>
      </w:r>
      <w:r>
        <w:rPr>
          <w:b/>
          <w:bCs/>
        </w:rPr>
        <w:t>Dedicated security personnel</w:t>
      </w:r>
      <w:r>
        <w:rPr/>
        <w:t xml:space="preserve"> (none, part-time/shared, full-time, team) — resource proxy. Source: Hiscox 2024 shows strong correlation between dedicated security staff and incident prevention in SMEs.</w:t>
      </w:r>
    </w:p>
    <w:p>
      <w:pPr>
        <w:pStyle w:val="Normal"/>
        <w:bidi w:val="0"/>
        <w:jc w:val="start"/>
        <w:rPr/>
      </w:pPr>
      <w:r>
        <w:rPr/>
      </w:r>
    </w:p>
    <w:p>
      <w:pPr>
        <w:pStyle w:val="Normal"/>
        <w:bidi w:val="0"/>
        <w:jc w:val="start"/>
        <w:rPr/>
      </w:pPr>
      <w:r>
        <w:rPr/>
        <w:t xml:space="preserve">6. </w:t>
      </w:r>
      <w:r>
        <w:rPr>
          <w:b/>
          <w:bCs/>
        </w:rPr>
        <w:t>Phishing simulation failure rate</w:t>
      </w:r>
      <w:r>
        <w:rPr/>
        <w:t xml:space="preserve"> (if available) — human factor calibration. Source: Verizon DBIR 2024: 68% of breaches involved a human element.</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b/>
          <w:bCs/>
        </w:rPr>
      </w:pPr>
      <w:r>
        <w:rPr>
          <w:b/>
          <w:bCs/>
        </w:rPr>
        <w:t>Example calculation</w:t>
      </w:r>
    </w:p>
    <w:p>
      <w:pPr>
        <w:pStyle w:val="Normal"/>
        <w:bidi w:val="0"/>
        <w:jc w:val="start"/>
        <w:rPr>
          <w:b/>
          <w:bCs/>
        </w:rPr>
      </w:pPr>
      <w:r>
        <w:rPr>
          <w:b/>
          <w:bCs/>
        </w:rPr>
      </w:r>
    </w:p>
    <w:p>
      <w:pPr>
        <w:pStyle w:val="Normal"/>
        <w:bidi w:val="0"/>
        <w:jc w:val="start"/>
        <w:rPr/>
      </w:pPr>
      <w:r>
        <w:rPr/>
        <w:t>A medium-sized (50–249 employees) financial services company, B2B, handling customer PII + payment card data, hybrid infrastructure, European scope, average CMMI of 2.5 across all safeguards:</w:t>
      </w:r>
    </w:p>
    <w:p>
      <w:pPr>
        <w:pStyle w:val="Normal"/>
        <w:bidi w:val="0"/>
        <w:jc w:val="start"/>
        <w:rPr/>
      </w:pPr>
      <w:r>
        <w:rPr/>
      </w:r>
    </w:p>
    <w:p>
      <w:pPr>
        <w:pStyle w:val="Normal"/>
        <w:bidi w:val="0"/>
        <w:jc w:val="start"/>
        <w:rPr/>
      </w:pPr>
      <w:r>
        <w:rPr/>
        <w:t>P_base       = 0.18        → logit = -1.516</w:t>
      </w:r>
    </w:p>
    <w:p>
      <w:pPr>
        <w:pStyle w:val="Normal"/>
        <w:bidi w:val="0"/>
        <w:jc w:val="start"/>
        <w:rPr/>
      </w:pPr>
      <w:r>
        <w:rPr/>
        <w:t>β_industry   = +0.30       (Financial)</w:t>
      </w:r>
    </w:p>
    <w:p>
      <w:pPr>
        <w:pStyle w:val="Normal"/>
        <w:bidi w:val="0"/>
        <w:jc w:val="start"/>
        <w:rPr/>
      </w:pPr>
      <w:r>
        <w:rPr/>
        <w:t>β_maturity   = -0.8 × ((2.5-1)/4) = -0.30</w:t>
      </w:r>
    </w:p>
    <w:p>
      <w:pPr>
        <w:pStyle w:val="Normal"/>
        <w:bidi w:val="0"/>
        <w:jc w:val="start"/>
        <w:rPr/>
      </w:pPr>
      <w:r>
        <w:rPr/>
        <w:t>β_data       = +0.20       (Payment card — max)</w:t>
      </w:r>
    </w:p>
    <w:p>
      <w:pPr>
        <w:pStyle w:val="Normal"/>
        <w:bidi w:val="0"/>
        <w:jc w:val="start"/>
        <w:rPr/>
      </w:pPr>
      <w:r>
        <w:rPr/>
        <w:t>β_infra      = +0.05       (Hybrid)</w:t>
      </w:r>
    </w:p>
    <w:p>
      <w:pPr>
        <w:pStyle w:val="Normal"/>
        <w:bidi w:val="0"/>
        <w:jc w:val="start"/>
        <w:rPr/>
      </w:pPr>
      <w:r>
        <w:rPr/>
        <w:t>β_geo        = +0.05       (European)</w:t>
      </w:r>
    </w:p>
    <w:p>
      <w:pPr>
        <w:pStyle w:val="Normal"/>
        <w:bidi w:val="0"/>
        <w:jc w:val="start"/>
        <w:rPr/>
      </w:pPr>
      <w:r>
        <w:rPr/>
      </w:r>
    </w:p>
    <w:p>
      <w:pPr>
        <w:pStyle w:val="Normal"/>
        <w:bidi w:val="0"/>
        <w:jc w:val="start"/>
        <w:rPr/>
      </w:pPr>
      <w:r>
        <w:rPr/>
        <w:t>logit(P) = -1.516 + 0.30 - 0.30 + 0.20 + 0.05 + 0.05 = -1.216</w:t>
      </w:r>
    </w:p>
    <w:p>
      <w:pPr>
        <w:pStyle w:val="Normal"/>
        <w:bidi w:val="0"/>
        <w:jc w:val="start"/>
        <w:rPr/>
      </w:pPr>
      <w:r>
        <w:rPr/>
      </w:r>
    </w:p>
    <w:p>
      <w:pPr>
        <w:pStyle w:val="Normal"/>
        <w:bidi w:val="0"/>
        <w:jc w:val="start"/>
        <w:rPr/>
      </w:pPr>
      <w:r>
        <w:rPr/>
        <w:t>P_annual = sigmoid(-1.216) = 22.9%</w:t>
      </w:r>
    </w:p>
    <w:p>
      <w:pPr>
        <w:pStyle w:val="Normal"/>
        <w:bidi w:val="0"/>
        <w:jc w:val="start"/>
        <w:rPr/>
      </w:pPr>
      <w:r>
        <w:rPr/>
      </w:r>
    </w:p>
    <w:p>
      <w:pPr>
        <w:pStyle w:val="Normal"/>
        <w:bidi w:val="0"/>
        <w:jc w:val="start"/>
        <w:rPr/>
      </w:pPr>
      <w:r>
        <w:rPr/>
        <w:t>With a ±30% confidence band (matching existing CONC): 16.0% – 29.8%</w:t>
      </w:r>
    </w:p>
    <w:p>
      <w:pPr>
        <w:pStyle w:val="Normal"/>
        <w:bidi w:val="0"/>
        <w:jc w:val="start"/>
        <w:rPr/>
      </w:pPr>
      <w:r>
        <w:rPr/>
      </w:r>
    </w:p>
    <w:p>
      <w:pPr>
        <w:pStyle w:val="Normal"/>
        <w:bidi w:val="0"/>
        <w:jc w:val="start"/>
        <w:rPr/>
      </w:pPr>
      <w:r>
        <w:rPr/>
        <w:t>If that same company improved to average CMMI 4.0:</w:t>
      </w:r>
    </w:p>
    <w:p>
      <w:pPr>
        <w:pStyle w:val="Normal"/>
        <w:bidi w:val="0"/>
        <w:jc w:val="start"/>
        <w:rPr/>
      </w:pPr>
      <w:r>
        <w:rPr/>
        <w:t>β_maturity = -0.8 × ((4.0-1)/4) = -0.60</w:t>
      </w:r>
    </w:p>
    <w:p>
      <w:pPr>
        <w:pStyle w:val="Normal"/>
        <w:bidi w:val="0"/>
        <w:jc w:val="start"/>
        <w:rPr/>
      </w:pPr>
      <w:r>
        <w:rPr/>
        <w:t>logit(P) = -1.516 + 0.30 - 0.60 + 0.20 + 0.05 + 0.05 = -1.516</w:t>
      </w:r>
    </w:p>
    <w:p>
      <w:pPr>
        <w:pStyle w:val="Normal"/>
        <w:bidi w:val="0"/>
        <w:jc w:val="start"/>
        <w:rPr/>
      </w:pPr>
      <w:r>
        <w:rPr/>
        <w:t>P_annual = 18.0%  (band: 12.6% – 23.4%)</w:t>
      </w:r>
    </w:p>
    <w:p>
      <w:pPr>
        <w:pStyle w:val="Normal"/>
        <w:bidi w:val="0"/>
        <w:jc w:val="start"/>
        <w:rPr/>
      </w:pPr>
      <w:r>
        <w:rPr/>
      </w:r>
    </w:p>
    <w:p>
      <w:pPr>
        <w:pStyle w:val="Normal"/>
        <w:bidi w:val="0"/>
        <w:jc w:val="start"/>
        <w:rPr/>
      </w:pPr>
      <w:r>
        <w:rPr/>
        <w:t>This shows the actionable impact of control maturity — the core value proposition for Compliance Circle users.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b/>
          <w:bCs/>
        </w:rPr>
      </w:pPr>
      <w:r>
        <w:rPr>
          <w:b/>
          <w:bCs/>
        </w:rPr>
        <w:t>Scientific foundations</w:t>
      </w:r>
    </w:p>
    <w:p>
      <w:pPr>
        <w:pStyle w:val="Normal"/>
        <w:bidi w:val="0"/>
        <w:jc w:val="start"/>
        <w:rPr/>
      </w:pPr>
      <w:r>
        <w:rPr/>
      </w:r>
    </w:p>
    <w:p>
      <w:pPr>
        <w:pStyle w:val="Normal"/>
        <w:bidi w:val="0"/>
        <w:jc w:val="start"/>
        <w:rPr/>
      </w:pPr>
      <w:r>
        <w:rPr/>
        <w:t xml:space="preserve">  ┌─────────────────────────────────────────────────────────────────────────────────┬─────────────────────────────────────────────────────────────────────────────────────────────────────────────────────────────────────────────┐</w:t>
      </w:r>
    </w:p>
    <w:p>
      <w:pPr>
        <w:pStyle w:val="Normal"/>
        <w:bidi w:val="0"/>
        <w:jc w:val="start"/>
        <w:rPr/>
      </w:pPr>
      <w:r>
        <w:rPr/>
        <w:t xml:space="preserve">  │                                     </w:t>
      </w:r>
      <w:r>
        <w:rPr/>
        <w:t>Source                                      │                                                              What it provides                                                               │</w:t>
      </w:r>
    </w:p>
    <w:p>
      <w:pPr>
        <w:pStyle w:val="Normal"/>
        <w:bidi w:val="0"/>
        <w:jc w:val="start"/>
        <w:rPr/>
      </w:pPr>
      <w:r>
        <w:rPr/>
        <w:t xml:space="preserve">  ├─────────────────────────────────────────────────────────────────────────────────┼─────────────────────────────────────────────────────────────────────────────────────────────────────────────────────────────────────────────┤</w:t>
      </w:r>
    </w:p>
    <w:p>
      <w:pPr>
        <w:pStyle w:val="Normal"/>
        <w:bidi w:val="0"/>
        <w:jc w:val="start"/>
        <w:rPr/>
      </w:pPr>
      <w:r>
        <w:rPr/>
        <w:t xml:space="preserve">  │ </w:t>
      </w:r>
      <w:r>
        <w:rPr/>
        <w:t>FAIR Standard (Open Group O-RA)                                                 │ Framework: Loss Event Frequency = Threat Event Frequency × Vulnerability. Our model implements this with base rate (TEF proxy) × maturity   │</w:t>
      </w:r>
    </w:p>
    <w:p>
      <w:pPr>
        <w:pStyle w:val="Normal"/>
        <w:bidi w:val="0"/>
        <w:jc w:val="start"/>
        <w:rPr/>
      </w:pPr>
      <w:r>
        <w:rPr/>
        <w:t xml:space="preserve">  │                                                                                 │ </w:t>
      </w:r>
      <w:r>
        <w:rPr/>
        <w:t>adjustments (vulnerability proxy)                                                                                                           │</w:t>
      </w:r>
    </w:p>
    <w:p>
      <w:pPr>
        <w:pStyle w:val="Normal"/>
        <w:bidi w:val="0"/>
        <w:jc w:val="start"/>
        <w:rPr/>
      </w:pPr>
      <w:r>
        <w:rPr/>
        <w:t xml:space="preserve">  ├─────────────────────────────────────────────────────────────────────────────────┼─────────────────────────────────────────────────────────────────────────────────────────────────────────────────────────────────────────────┤</w:t>
      </w:r>
    </w:p>
    <w:p>
      <w:pPr>
        <w:pStyle w:val="Normal"/>
        <w:bidi w:val="0"/>
        <w:jc w:val="start"/>
        <w:rPr/>
      </w:pPr>
      <w:r>
        <w:rPr/>
        <w:t xml:space="preserve">  │ </w:t>
      </w:r>
      <w:r>
        <w:rPr/>
        <w:t>Cyentia Institute IRIS (2020–2024)                                              │ Actuarial breach frequency data by company size band and industry. The log-linear size relationship and the base rates come from here       │</w:t>
      </w:r>
    </w:p>
    <w:p>
      <w:pPr>
        <w:pStyle w:val="Normal"/>
        <w:bidi w:val="0"/>
        <w:jc w:val="start"/>
        <w:rPr/>
      </w:pPr>
      <w:r>
        <w:rPr/>
        <w:t xml:space="preserve">  ├─────────────────────────────────────────────────────────────────────────────────┼─────────────────────────────────────────────────────────────────────────────────────────────────────────────────────────────────────────────┤</w:t>
      </w:r>
    </w:p>
    <w:p>
      <w:pPr>
        <w:pStyle w:val="Normal"/>
        <w:bidi w:val="0"/>
        <w:jc w:val="start"/>
        <w:rPr/>
      </w:pPr>
      <w:r>
        <w:rPr/>
        <w:t xml:space="preserve">  │ </w:t>
      </w:r>
      <w:r>
        <w:rPr/>
        <w:t>Verizon DBIR (annual)                                                           │ Industry-specific attack frequency, vector distribution, human element contribution                                                         │</w:t>
      </w:r>
    </w:p>
    <w:p>
      <w:pPr>
        <w:pStyle w:val="Normal"/>
        <w:bidi w:val="0"/>
        <w:jc w:val="start"/>
        <w:rPr/>
      </w:pPr>
      <w:r>
        <w:rPr/>
        <w:t xml:space="preserve">  ├─────────────────────────────────────────────────────────────────────────────────┼─────────────────────────────────────────────────────────────────────────────────────────────────────────────────────────────────────────────┤</w:t>
      </w:r>
    </w:p>
    <w:p>
      <w:pPr>
        <w:pStyle w:val="Normal"/>
        <w:bidi w:val="0"/>
        <w:jc w:val="start"/>
        <w:rPr/>
      </w:pPr>
      <w:r>
        <w:rPr/>
        <w:t xml:space="preserve">  │ </w:t>
      </w:r>
      <w:r>
        <w:rPr/>
        <w:t>IBM/Ponemon Cost of a Data Breach (2024)                                        │ 24-month breach probability (~27%), security maturity impact, sector differentials                                                          │</w:t>
      </w:r>
    </w:p>
    <w:p>
      <w:pPr>
        <w:pStyle w:val="Normal"/>
        <w:bidi w:val="0"/>
        <w:jc w:val="start"/>
        <w:rPr/>
      </w:pPr>
      <w:r>
        <w:rPr/>
        <w:t xml:space="preserve">  ├─────────────────────────────────────────────────────────────────────────────────┼─────────────────────────────────────────────────────────────────────────────────────────────────────────────────────────────────────────────┤</w:t>
      </w:r>
    </w:p>
    <w:p>
      <w:pPr>
        <w:pStyle w:val="Normal"/>
        <w:bidi w:val="0"/>
        <w:jc w:val="start"/>
        <w:rPr/>
      </w:pPr>
      <w:r>
        <w:rPr/>
        <w:t xml:space="preserve">  │ </w:t>
      </w:r>
      <w:r>
        <w:rPr/>
        <w:t>Hiscox Cyber Readiness Report (2024)                                            │ European SME-specific breach rates, cost-by-size data                                                                                       │</w:t>
      </w:r>
    </w:p>
    <w:p>
      <w:pPr>
        <w:pStyle w:val="Normal"/>
        <w:bidi w:val="0"/>
        <w:jc w:val="start"/>
        <w:rPr/>
      </w:pPr>
      <w:r>
        <w:rPr/>
        <w:t xml:space="preserve">  ├─────────────────────────────────────────────────────────────────────────────────┼─────────────────────────────────────────────────────────────────────────────────────────────────────────────────────────────────────────────┤</w:t>
      </w:r>
    </w:p>
    <w:p>
      <w:pPr>
        <w:pStyle w:val="Normal"/>
        <w:bidi w:val="0"/>
        <w:jc w:val="start"/>
        <w:rPr/>
      </w:pPr>
      <w:r>
        <w:rPr/>
        <w:t xml:space="preserve">  │ </w:t>
      </w:r>
      <w:r>
        <w:rPr/>
        <w:t>Romanosky (2016) — "Examining the Costs and Causes of Cyber Incidents", Journal │ Peer-reviewed empirical analysis: breach probability scales with company size, industry, and data volume                                    │</w:t>
      </w:r>
    </w:p>
    <w:p>
      <w:pPr>
        <w:pStyle w:val="Normal"/>
        <w:bidi w:val="0"/>
        <w:jc w:val="start"/>
        <w:rPr/>
      </w:pPr>
      <w:r>
        <w:rPr/>
        <w:t xml:space="preserve">  │  </w:t>
      </w:r>
      <w:r>
        <w:rPr/>
        <w:t>of Cybersecurity                                                               │                                                                                                                                             │</w:t>
      </w:r>
    </w:p>
    <w:p>
      <w:pPr>
        <w:pStyle w:val="Normal"/>
        <w:bidi w:val="0"/>
        <w:jc w:val="start"/>
        <w:rPr/>
      </w:pPr>
      <w:r>
        <w:rPr/>
        <w:t xml:space="preserve">  ├─────────────────────────────────────────────────────────────────────────────────┼─────────────────────────────────────────────────────────────────────────────────────────────────────────────────────────────────────────────┤</w:t>
      </w:r>
    </w:p>
    <w:p>
      <w:pPr>
        <w:pStyle w:val="Normal"/>
        <w:bidi w:val="0"/>
        <w:jc w:val="start"/>
        <w:rPr/>
      </w:pPr>
      <w:r>
        <w:rPr/>
        <w:t xml:space="preserve">  │ </w:t>
      </w:r>
      <w:r>
        <w:rPr/>
        <w:t>Edwards, Hofmeyr &amp; Forrest (2016) — "Hype and Heavy Tails", Journal of          │ Empirical breach frequency distributions; supports logistic model over simple linear                                                        │</w:t>
      </w:r>
    </w:p>
    <w:p>
      <w:pPr>
        <w:pStyle w:val="Normal"/>
        <w:bidi w:val="0"/>
        <w:jc w:val="start"/>
        <w:rPr/>
      </w:pPr>
      <w:r>
        <w:rPr/>
        <w:t xml:space="preserve">  │ </w:t>
      </w:r>
      <w:r>
        <w:rPr/>
        <w:t>Cybersecurity                                                                   │                                                                                                                                             │</w:t>
      </w:r>
    </w:p>
    <w:p>
      <w:pPr>
        <w:pStyle w:val="Normal"/>
        <w:bidi w:val="0"/>
        <w:jc w:val="start"/>
        <w:rPr/>
      </w:pPr>
      <w:r>
        <w:rPr/>
        <w:t xml:space="preserve">  ├─────────────────────────────────────────────────────────────────────────────────┼─────────────────────────────────────────────────────────────────────────────────────────────────────────────────────────────────────────────┤</w:t>
      </w:r>
    </w:p>
    <w:p>
      <w:pPr>
        <w:pStyle w:val="Normal"/>
        <w:bidi w:val="0"/>
        <w:jc w:val="start"/>
        <w:rPr/>
      </w:pPr>
      <w:r>
        <w:rPr/>
        <w:t xml:space="preserve">  │ </w:t>
      </w:r>
      <w:r>
        <w:rPr/>
        <w:t>Hubbard &amp; Seiersen (2016) — How to Measure Anything in Cybersecurity Risk,      │ Calibrated estimation methodology, range estimates, Bayesian updating — already referenced in your CONC methodology                         │</w:t>
      </w:r>
    </w:p>
    <w:p>
      <w:pPr>
        <w:pStyle w:val="Normal"/>
        <w:bidi w:val="0"/>
        <w:jc w:val="start"/>
        <w:rPr/>
      </w:pPr>
      <w:r>
        <w:rPr/>
        <w:t xml:space="preserve">  │ </w:t>
      </w:r>
      <w:r>
        <w:rPr/>
        <w:t>Wiley                                                                           │                                                                                                                                             │</w:t>
      </w:r>
    </w:p>
    <w:p>
      <w:pPr>
        <w:pStyle w:val="Normal"/>
        <w:bidi w:val="0"/>
        <w:jc w:val="start"/>
        <w:rPr/>
      </w:pPr>
      <w:r>
        <w:rPr/>
        <w:t xml:space="preserve">  ├─────────────────────────────────────────────────────────────────────────────────┼─────────────────────────────────────────────────────────────────────────────────────────────────────────────────────────────────────────────┤</w:t>
      </w:r>
    </w:p>
    <w:p>
      <w:pPr>
        <w:pStyle w:val="Normal"/>
        <w:bidi w:val="0"/>
        <w:jc w:val="start"/>
        <w:rPr/>
      </w:pPr>
      <w:r>
        <w:rPr/>
        <w:t xml:space="preserve">  │ </w:t>
      </w:r>
      <w:r>
        <w:rPr/>
        <w:t>Gordon &amp; Loeb (2002) — ACM TISSEC                                               │ Optimal security investment framework — already referenced; breach probability is the input variable to their model                         │</w:t>
      </w:r>
    </w:p>
    <w:p>
      <w:pPr>
        <w:pStyle w:val="Normal"/>
        <w:bidi w:val="0"/>
        <w:jc w:val="start"/>
        <w:rPr/>
      </w:pPr>
      <w:r>
        <w:rPr/>
        <w:t xml:space="preserve">  ├─────────────────────────────────────────────────────────────────────────────────┼─────────────────────────────────────────────────────────────────────────────────────────────────────────────────────────────────────────────┤</w:t>
      </w:r>
    </w:p>
    <w:p>
      <w:pPr>
        <w:pStyle w:val="Normal"/>
        <w:bidi w:val="0"/>
        <w:jc w:val="start"/>
        <w:rPr/>
      </w:pPr>
      <w:r>
        <w:rPr/>
        <w:t xml:space="preserve">  │ </w:t>
      </w:r>
      <w:r>
        <w:rPr/>
        <w:t>ENISA Threat Landscape (2024)                                                   │ European threat frequency data, SME-specific risk profiles                                                                                  │</w:t>
      </w:r>
    </w:p>
    <w:p>
      <w:pPr>
        <w:pStyle w:val="Normal"/>
        <w:bidi w:val="0"/>
        <w:jc w:val="start"/>
        <w:rPr/>
      </w:pPr>
      <w:r>
        <w:rPr/>
        <w:t xml:space="preserve">  ├─────────────────────────────────────────────────────────────────────────────────┼─────────────────────────────────────────────────────────────────────────────────────────────────────────────────────────────────────────────┤</w:t>
      </w:r>
    </w:p>
    <w:p>
      <w:pPr>
        <w:pStyle w:val="Normal"/>
        <w:bidi w:val="0"/>
        <w:jc w:val="start"/>
        <w:rPr/>
      </w:pPr>
      <w:r>
        <w:rPr/>
        <w:t xml:space="preserve">  │ </w:t>
      </w:r>
      <w:r>
        <w:rPr/>
        <w:t>NIST SP 800-30 Rev. 1                                                           │ Likelihood assessment methodology (qualitative → semi-quantitative mapping)                                                                 │</w:t>
      </w:r>
    </w:p>
    <w:p>
      <w:pPr>
        <w:pStyle w:val="Normal"/>
        <w:bidi w:val="0"/>
        <w:jc w:val="start"/>
        <w:rPr/>
      </w:pPr>
      <w:r>
        <w:rPr/>
        <w:t xml:space="preserve">  └─────────────────────────────────────────────────────────────────────────────────┴─────────────────────────────────────────────────────────────────────────────────────────────────────────────────────────────────────────────┘</w:t>
      </w:r>
    </w:p>
    <w:p>
      <w:pPr>
        <w:pStyle w:val="Normal"/>
        <w:bidi w:val="0"/>
        <w:jc w:val="start"/>
        <w:rPr/>
      </w:pPr>
      <w:r>
        <w:rPr/>
      </w:r>
    </w:p>
    <w:p>
      <w:pPr>
        <w:pStyle w:val="Normal"/>
        <w:bidi w:val="0"/>
        <w:jc w:val="start"/>
        <w:rPr/>
      </w:pPr>
      <w:r>
        <w:rPr/>
        <w:t xml:space="preserve">  </w:t>
      </w:r>
      <w:r>
        <w:rPr/>
        <w:t>The logistic regression approach is standard in actuarial risk modelling and is the mathematical backbone of most cyber insurance pricing models (used by carriers like Hiscox, Beazley, and Munich Re's cyber division).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LibreOffice_project/252c20f6956e3db0b52e6e2f9dda67263513c8fc</Application>
  <AppVersion>15.0000</AppVersion>
  <Pages>7</Pages>
  <Words>1391</Words>
  <Characters>11045</Characters>
  <CharactersWithSpaces>15012</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2026-03-15T15:58:51Z</dcterms:created>
  <dc:creator/>
  <dc:description/>
  <dc:language>en-US</dc:language>
  <cp:lastModifiedBy/>
  <dcterms:modified xsi:type="dcterms:W3CDTF">2026-03-15T16:23:05Z</dcterms:modified>
  <cp:revision>1</cp:revision>
  <dc:subject/>
  <dc:title/>
</cp:coreProperties>
</file>