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Here is Claude's plan:</w:t>
      </w:r>
    </w:p>
    <w:p>
      <w:pPr>
        <w:pStyle w:val="Normal"/>
        <w:bidi w:val="0"/>
        <w:jc w:val="start"/>
        <w:rPr/>
      </w:pPr>
      <w:r>
        <w:rPr/>
      </w:r>
    </w:p>
    <w:p>
      <w:pPr>
        <w:pStyle w:val="Normal"/>
        <w:bidi w:val="0"/>
        <w:jc w:val="start"/>
        <w:rPr>
          <w:b/>
          <w:bCs/>
          <w:u w:val="single"/>
        </w:rPr>
      </w:pPr>
      <w:r>
        <w:rPr>
          <w:b/>
          <w:bCs/>
          <w:u w:val="single"/>
        </w:rPr>
        <w:t>CONC Calculator — Domain Evaluation &amp; Code Improvements</w:t>
      </w:r>
    </w:p>
    <w:p>
      <w:pPr>
        <w:pStyle w:val="Normal"/>
        <w:bidi w:val="0"/>
        <w:jc w:val="start"/>
        <w:rPr/>
      </w:pPr>
      <w:r>
        <w:rPr/>
      </w:r>
    </w:p>
    <w:p>
      <w:pPr>
        <w:pStyle w:val="Normal"/>
        <w:bidi w:val="0"/>
        <w:jc w:val="start"/>
        <w:rPr>
          <w:b/>
          <w:bCs/>
        </w:rPr>
      </w:pPr>
      <w:r>
        <w:rPr>
          <w:b/>
          <w:bCs/>
        </w:rPr>
        <w:t>Context</w:t>
      </w:r>
    </w:p>
    <w:p>
      <w:pPr>
        <w:pStyle w:val="Normal"/>
        <w:bidi w:val="0"/>
        <w:jc w:val="start"/>
        <w:rPr/>
      </w:pPr>
      <w:r>
        <w:rPr/>
      </w:r>
    </w:p>
    <w:p>
      <w:pPr>
        <w:pStyle w:val="Normal"/>
        <w:bidi w:val="0"/>
        <w:jc w:val="start"/>
        <w:rPr/>
      </w:pPr>
      <w:r>
        <w:rPr/>
        <w:t xml:space="preserve"> </w:t>
      </w:r>
      <w:r>
        <w:rPr/>
        <w:t>Evaluate whether the 9 CoNC cost calculations are grounded in reality, conform to industry standards, and whether additional inputs or calculations are needed.</w:t>
      </w:r>
    </w:p>
    <w:p>
      <w:pPr>
        <w:pStyle w:val="Normal"/>
        <w:bidi w:val="0"/>
        <w:jc w:val="start"/>
        <w:rPr/>
      </w:pPr>
      <w:r>
        <w:rPr/>
      </w:r>
    </w:p>
    <w:p>
      <w:pPr>
        <w:pStyle w:val="Normal"/>
        <w:bidi w:val="0"/>
        <w:jc w:val="start"/>
        <w:rPr/>
      </w:pPr>
      <w:r>
        <w:rPr/>
        <w:t xml:space="preserve"> </w:t>
      </w:r>
      <w:r>
        <w:rPr/>
        <w:t>---</w:t>
      </w:r>
    </w:p>
    <w:p>
      <w:pPr>
        <w:pStyle w:val="Normal"/>
        <w:bidi w:val="0"/>
        <w:jc w:val="start"/>
        <w:rPr/>
      </w:pPr>
      <w:r>
        <w:rPr/>
        <w:t xml:space="preserve"> </w:t>
      </w:r>
      <w:r>
        <w:rPr>
          <w:b/>
          <w:bCs/>
        </w:rPr>
        <w:t>Part 1: Domain Evaluation (per category)</w:t>
      </w:r>
    </w:p>
    <w:p>
      <w:pPr>
        <w:pStyle w:val="Normal"/>
        <w:bidi w:val="0"/>
        <w:jc w:val="start"/>
        <w:rPr/>
      </w:pPr>
      <w:r>
        <w:rPr/>
      </w:r>
    </w:p>
    <w:p>
      <w:pPr>
        <w:pStyle w:val="Normal"/>
        <w:bidi w:val="0"/>
        <w:jc w:val="start"/>
        <w:rPr>
          <w:b/>
          <w:bCs/>
        </w:rPr>
      </w:pPr>
      <w:r>
        <w:rPr>
          <w:b/>
          <w:bCs/>
        </w:rPr>
        <w:t>1. Operational Downtime — Sound, conservative</w:t>
      </w:r>
    </w:p>
    <w:p>
      <w:pPr>
        <w:pStyle w:val="Normal"/>
        <w:bidi w:val="0"/>
        <w:jc w:val="start"/>
        <w:rPr/>
      </w:pPr>
      <w:r>
        <w:rPr/>
      </w:r>
    </w:p>
    <w:p>
      <w:pPr>
        <w:pStyle w:val="Normal"/>
        <w:bidi w:val="0"/>
        <w:jc w:val="start"/>
        <w:rPr/>
      </w:pPr>
      <w:r>
        <w:rPr>
          <w:b/>
          <w:bCs/>
        </w:rPr>
        <w:t>Grounding:</w:t>
      </w:r>
      <w:r>
        <w:rPr/>
        <w:t xml:space="preserve"> The sector factors are calibrated from the IBM Cost of a Data Breach 2025 report (Figure 3), which is the most widely cited industry source. The 0.90–1.10 normalization range is deliberately conservative. The continuous GAP→downtime formula (0.5–3.0 days) is reasonable for an expected-value estimate of core system outage.</w:t>
      </w:r>
    </w:p>
    <w:p>
      <w:pPr>
        <w:pStyle w:val="Normal"/>
        <w:bidi w:val="0"/>
        <w:jc w:val="start"/>
        <w:rPr/>
      </w:pPr>
      <w:r>
        <w:rPr/>
      </w:r>
    </w:p>
    <w:p>
      <w:pPr>
        <w:pStyle w:val="Normal"/>
        <w:bidi w:val="0"/>
        <w:jc w:val="start"/>
        <w:rPr/>
      </w:pPr>
      <w:r>
        <w:rPr>
          <w:b/>
          <w:bCs/>
        </w:rPr>
        <w:t>Concern — Downtime range may be too narrow:</w:t>
      </w:r>
      <w:r>
        <w:rPr/>
        <w:t xml:space="preserve"> Real-world ransomware incidents often cause 5–21+ days of disruption (Maersk: ~10 days, Colonial Pipeline: 6 days, Change Healthcare 2024: weeks). The 0.5–3.0 day ceiling models an average incident, not a severe one. This is defensible for a compliance-level estimate but may understate tail risk. A note that this is a "typical incident" estimate (not worst-case) would help users interpret results correctly.</w:t>
      </w:r>
    </w:p>
    <w:p>
      <w:pPr>
        <w:pStyle w:val="Normal"/>
        <w:bidi w:val="0"/>
        <w:jc w:val="start"/>
        <w:rPr/>
      </w:pPr>
      <w:r>
        <w:rPr/>
      </w:r>
    </w:p>
    <w:p>
      <w:pPr>
        <w:pStyle w:val="Normal"/>
        <w:bidi w:val="0"/>
        <w:jc w:val="start"/>
        <w:rPr/>
      </w:pPr>
      <w:r>
        <w:rPr>
          <w:b/>
          <w:bCs/>
        </w:rPr>
        <w:t>Input gap — No organization size/complexity factor:</w:t>
      </w:r>
      <w:r>
        <w:rPr/>
        <w:t xml:space="preserve"> Only revenue drives the cost. Two companies with identical revenue but one having 50 employees and the other 500 will have very different downtime impacts. The OrgSize enum (MICRO→ENTERPRISE) exists in the schema but isn't used. Adding it as a mild multiplier on downtime days or adjusted daily loss would improve accuracy.</w:t>
      </w:r>
    </w:p>
    <w:p>
      <w:pPr>
        <w:pStyle w:val="Normal"/>
        <w:bidi w:val="0"/>
        <w:jc w:val="start"/>
        <w:rPr/>
      </w:pPr>
      <w:r>
        <w:rPr/>
      </w:r>
    </w:p>
    <w:p>
      <w:pPr>
        <w:pStyle w:val="Normal"/>
        <w:bidi w:val="0"/>
        <w:jc w:val="start"/>
        <w:rPr>
          <w:b/>
          <w:bCs/>
        </w:rPr>
      </w:pPr>
      <w:r>
        <w:rPr>
          <w:b/>
          <w:bCs/>
        </w:rPr>
        <w:t>2. Incident Response &amp; Forensics (IR) — Sound</w:t>
      </w:r>
    </w:p>
    <w:p>
      <w:pPr>
        <w:pStyle w:val="Normal"/>
        <w:bidi w:val="0"/>
        <w:jc w:val="start"/>
        <w:rPr/>
      </w:pPr>
      <w:r>
        <w:rPr/>
      </w:r>
    </w:p>
    <w:p>
      <w:pPr>
        <w:pStyle w:val="Normal"/>
        <w:bidi w:val="0"/>
        <w:jc w:val="start"/>
        <w:rPr/>
      </w:pPr>
      <w:r>
        <w:rPr>
          <w:b/>
          <w:bCs/>
        </w:rPr>
        <w:t>Grounding:</w:t>
      </w:r>
      <w:r>
        <w:rPr/>
        <w:t xml:space="preserve"> IBM 2024 reports average detection+escalation costs of $1.63M and post-breach response of $1.35M globally. For the €50-250M revenue tier, an IR base of €1.2M is in the right ballpark. The maturity multiplier range (0.8–1.3) aligns with IBM's finding that organizations with IR plans and regular testing save ~$2.66M per breach.</w:t>
      </w:r>
    </w:p>
    <w:p>
      <w:pPr>
        <w:pStyle w:val="Normal"/>
        <w:bidi w:val="0"/>
        <w:jc w:val="start"/>
        <w:rPr/>
      </w:pPr>
      <w:r>
        <w:rPr/>
      </w:r>
    </w:p>
    <w:p>
      <w:pPr>
        <w:pStyle w:val="Normal"/>
        <w:bidi w:val="0"/>
        <w:jc w:val="start"/>
        <w:rPr/>
      </w:pPr>
      <w:r>
        <w:rPr>
          <w:b/>
          <w:bCs/>
        </w:rPr>
        <w:t>Concern — Revenue tier discontinuities:</w:t>
      </w:r>
      <w:r>
        <w:rPr/>
        <w:t xml:space="preserve"> At exactly €50M, the IR base jumps from €500K to €1.2M (2.4× increase for negligible revenue change). Same at €250M boundary (1.2M→3M). A continuous or interpolated function would be smoother, but the step function is simpler to explain to non-technical stakeholders. Acceptable trade-off for a compliance tool.</w:t>
      </w:r>
    </w:p>
    <w:p>
      <w:pPr>
        <w:pStyle w:val="Normal"/>
        <w:bidi w:val="0"/>
        <w:jc w:val="start"/>
        <w:rPr/>
      </w:pPr>
      <w:r>
        <w:rPr/>
      </w:r>
    </w:p>
    <w:p>
      <w:pPr>
        <w:pStyle w:val="Normal"/>
        <w:bidi w:val="0"/>
        <w:jc w:val="start"/>
        <w:rPr/>
      </w:pPr>
      <w:r>
        <w:rPr>
          <w:b/>
          <w:bCs/>
        </w:rPr>
        <w:t>Minor concern — IR safeguard grouping:</w:t>
      </w:r>
      <w:r>
        <w:rPr/>
        <w:t xml:space="preserve"> Only 3 safeguards (17.2, 17.1, 17.5) feed the IR score. Safeguard 8.11 (Monitoring/Detection) arguably belongs in IR scoring since detection capability directly affects IR cost and duration. It's currently in the overall GAP score but not the IR sub-score. Worth considering.</w:t>
      </w:r>
    </w:p>
    <w:p>
      <w:pPr>
        <w:pStyle w:val="Normal"/>
        <w:bidi w:val="0"/>
        <w:jc w:val="start"/>
        <w:rPr/>
      </w:pPr>
      <w:r>
        <w:rPr/>
      </w:r>
    </w:p>
    <w:p>
      <w:pPr>
        <w:pStyle w:val="Normal"/>
        <w:bidi w:val="0"/>
        <w:jc w:val="start"/>
        <w:rPr>
          <w:b/>
          <w:bCs/>
        </w:rPr>
      </w:pPr>
      <w:r>
        <w:rPr>
          <w:b/>
          <w:bCs/>
        </w:rPr>
        <w:t>3. System Restoration &amp; Rebuild — Sound, slightly high</w:t>
      </w:r>
    </w:p>
    <w:p>
      <w:pPr>
        <w:pStyle w:val="Normal"/>
        <w:bidi w:val="0"/>
        <w:jc w:val="start"/>
        <w:rPr/>
      </w:pPr>
      <w:r>
        <w:rPr/>
      </w:r>
    </w:p>
    <w:p>
      <w:pPr>
        <w:pStyle w:val="Normal"/>
        <w:bidi w:val="0"/>
        <w:jc w:val="start"/>
        <w:rPr/>
      </w:pPr>
      <w:r>
        <w:rPr>
          <w:b/>
          <w:bCs/>
        </w:rPr>
        <w:t>Grounding:</w:t>
      </w:r>
      <w:r>
        <w:rPr/>
        <w:t xml:space="preserve"> Base costs (€400K–€2.5M) cover reinstallation, cloud re-provisioning, data restoration and validation. These are plausible for mid-market to large organizations.</w:t>
      </w:r>
    </w:p>
    <w:p>
      <w:pPr>
        <w:pStyle w:val="Normal"/>
        <w:bidi w:val="0"/>
        <w:jc w:val="start"/>
        <w:rPr/>
      </w:pPr>
      <w:r>
        <w:rPr/>
      </w:r>
    </w:p>
    <w:p>
      <w:pPr>
        <w:pStyle w:val="Normal"/>
        <w:bidi w:val="0"/>
        <w:jc w:val="start"/>
        <w:rPr/>
      </w:pPr>
      <w:r>
        <w:rPr>
          <w:b/>
          <w:bCs/>
        </w:rPr>
        <w:t>Concern — Infrastructure type not modeled:</w:t>
      </w:r>
      <w:r>
        <w:rPr/>
        <w:t xml:space="preserve"> Cloud-native organizations restore significantly faster and cheaper than on-premise or hybrid ones. The schema has infrastructureTypes (array field) that could differentiate this. A cloud-heavy organization might get a 0.7× multiplier while a legacy on-premise shop gets 1.3×. This would improve accuracy meaningfully.</w:t>
      </w:r>
    </w:p>
    <w:p>
      <w:pPr>
        <w:pStyle w:val="Normal"/>
        <w:bidi w:val="0"/>
        <w:jc w:val="start"/>
        <w:rPr/>
      </w:pPr>
      <w:r>
        <w:rPr/>
      </w:r>
    </w:p>
    <w:p>
      <w:pPr>
        <w:pStyle w:val="Normal"/>
        <w:bidi w:val="0"/>
        <w:jc w:val="start"/>
        <w:rPr/>
      </w:pPr>
      <w:r>
        <w:rPr>
          <w:b/>
          <w:bCs/>
        </w:rPr>
        <w:t>Concern — Same maturity formula as IR:</w:t>
      </w:r>
      <w:r>
        <w:rPr/>
        <w:t xml:space="preserve"> The restore maturity multiplier uses the identical formula as IR (1.3 − ((score−1)/4) × 0.5). This is reasonable since both represent "preparedness → cost reduction" relationships, but the slopes could differ — backup maturity arguably has a stronger cost-reduction effect on restoration than IR maturity has on forensics.</w:t>
      </w:r>
    </w:p>
    <w:p>
      <w:pPr>
        <w:pStyle w:val="Normal"/>
        <w:bidi w:val="0"/>
        <w:jc w:val="start"/>
        <w:rPr/>
      </w:pPr>
      <w:r>
        <w:rPr/>
      </w:r>
    </w:p>
    <w:p>
      <w:pPr>
        <w:pStyle w:val="Normal"/>
        <w:bidi w:val="0"/>
        <w:jc w:val="start"/>
        <w:rPr>
          <w:b/>
          <w:bCs/>
        </w:rPr>
      </w:pPr>
      <w:r>
        <w:rPr>
          <w:b/>
          <w:bCs/>
        </w:rPr>
        <w:t>4. Extended Business Interruption (EBI) — Sound, good design</w:t>
      </w:r>
    </w:p>
    <w:p>
      <w:pPr>
        <w:pStyle w:val="Normal"/>
        <w:bidi w:val="0"/>
        <w:jc w:val="start"/>
        <w:rPr/>
      </w:pPr>
      <w:r>
        <w:rPr/>
      </w:r>
    </w:p>
    <w:p>
      <w:pPr>
        <w:pStyle w:val="Normal"/>
        <w:bidi w:val="0"/>
        <w:jc w:val="start"/>
        <w:rPr/>
      </w:pPr>
      <w:r>
        <w:rPr>
          <w:b/>
          <w:bCs/>
        </w:rPr>
        <w:t>Grounding:</w:t>
      </w:r>
      <w:r>
        <w:rPr/>
        <w:t xml:space="preserve"> EBI captures post-recovery productivity loss, which is a commonly overlooked cost in simpler models. IBM doesn't break this out separately, but real-world accounts consistently describe weeks of reduced productivity after core systems are restored. Including it as a distinct category is a strength of this model.</w:t>
      </w:r>
    </w:p>
    <w:p>
      <w:pPr>
        <w:pStyle w:val="Normal"/>
        <w:bidi w:val="0"/>
        <w:jc w:val="start"/>
        <w:rPr/>
      </w:pPr>
      <w:r>
        <w:rPr/>
      </w:r>
    </w:p>
    <w:p>
      <w:pPr>
        <w:pStyle w:val="Normal"/>
        <w:bidi w:val="0"/>
        <w:jc w:val="start"/>
        <w:rPr/>
      </w:pPr>
      <w:r>
        <w:rPr>
          <w:b/>
          <w:bCs/>
        </w:rPr>
        <w:t>Design strength:</w:t>
      </w:r>
      <w:r>
        <w:rPr/>
        <w:t xml:space="preserve"> Using raw dailyRevenue (not adjustedDailyLoss) is correct — EBI is about general business friction, not IT-specific loss. The compressed multipliers appropriately moderate the various adjustment factors.</w:t>
      </w:r>
    </w:p>
    <w:p>
      <w:pPr>
        <w:pStyle w:val="Normal"/>
        <w:bidi w:val="0"/>
        <w:jc w:val="start"/>
        <w:rPr/>
      </w:pPr>
      <w:r>
        <w:rPr/>
      </w:r>
    </w:p>
    <w:p>
      <w:pPr>
        <w:pStyle w:val="Normal"/>
        <w:bidi w:val="0"/>
        <w:jc w:val="start"/>
        <w:rPr/>
      </w:pPr>
      <w:r>
        <w:rPr>
          <w:b/>
          <w:bCs/>
        </w:rPr>
        <w:t>Minor concern:</w:t>
      </w:r>
      <w:r>
        <w:rPr/>
        <w:t xml:space="preserve"> The linear relationship between downtime days and EBI (recovery friction = 0.5 × downtime days) is simplistic. Short outages (&lt;1 day) often have near-zero EBI (staff just catch up), while long outages can have super-linear EBI (cascading backlogs, lost context). But the linear model is a reasonable first-order approximation.</w:t>
      </w:r>
    </w:p>
    <w:p>
      <w:pPr>
        <w:pStyle w:val="Normal"/>
        <w:bidi w:val="0"/>
        <w:jc w:val="start"/>
        <w:rPr/>
      </w:pPr>
      <w:r>
        <w:rPr/>
      </w:r>
    </w:p>
    <w:p>
      <w:pPr>
        <w:pStyle w:val="Normal"/>
        <w:bidi w:val="0"/>
        <w:jc w:val="start"/>
        <w:rPr>
          <w:b/>
          <w:bCs/>
        </w:rPr>
      </w:pPr>
      <w:r>
        <w:rPr>
          <w:b/>
          <w:bCs/>
        </w:rPr>
        <w:t>5. Customer &amp; Contract Loss (CCL) — Sound, conservative / SKIPPED FOR NOW</w:t>
      </w:r>
    </w:p>
    <w:p>
      <w:pPr>
        <w:pStyle w:val="Normal"/>
        <w:bidi w:val="0"/>
        <w:jc w:val="start"/>
        <w:rPr/>
      </w:pPr>
      <w:r>
        <w:rPr/>
      </w:r>
    </w:p>
    <w:p>
      <w:pPr>
        <w:pStyle w:val="Normal"/>
        <w:bidi w:val="0"/>
        <w:jc w:val="start"/>
        <w:rPr/>
      </w:pPr>
      <w:r>
        <w:rPr>
          <w:b/>
          <w:bCs/>
        </w:rPr>
        <w:t>Grounding:</w:t>
      </w:r>
      <w:r>
        <w:rPr/>
        <w:t xml:space="preserve"> The base percentages (B2B: 0.2–0.8%, B2C: 0.3–1.2% of annual revenue) are deliberately conservative. IBM reports average lost business costs of $1.47M for a typical breach. For a €75M company, the model produces €219K–€400K depending on maturity, which is in the right range.</w:t>
      </w:r>
    </w:p>
    <w:p>
      <w:pPr>
        <w:pStyle w:val="Normal"/>
        <w:bidi w:val="0"/>
        <w:jc w:val="start"/>
        <w:rPr/>
      </w:pPr>
      <w:r>
        <w:rPr/>
      </w:r>
    </w:p>
    <w:p>
      <w:pPr>
        <w:pStyle w:val="Normal"/>
        <w:bidi w:val="0"/>
        <w:jc w:val="start"/>
        <w:rPr/>
      </w:pPr>
      <w:r>
        <w:rPr>
          <w:b/>
          <w:bCs/>
        </w:rPr>
        <w:t>Strength:</w:t>
      </w:r>
      <w:r>
        <w:rPr/>
        <w:t xml:space="preserve"> The B2B/B2C distinction, revenue concentration factor, and clamped severity adjustment (0.8–1.2) are all well-designed. The IR adjustment reflecting incident communication quality is a nice touch.</w:t>
      </w:r>
    </w:p>
    <w:p>
      <w:pPr>
        <w:pStyle w:val="Normal"/>
        <w:bidi w:val="0"/>
        <w:jc w:val="start"/>
        <w:rPr/>
      </w:pPr>
      <w:r>
        <w:rPr/>
      </w:r>
    </w:p>
    <w:p>
      <w:pPr>
        <w:pStyle w:val="Normal"/>
        <w:bidi w:val="0"/>
        <w:jc w:val="start"/>
        <w:rPr>
          <w:highlight w:val="none"/>
          <w:shd w:fill="FFDBB6" w:val="clear"/>
        </w:rPr>
      </w:pPr>
      <w:r>
        <w:rPr>
          <w:b/>
          <w:bCs/>
          <w:shd w:fill="FFDBB6" w:val="clear"/>
        </w:rPr>
        <w:t>Input gap — No contract/SLA structure:</w:t>
      </w:r>
      <w:r>
        <w:rPr>
          <w:shd w:fill="FFDBB6" w:val="clear"/>
        </w:rPr>
        <w:t xml:space="preserve"> Organizations with strict SLA penalty clauses or uptime guarantees face materially different CCL risks. This data isn't in the schema and would be hard to collect, so omitting it is pragmatic. But a checkbox for "SLA-heavy contracts" that adds a mild uplift (e.g., 1.2×) could be valuable.</w:t>
      </w:r>
    </w:p>
    <w:p>
      <w:pPr>
        <w:pStyle w:val="Normal"/>
        <w:bidi w:val="0"/>
        <w:jc w:val="start"/>
        <w:rPr>
          <w:highlight w:val="none"/>
          <w:shd w:fill="FFDBB6" w:val="clear"/>
        </w:rPr>
      </w:pPr>
      <w:r>
        <w:rPr>
          <w:shd w:fill="FFDBB6" w:val="clear"/>
        </w:rPr>
      </w:r>
    </w:p>
    <w:p>
      <w:pPr>
        <w:pStyle w:val="Normal"/>
        <w:bidi w:val="0"/>
        <w:jc w:val="start"/>
        <w:rPr>
          <w:highlight w:val="none"/>
          <w:shd w:fill="FFDBB6" w:val="clear"/>
        </w:rPr>
      </w:pPr>
      <w:r>
        <w:rPr>
          <w:b/>
          <w:bCs/>
          <w:shd w:fill="FFDBB6" w:val="clear"/>
        </w:rPr>
        <w:t>Input gap — Customer switching costs:</w:t>
      </w:r>
      <w:r>
        <w:rPr>
          <w:shd w:fill="FFDBB6" w:val="clear"/>
        </w:rPr>
        <w:t xml:space="preserve"> In industries with high switching costs (banking, ERP), churn after incidents is much lower. In low-switching-cost industries (consumer SaaS, retail), churn is higher. The sector factor partially captures this but not strongly.</w:t>
      </w:r>
    </w:p>
    <w:p>
      <w:pPr>
        <w:pStyle w:val="Normal"/>
        <w:bidi w:val="0"/>
        <w:jc w:val="start"/>
        <w:rPr/>
      </w:pPr>
      <w:r>
        <w:rPr/>
      </w:r>
    </w:p>
    <w:p>
      <w:pPr>
        <w:pStyle w:val="Normal"/>
        <w:bidi w:val="0"/>
        <w:jc w:val="start"/>
        <w:rPr>
          <w:b/>
          <w:bCs/>
        </w:rPr>
      </w:pPr>
      <w:r>
        <w:rPr>
          <w:b/>
          <w:bCs/>
        </w:rPr>
        <w:t>6. Regulatory &amp; Supervisory Cost — Sound</w:t>
      </w:r>
    </w:p>
    <w:p>
      <w:pPr>
        <w:pStyle w:val="Normal"/>
        <w:bidi w:val="0"/>
        <w:jc w:val="start"/>
        <w:rPr/>
      </w:pPr>
      <w:r>
        <w:rPr/>
      </w:r>
    </w:p>
    <w:p>
      <w:pPr>
        <w:pStyle w:val="Normal"/>
        <w:bidi w:val="0"/>
        <w:jc w:val="start"/>
        <w:rPr/>
      </w:pPr>
      <w:r>
        <w:rPr>
          <w:b/>
          <w:bCs/>
        </w:rPr>
        <w:t>Grounding:</w:t>
      </w:r>
      <w:r>
        <w:rPr/>
        <w:t xml:space="preserve"> This correctly models regulatory compliance burden after an incident — documentation, audits, legal advisory, remediation planning — which is distinct from fines. The base costs (€250K–€1.8M) are plausible for the scale of regulatory response required under NIS2 and GDPR.</w:t>
      </w:r>
    </w:p>
    <w:p>
      <w:pPr>
        <w:pStyle w:val="Normal"/>
        <w:bidi w:val="0"/>
        <w:jc w:val="start"/>
        <w:rPr/>
      </w:pPr>
      <w:r>
        <w:rPr/>
      </w:r>
    </w:p>
    <w:p>
      <w:pPr>
        <w:pStyle w:val="Normal"/>
        <w:bidi w:val="0"/>
        <w:jc w:val="start"/>
        <w:rPr/>
      </w:pPr>
      <w:r>
        <w:rPr>
          <w:b/>
          <w:bCs/>
        </w:rPr>
        <w:t>Strength:</w:t>
      </w:r>
      <w:r>
        <w:rPr/>
        <w:t xml:space="preserve"> The 0.6 sector compression (higher than the 0.5 used elsewhere) appropriately reflects that regulated industries (healthcare, finance) face more intense supervisory scrutiny.</w:t>
      </w:r>
    </w:p>
    <w:p>
      <w:pPr>
        <w:pStyle w:val="Normal"/>
        <w:bidi w:val="0"/>
        <w:jc w:val="start"/>
        <w:rPr/>
      </w:pPr>
      <w:r>
        <w:rPr/>
      </w:r>
    </w:p>
    <w:p>
      <w:pPr>
        <w:pStyle w:val="Normal"/>
        <w:bidi w:val="0"/>
        <w:jc w:val="start"/>
        <w:rPr/>
      </w:pPr>
      <w:r>
        <w:rPr>
          <w:b/>
          <w:bCs/>
        </w:rPr>
        <w:t>Input gap — Multi-framework exposure:</w:t>
      </w:r>
      <w:r>
        <w:rPr/>
        <w:t xml:space="preserve"> An organization subject to NIS2 + GDPR + DORA + sector-specific regulation faces compounding supervisory costs that could be 2–3× the single-framework estimate. The model doesn't account for the organization's regulatoryObligations array field, which exists in the schema and could drive a framework-count multiplier.</w:t>
      </w:r>
    </w:p>
    <w:p>
      <w:pPr>
        <w:pStyle w:val="Normal"/>
        <w:bidi w:val="0"/>
        <w:jc w:val="start"/>
        <w:rPr/>
      </w:pPr>
      <w:r>
        <w:rPr/>
      </w:r>
    </w:p>
    <w:p>
      <w:pPr>
        <w:pStyle w:val="Normal"/>
        <w:bidi w:val="0"/>
        <w:jc w:val="start"/>
        <w:rPr/>
      </w:pPr>
      <w:r>
        <w:rPr>
          <w:b/>
          <w:bCs/>
        </w:rPr>
        <w:t>Input gap — Cross-border operations:</w:t>
      </w:r>
      <w:r>
        <w:rPr/>
        <w:t xml:space="preserve"> Operating across multiple EU jurisdictions means multiple supervisory authorities, multiplying notification and response effort. geographicScope exists in the schema but isn't used.</w:t>
      </w:r>
    </w:p>
    <w:p>
      <w:pPr>
        <w:pStyle w:val="Normal"/>
        <w:bidi w:val="0"/>
        <w:jc w:val="start"/>
        <w:rPr/>
      </w:pPr>
      <w:r>
        <w:rPr/>
      </w:r>
    </w:p>
    <w:p>
      <w:pPr>
        <w:pStyle w:val="Normal"/>
        <w:bidi w:val="0"/>
        <w:jc w:val="start"/>
        <w:rPr>
          <w:b/>
          <w:bCs/>
        </w:rPr>
      </w:pPr>
      <w:r>
        <w:rPr>
          <w:b/>
          <w:bCs/>
        </w:rPr>
        <w:t>7. Reputational Impact — Sound, hardest to validate</w:t>
      </w:r>
    </w:p>
    <w:p>
      <w:pPr>
        <w:pStyle w:val="Normal"/>
        <w:bidi w:val="0"/>
        <w:jc w:val="start"/>
        <w:rPr/>
      </w:pPr>
      <w:r>
        <w:rPr/>
      </w:r>
    </w:p>
    <w:p>
      <w:pPr>
        <w:pStyle w:val="Normal"/>
        <w:bidi w:val="0"/>
        <w:jc w:val="start"/>
        <w:rPr/>
      </w:pPr>
      <w:r>
        <w:rPr>
          <w:b/>
          <w:bCs/>
        </w:rPr>
        <w:t>Grounding:</w:t>
      </w:r>
      <w:r>
        <w:rPr/>
        <w:t xml:space="preserve"> Reputational damage is inherently the most difficult to quantify. The model takes a conservative approach with low base percentages (B2B: 0.15%, B2C: 0.40%). The B2C visibility multiplier (1.5×) reflects that consumer-facing breaches get disproportionate media coverage. IBM's "lost business" category partially covers this but doesn't separate reputation from direct churn.</w:t>
      </w:r>
    </w:p>
    <w:p>
      <w:pPr>
        <w:pStyle w:val="Normal"/>
        <w:bidi w:val="0"/>
        <w:jc w:val="start"/>
        <w:rPr/>
      </w:pPr>
      <w:r>
        <w:rPr/>
      </w:r>
    </w:p>
    <w:p>
      <w:pPr>
        <w:pStyle w:val="Normal"/>
        <w:bidi w:val="0"/>
        <w:jc w:val="start"/>
        <w:rPr/>
      </w:pPr>
      <w:r>
        <w:rPr>
          <w:b/>
          <w:bCs/>
        </w:rPr>
        <w:t>Input gap — Data sensitivity:</w:t>
      </w:r>
      <w:r>
        <w:rPr/>
        <w:t xml:space="preserve"> The type of data compromised dramatically affects reputational impact. A breach of health records, children's data, or financial credentials causes far more damage than exposure of business email addresses. The organization's dataSensitivity field (with values like SPECIAL_CATEGORY, PAYMENT_CARD, CUSTOMER_PII) exists in the schema and would be highly valuable here. A sensitivity multiplier (e.g., BASIC_BUSINESS=0.8,</w:t>
      </w:r>
    </w:p>
    <w:p>
      <w:pPr>
        <w:pStyle w:val="Normal"/>
        <w:bidi w:val="0"/>
        <w:jc w:val="start"/>
        <w:rPr/>
      </w:pPr>
      <w:r>
        <w:rPr/>
        <w:t xml:space="preserve"> </w:t>
      </w:r>
      <w:r>
        <w:rPr/>
        <w:t>CUSTOMER_PII=1.0, SPECIAL_CATEGORY=1.5, PAYMENT_CARD=1.3) would significantly improve this estimate.</w:t>
      </w:r>
    </w:p>
    <w:p>
      <w:pPr>
        <w:pStyle w:val="Normal"/>
        <w:bidi w:val="0"/>
        <w:jc w:val="start"/>
        <w:rPr/>
      </w:pPr>
      <w:r>
        <w:rPr/>
      </w:r>
    </w:p>
    <w:p>
      <w:pPr>
        <w:pStyle w:val="Normal"/>
        <w:bidi w:val="0"/>
        <w:jc w:val="start"/>
        <w:rPr>
          <w:highlight w:val="none"/>
          <w:shd w:fill="FFDBB6" w:val="clear"/>
        </w:rPr>
      </w:pPr>
      <w:r>
        <w:rPr>
          <w:b/>
          <w:bCs/>
          <w:shd w:fill="FFDBB6" w:val="clear"/>
        </w:rPr>
        <w:t>Input gap — Organization visibility</w:t>
      </w:r>
      <w:r>
        <w:rPr>
          <w:shd w:fill="FFDBB6" w:val="clear"/>
        </w:rPr>
        <w:t>: A publicly listed company or well-known brand suffers more reputational damage than a niche B2B supplier. No field for this exists in the schema currently.</w:t>
      </w:r>
    </w:p>
    <w:p>
      <w:pPr>
        <w:pStyle w:val="Normal"/>
        <w:bidi w:val="0"/>
        <w:jc w:val="start"/>
        <w:rPr/>
      </w:pPr>
      <w:r>
        <w:rPr/>
      </w:r>
    </w:p>
    <w:p>
      <w:pPr>
        <w:pStyle w:val="Normal"/>
        <w:bidi w:val="0"/>
        <w:jc w:val="start"/>
        <w:rPr>
          <w:b/>
          <w:bCs/>
        </w:rPr>
      </w:pPr>
      <w:r>
        <w:rPr>
          <w:b/>
          <w:bCs/>
        </w:rPr>
        <w:t>8. Management &amp; Governance Cost — Sound</w:t>
      </w:r>
    </w:p>
    <w:p>
      <w:pPr>
        <w:pStyle w:val="Normal"/>
        <w:bidi w:val="0"/>
        <w:jc w:val="start"/>
        <w:rPr/>
      </w:pPr>
      <w:r>
        <w:rPr/>
      </w:r>
    </w:p>
    <w:p>
      <w:pPr>
        <w:pStyle w:val="Normal"/>
        <w:bidi w:val="0"/>
        <w:jc w:val="start"/>
        <w:rPr/>
      </w:pPr>
      <w:r>
        <w:rPr>
          <w:b/>
          <w:bCs/>
        </w:rPr>
        <w:t>Grounding:</w:t>
      </w:r>
      <w:r>
        <w:rPr/>
        <w:t xml:space="preserve"> Executive time, board involvement, governance reviews, and internal investigations are real costs that simpler models overlook. Including this as a distinct category is appropriate. The absence of maturity dependence is correct — boards respond to incidents regardless of organizational maturity.</w:t>
      </w:r>
    </w:p>
    <w:p>
      <w:pPr>
        <w:pStyle w:val="Normal"/>
        <w:bidi w:val="0"/>
        <w:jc w:val="start"/>
        <w:rPr/>
      </w:pPr>
      <w:r>
        <w:rPr/>
      </w:r>
    </w:p>
    <w:p>
      <w:pPr>
        <w:pStyle w:val="Normal"/>
        <w:bidi w:val="0"/>
        <w:rPr>
          <w:highlight w:val="none"/>
          <w:shd w:fill="FFDBB6" w:val="clear"/>
        </w:rPr>
      </w:pPr>
      <w:r>
        <w:rPr>
          <w:b/>
          <w:bCs/>
          <w:shd w:fill="FFDBB6" w:val="clear"/>
        </w:rPr>
        <w:t>Minor concern — Public vs. private:</w:t>
      </w:r>
      <w:r>
        <w:rPr>
          <w:shd w:fill="FFDBB6" w:val="clear"/>
        </w:rPr>
        <w:t xml:space="preserve"> Publicly listed companies face additional governance costs (market disclosure, shareholder communications, analyst calls, potential shareholder litigation). This is a significant cost driver not currently modeled but would require a new schema field.</w:t>
      </w:r>
    </w:p>
    <w:p>
      <w:pPr>
        <w:pStyle w:val="Normal"/>
        <w:bidi w:val="0"/>
        <w:jc w:val="start"/>
        <w:rPr/>
      </w:pPr>
      <w:r>
        <w:rPr/>
      </w:r>
    </w:p>
    <w:p>
      <w:pPr>
        <w:pStyle w:val="Normal"/>
        <w:bidi w:val="0"/>
        <w:jc w:val="start"/>
        <w:rPr>
          <w:highlight w:val="none"/>
          <w:shd w:fill="FFDBB6" w:val="clear"/>
        </w:rPr>
      </w:pPr>
      <w:r>
        <w:rPr>
          <w:b/>
          <w:bCs/>
          <w:shd w:fill="auto" w:val="clear"/>
        </w:rPr>
        <w:t xml:space="preserve">9. </w:t>
      </w:r>
      <w:r>
        <w:rPr>
          <w:b/>
          <w:bCs/>
          <w:shd w:fill="auto" w:val="clear"/>
        </w:rPr>
        <w:t>Administrative Fine Ceiling — WRONG RATES relative to NIS2</w:t>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b/>
          <w:bCs/>
          <w:shd w:fill="auto" w:val="clear"/>
        </w:rPr>
        <w:t>Finding:</w:t>
      </w:r>
      <w:r>
        <w:rPr>
          <w:shd w:fill="auto" w:val="clear"/>
        </w:rPr>
        <w:t xml:space="preserve"> The model labels this as "Statutory maximum administrative fine under NIS2" but uses GDPR Article 83 rates, not NIS2 Article 34 rates:</w:t>
      </w:r>
    </w:p>
    <w:p>
      <w:pPr>
        <w:pStyle w:val="Normal"/>
        <w:bidi w:val="0"/>
        <w:jc w:val="start"/>
        <w:rPr>
          <w:highlight w:val="none"/>
          <w:shd w:fill="auto" w:val="clear"/>
        </w:rPr>
      </w:pPr>
      <w:r>
        <w:rPr>
          <w:shd w:fill="auto" w:val="clear"/>
        </w:rPr>
      </w:r>
    </w:p>
    <w:tbl>
      <w:tblPr>
        <w:tblW w:w="5000" w:type="pct"/>
        <w:jc w:val="start"/>
        <w:tblInd w:w="0" w:type="dxa"/>
        <w:tblLayout w:type="fixed"/>
        <w:tblCellMar>
          <w:top w:w="0" w:type="dxa"/>
          <w:start w:w="0" w:type="dxa"/>
          <w:bottom w:w="0" w:type="dxa"/>
          <w:end w:w="0" w:type="dxa"/>
        </w:tblCellMar>
      </w:tblPr>
      <w:tblGrid>
        <w:gridCol w:w="2409"/>
        <w:gridCol w:w="2409"/>
        <w:gridCol w:w="2410"/>
        <w:gridCol w:w="2410"/>
      </w:tblGrid>
      <w:tr>
        <w:trPr/>
        <w:tc>
          <w:tcPr>
            <w:tcW w:w="2409" w:type="dxa"/>
            <w:tcBorders/>
          </w:tcPr>
          <w:p>
            <w:pPr>
              <w:pStyle w:val="TableContents"/>
              <w:widowControl w:val="false"/>
              <w:suppressLineNumbers/>
              <w:bidi w:val="0"/>
              <w:jc w:val="start"/>
              <w:rPr>
                <w:highlight w:val="none"/>
                <w:shd w:fill="auto" w:val="clear"/>
              </w:rPr>
            </w:pPr>
            <w:r>
              <w:rPr>
                <w:shd w:fill="auto" w:val="clear"/>
              </w:rPr>
            </w:r>
          </w:p>
        </w:tc>
        <w:tc>
          <w:tcPr>
            <w:tcW w:w="2409" w:type="dxa"/>
            <w:tcBorders/>
          </w:tcPr>
          <w:p>
            <w:pPr>
              <w:pStyle w:val="TableContents"/>
              <w:widowControl w:val="false"/>
              <w:suppressLineNumbers/>
              <w:bidi w:val="0"/>
              <w:jc w:val="start"/>
              <w:rPr>
                <w:highlight w:val="none"/>
                <w:shd w:fill="auto" w:val="clear"/>
              </w:rPr>
            </w:pPr>
            <w:r>
              <w:rPr>
                <w:shd w:fill="auto" w:val="clear"/>
              </w:rPr>
              <w:t>Code (in DKK, ≈EUR)</w:t>
            </w:r>
          </w:p>
        </w:tc>
        <w:tc>
          <w:tcPr>
            <w:tcW w:w="2410" w:type="dxa"/>
            <w:tcBorders/>
          </w:tcPr>
          <w:p>
            <w:pPr>
              <w:pStyle w:val="TableContents"/>
              <w:widowControl w:val="false"/>
              <w:suppressLineNumbers/>
              <w:bidi w:val="0"/>
              <w:jc w:val="start"/>
              <w:rPr>
                <w:highlight w:val="none"/>
                <w:shd w:fill="auto" w:val="clear"/>
              </w:rPr>
            </w:pPr>
            <w:r>
              <w:rPr>
                <w:shd w:fill="auto" w:val="clear"/>
              </w:rPr>
              <w:t>Actual NIS2 Art. 34</w:t>
            </w:r>
          </w:p>
        </w:tc>
        <w:tc>
          <w:tcPr>
            <w:tcW w:w="2410" w:type="dxa"/>
            <w:tcBorders/>
          </w:tcPr>
          <w:p>
            <w:pPr>
              <w:pStyle w:val="TableContents"/>
              <w:widowControl w:val="false"/>
              <w:suppressLineNumbers/>
              <w:bidi w:val="0"/>
              <w:jc w:val="start"/>
              <w:rPr>
                <w:highlight w:val="none"/>
                <w:shd w:fill="auto" w:val="clear"/>
              </w:rPr>
            </w:pPr>
            <w:r>
              <w:rPr>
                <w:shd w:fill="auto" w:val="clear"/>
              </w:rPr>
              <w:t>Actual GDPR Art. 83(5)</w:t>
            </w:r>
          </w:p>
        </w:tc>
      </w:tr>
      <w:tr>
        <w:trPr>
          <w:trHeight w:val="354" w:hRule="atLeast"/>
        </w:trPr>
        <w:tc>
          <w:tcPr>
            <w:tcW w:w="2409" w:type="dxa"/>
            <w:tcBorders/>
          </w:tcPr>
          <w:p>
            <w:pPr>
              <w:pStyle w:val="TableContents"/>
              <w:widowControl w:val="false"/>
              <w:suppressLineNumbers/>
              <w:bidi w:val="0"/>
              <w:jc w:val="start"/>
              <w:rPr>
                <w:highlight w:val="none"/>
                <w:shd w:fill="auto" w:val="clear"/>
              </w:rPr>
            </w:pPr>
            <w:r>
              <w:rPr>
                <w:shd w:fill="auto" w:val="clear"/>
              </w:rPr>
              <w:t>Important</w:t>
            </w:r>
          </w:p>
        </w:tc>
        <w:tc>
          <w:tcPr>
            <w:tcW w:w="2409" w:type="dxa"/>
            <w:tcBorders/>
          </w:tcPr>
          <w:p>
            <w:pPr>
              <w:pStyle w:val="TableContents"/>
              <w:widowControl w:val="false"/>
              <w:suppressLineNumbers/>
              <w:bidi w:val="0"/>
              <w:jc w:val="start"/>
              <w:rPr>
                <w:highlight w:val="none"/>
                <w:shd w:fill="auto" w:val="clear"/>
              </w:rPr>
            </w:pPr>
            <w:r>
              <w:rPr>
                <w:shd w:fill="auto" w:val="clear"/>
              </w:rPr>
              <w:t>2% / €10M</w:t>
            </w:r>
          </w:p>
        </w:tc>
        <w:tc>
          <w:tcPr>
            <w:tcW w:w="2410" w:type="dxa"/>
            <w:tcBorders/>
          </w:tcPr>
          <w:p>
            <w:pPr>
              <w:pStyle w:val="TableContents"/>
              <w:widowControl w:val="false"/>
              <w:suppressLineNumbers/>
              <w:bidi w:val="0"/>
              <w:jc w:val="start"/>
              <w:rPr>
                <w:highlight w:val="none"/>
                <w:shd w:fill="auto" w:val="clear"/>
              </w:rPr>
            </w:pPr>
            <w:r>
              <w:rPr>
                <w:shd w:fill="auto" w:val="clear"/>
              </w:rPr>
              <w:t>1.4% / €7M</w:t>
            </w:r>
          </w:p>
        </w:tc>
        <w:tc>
          <w:tcPr>
            <w:tcW w:w="2410" w:type="dxa"/>
            <w:tcBorders/>
          </w:tcPr>
          <w:p>
            <w:pPr>
              <w:pStyle w:val="TableContents"/>
              <w:widowControl w:val="false"/>
              <w:suppressLineNumbers/>
              <w:bidi w:val="0"/>
              <w:jc w:val="start"/>
              <w:rPr>
                <w:highlight w:val="none"/>
                <w:shd w:fill="auto" w:val="clear"/>
              </w:rPr>
            </w:pPr>
            <w:r>
              <w:rPr>
                <w:shd w:fill="auto" w:val="clear"/>
              </w:rPr>
              <w:t>2% / €10M (lower tier)</w:t>
            </w:r>
          </w:p>
        </w:tc>
      </w:tr>
      <w:tr>
        <w:trPr/>
        <w:tc>
          <w:tcPr>
            <w:tcW w:w="2409" w:type="dxa"/>
            <w:tcBorders/>
          </w:tcPr>
          <w:p>
            <w:pPr>
              <w:pStyle w:val="TableContents"/>
              <w:widowControl w:val="false"/>
              <w:suppressLineNumbers/>
              <w:bidi w:val="0"/>
              <w:jc w:val="start"/>
              <w:rPr>
                <w:highlight w:val="none"/>
                <w:shd w:fill="auto" w:val="clear"/>
              </w:rPr>
            </w:pPr>
            <w:r>
              <w:rPr>
                <w:shd w:fill="auto" w:val="clear"/>
              </w:rPr>
              <w:t>Essential</w:t>
            </w:r>
          </w:p>
        </w:tc>
        <w:tc>
          <w:tcPr>
            <w:tcW w:w="2409" w:type="dxa"/>
            <w:tcBorders/>
          </w:tcPr>
          <w:p>
            <w:pPr>
              <w:pStyle w:val="TableContents"/>
              <w:widowControl w:val="false"/>
              <w:suppressLineNumbers/>
              <w:bidi w:val="0"/>
              <w:jc w:val="start"/>
              <w:rPr>
                <w:highlight w:val="none"/>
                <w:shd w:fill="auto" w:val="clear"/>
              </w:rPr>
            </w:pPr>
            <w:r>
              <w:rPr>
                <w:shd w:fill="auto" w:val="clear"/>
              </w:rPr>
              <w:t>4% / €20M</w:t>
            </w:r>
          </w:p>
        </w:tc>
        <w:tc>
          <w:tcPr>
            <w:tcW w:w="2410" w:type="dxa"/>
            <w:tcBorders/>
          </w:tcPr>
          <w:p>
            <w:pPr>
              <w:pStyle w:val="TableContents"/>
              <w:widowControl w:val="false"/>
              <w:suppressLineNumbers/>
              <w:bidi w:val="0"/>
              <w:jc w:val="start"/>
              <w:rPr>
                <w:highlight w:val="none"/>
                <w:shd w:fill="auto" w:val="clear"/>
              </w:rPr>
            </w:pPr>
            <w:r>
              <w:rPr>
                <w:shd w:fill="auto" w:val="clear"/>
              </w:rPr>
              <w:t>2% / €10M</w:t>
            </w:r>
          </w:p>
        </w:tc>
        <w:tc>
          <w:tcPr>
            <w:tcW w:w="2410" w:type="dxa"/>
            <w:tcBorders/>
          </w:tcPr>
          <w:p>
            <w:pPr>
              <w:pStyle w:val="TableContents"/>
              <w:widowControl w:val="false"/>
              <w:suppressLineNumbers/>
              <w:bidi w:val="0"/>
              <w:jc w:val="start"/>
              <w:rPr>
                <w:highlight w:val="none"/>
                <w:shd w:fill="auto" w:val="clear"/>
              </w:rPr>
            </w:pPr>
            <w:r>
              <w:rPr>
                <w:shd w:fill="auto" w:val="clear"/>
              </w:rPr>
              <w:t>4% / €20M (upper tier)</w:t>
            </w:r>
          </w:p>
        </w:tc>
      </w:tr>
    </w:tbl>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shd w:fill="auto" w:val="clear"/>
        </w:rPr>
        <w:t xml:space="preserve"> </w:t>
      </w:r>
      <w:r>
        <w:rPr>
          <w:shd w:fill="auto" w:val="clear"/>
        </w:rPr>
        <w:t>The code uses GDPR rates mapped to NIS2 entity type labels. This overstates NIS2 fine exposure by ~40% for Important entities and ~100% for Essential entities.</w:t>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b/>
          <w:bCs/>
          <w:shd w:fill="auto" w:val="clear"/>
        </w:rPr>
        <w:t>Possible justifications:</w:t>
      </w:r>
    </w:p>
    <w:p>
      <w:pPr>
        <w:pStyle w:val="Normal"/>
        <w:bidi w:val="0"/>
        <w:jc w:val="start"/>
        <w:rPr>
          <w:highlight w:val="none"/>
          <w:shd w:fill="auto" w:val="clear"/>
        </w:rPr>
      </w:pPr>
      <w:r>
        <w:rPr>
          <w:shd w:fill="auto" w:val="clear"/>
        </w:rPr>
        <w:t xml:space="preserve"> </w:t>
      </w:r>
      <w:r>
        <w:rPr>
          <w:shd w:fill="auto" w:val="clear"/>
        </w:rPr>
        <w:t>- The model may intentionally represent combined NIS2+GDPR exposure (a data breach can trigger both). If so, the label should say "combined regulatory fine ceiling" not "NIS2."</w:t>
      </w:r>
    </w:p>
    <w:p>
      <w:pPr>
        <w:pStyle w:val="Normal"/>
        <w:bidi w:val="0"/>
        <w:jc w:val="start"/>
        <w:rPr>
          <w:highlight w:val="none"/>
          <w:shd w:fill="auto" w:val="clear"/>
        </w:rPr>
      </w:pPr>
      <w:r>
        <w:rPr>
          <w:shd w:fill="auto" w:val="clear"/>
        </w:rPr>
        <w:t xml:space="preserve"> </w:t>
      </w:r>
    </w:p>
    <w:p>
      <w:pPr>
        <w:pStyle w:val="Normal"/>
        <w:bidi w:val="0"/>
        <w:jc w:val="start"/>
        <w:rPr>
          <w:highlight w:val="none"/>
          <w:shd w:fill="auto" w:val="clear"/>
        </w:rPr>
      </w:pPr>
      <w:r>
        <w:rPr>
          <w:shd w:fill="auto" w:val="clear"/>
        </w:rPr>
        <w:t xml:space="preserve"> </w:t>
      </w:r>
      <w:r>
        <w:rPr>
          <w:shd w:fill="auto" w:val="clear"/>
        </w:rPr>
        <w:t>- Using the higher GDPR ceiling is more conservative (better to overestimate fines in a risk model).</w:t>
      </w:r>
    </w:p>
    <w:p>
      <w:pPr>
        <w:pStyle w:val="Normal"/>
        <w:bidi w:val="0"/>
        <w:jc w:val="start"/>
        <w:rPr>
          <w:highlight w:val="none"/>
          <w:shd w:fill="auto" w:val="clear"/>
        </w:rPr>
      </w:pPr>
      <w:r>
        <w:rPr>
          <w:shd w:fill="auto" w:val="clear"/>
        </w:rPr>
        <w:t xml:space="preserve"> </w:t>
      </w:r>
    </w:p>
    <w:p>
      <w:pPr>
        <w:pStyle w:val="Normal"/>
        <w:bidi w:val="0"/>
        <w:jc w:val="start"/>
        <w:rPr>
          <w:highlight w:val="none"/>
          <w:shd w:fill="auto" w:val="clear"/>
        </w:rPr>
      </w:pPr>
      <w:r>
        <w:rPr>
          <w:shd w:fill="auto" w:val="clear"/>
        </w:rPr>
        <w:t xml:space="preserve"> </w:t>
      </w:r>
      <w:r>
        <w:rPr>
          <w:shd w:fill="auto" w:val="clear"/>
        </w:rPr>
        <w:t>- Danish national implementation may differ (but NIS2 sets minimums, not maximums — member states can go higher but the baseline is as stated).</w:t>
      </w:r>
    </w:p>
    <w:p>
      <w:pPr>
        <w:pStyle w:val="Normal"/>
        <w:bidi w:val="0"/>
        <w:jc w:val="start"/>
        <w:rPr>
          <w:highlight w:val="none"/>
          <w:shd w:fill="auto" w:val="clear"/>
        </w:rPr>
      </w:pPr>
      <w:r>
        <w:rPr>
          <w:shd w:fill="auto" w:val="clear"/>
        </w:rPr>
      </w:r>
    </w:p>
    <w:p>
      <w:pPr>
        <w:pStyle w:val="Normal"/>
        <w:bidi w:val="0"/>
        <w:jc w:val="start"/>
        <w:rPr>
          <w:highlight w:val="none"/>
          <w:shd w:fill="auto" w:val="clear"/>
        </w:rPr>
      </w:pPr>
      <w:r>
        <w:rPr>
          <w:b/>
          <w:bCs/>
          <w:shd w:fill="auto" w:val="clear"/>
        </w:rPr>
        <w:t>Recommendation:</w:t>
      </w:r>
      <w:r>
        <w:rPr>
          <w:shd w:fill="auto" w:val="clear"/>
        </w:rPr>
        <w:t xml:space="preserve"> Either fix the rates to match actual NIS2 (1.4%/€7M and 2%/€10M), or change the label to "Combined NIS2 + GDPR Administrative Fine Ceiling" and keep the current values. This is a decision for the product owner, not a code change I should make unilaterally. Flag it.</w:t>
      </w:r>
    </w:p>
    <w:p>
      <w:pPr>
        <w:pStyle w:val="Normal"/>
        <w:bidi w:val="0"/>
        <w:jc w:val="start"/>
        <w:rPr/>
      </w:pPr>
      <w:r>
        <w:rPr/>
      </w:r>
    </w:p>
    <w:p>
      <w:pPr>
        <w:pStyle w:val="Normal"/>
        <w:bidi w:val="0"/>
        <w:jc w:val="start"/>
        <w:rPr/>
      </w:pPr>
      <w:r>
        <w:rPr/>
        <w:t xml:space="preserve"> </w:t>
      </w:r>
      <w:r>
        <w:rPr/>
        <w:t>---</w:t>
      </w:r>
    </w:p>
    <w:p>
      <w:pPr>
        <w:pStyle w:val="Normal"/>
        <w:bidi w:val="0"/>
        <w:jc w:val="start"/>
        <w:rPr/>
      </w:pPr>
      <w:r>
        <w:rPr/>
      </w:r>
    </w:p>
    <w:p>
      <w:pPr>
        <w:pStyle w:val="Normal"/>
        <w:bidi w:val="0"/>
        <w:jc w:val="start"/>
        <w:rPr>
          <w:b/>
          <w:bCs/>
        </w:rPr>
      </w:pPr>
      <w:r>
        <w:rPr>
          <w:b/>
          <w:bCs/>
        </w:rPr>
        <w:t>Part 2: Missing Cost Categories</w:t>
      </w:r>
    </w:p>
    <w:p>
      <w:pPr>
        <w:pStyle w:val="Normal"/>
        <w:bidi w:val="0"/>
        <w:jc w:val="start"/>
        <w:rPr/>
      </w:pPr>
      <w:r>
        <w:rPr/>
      </w:r>
    </w:p>
    <w:p>
      <w:pPr>
        <w:pStyle w:val="Normal"/>
        <w:bidi w:val="0"/>
        <w:jc w:val="start"/>
        <w:rPr>
          <w:b/>
          <w:bCs/>
        </w:rPr>
      </w:pPr>
      <w:r>
        <w:rPr>
          <w:b/>
          <w:bCs/>
        </w:rPr>
        <w:t>Should add: Notification Costs</w:t>
      </w:r>
    </w:p>
    <w:p>
      <w:pPr>
        <w:pStyle w:val="Normal"/>
        <w:bidi w:val="0"/>
        <w:jc w:val="start"/>
        <w:rPr/>
      </w:pPr>
      <w:r>
        <w:rPr/>
      </w:r>
    </w:p>
    <w:p>
      <w:pPr>
        <w:pStyle w:val="Normal"/>
        <w:bidi w:val="0"/>
        <w:jc w:val="start"/>
        <w:rPr/>
      </w:pPr>
      <w:r>
        <w:rPr/>
        <w:t>GDPR Article 33/34 and NIS2 Article 23 both require incident notification — to supervisory authorities within 72 hours and to affected individuals without undue delay. IBM reports average notification costs of $430K, covering:</w:t>
      </w:r>
    </w:p>
    <w:p>
      <w:pPr>
        <w:pStyle w:val="Normal"/>
        <w:bidi w:val="0"/>
        <w:jc w:val="start"/>
        <w:rPr/>
      </w:pPr>
      <w:r>
        <w:rPr/>
        <w:t xml:space="preserve"> </w:t>
      </w:r>
      <w:r>
        <w:rPr/>
        <w:t>- Contact database management</w:t>
      </w:r>
    </w:p>
    <w:p>
      <w:pPr>
        <w:pStyle w:val="Normal"/>
        <w:bidi w:val="0"/>
        <w:jc w:val="start"/>
        <w:rPr/>
      </w:pPr>
      <w:r>
        <w:rPr/>
        <w:t xml:space="preserve"> </w:t>
      </w:r>
      <w:r>
        <w:rPr/>
        <w:t>- Communication (letters, email, call centers)</w:t>
      </w:r>
    </w:p>
    <w:p>
      <w:pPr>
        <w:pStyle w:val="Normal"/>
        <w:bidi w:val="0"/>
        <w:jc w:val="start"/>
        <w:rPr/>
      </w:pPr>
      <w:r>
        <w:rPr/>
        <w:t xml:space="preserve"> </w:t>
      </w:r>
      <w:r>
        <w:rPr/>
        <w:t>- Credit/identity monitoring services offered to affected individuals</w:t>
      </w:r>
    </w:p>
    <w:p>
      <w:pPr>
        <w:pStyle w:val="Normal"/>
        <w:bidi w:val="0"/>
        <w:jc w:val="start"/>
        <w:rPr/>
      </w:pPr>
      <w:r>
        <w:rPr/>
        <w:t xml:space="preserve"> </w:t>
      </w:r>
      <w:r>
        <w:rPr/>
        <w:t>- Legal review of notification content</w:t>
      </w:r>
    </w:p>
    <w:p>
      <w:pPr>
        <w:pStyle w:val="Normal"/>
        <w:bidi w:val="0"/>
        <w:jc w:val="start"/>
        <w:rPr/>
      </w:pPr>
      <w:r>
        <w:rPr/>
      </w:r>
    </w:p>
    <w:p>
      <w:pPr>
        <w:pStyle w:val="Normal"/>
        <w:bidi w:val="0"/>
        <w:jc w:val="start"/>
        <w:rPr/>
      </w:pPr>
      <w:r>
        <w:rPr/>
        <w:t>This is a distinct, non-trivial cost currently not modeled anywhere. It could be a simple formula: notificationBase × dataSensitivityMult × orgSizeMult.</w:t>
      </w:r>
    </w:p>
    <w:p>
      <w:pPr>
        <w:pStyle w:val="Normal"/>
        <w:bidi w:val="0"/>
        <w:jc w:val="start"/>
        <w:rPr/>
      </w:pPr>
      <w:r>
        <w:rPr/>
      </w:r>
    </w:p>
    <w:p>
      <w:pPr>
        <w:pStyle w:val="Normal"/>
        <w:bidi w:val="0"/>
        <w:jc w:val="start"/>
        <w:rPr>
          <w:highlight w:val="none"/>
          <w:shd w:fill="FFDBB6" w:val="clear"/>
        </w:rPr>
      </w:pPr>
      <w:r>
        <w:rPr>
          <w:b/>
          <w:bCs/>
          <w:shd w:fill="FFDBB6" w:val="clear"/>
        </w:rPr>
        <w:t>Could add (lower priority):</w:t>
      </w:r>
    </w:p>
    <w:p>
      <w:pPr>
        <w:pStyle w:val="Normal"/>
        <w:bidi w:val="0"/>
        <w:jc w:val="start"/>
        <w:rPr>
          <w:highlight w:val="none"/>
          <w:shd w:fill="FFDBB6" w:val="clear"/>
        </w:rPr>
      </w:pPr>
      <w:r>
        <w:rPr>
          <w:shd w:fill="FFDBB6" w:val="clear"/>
        </w:rPr>
      </w:r>
    </w:p>
    <w:p>
      <w:pPr>
        <w:pStyle w:val="Normal"/>
        <w:bidi w:val="0"/>
        <w:jc w:val="start"/>
        <w:rPr>
          <w:highlight w:val="none"/>
          <w:shd w:fill="FFDBB6" w:val="clear"/>
        </w:rPr>
      </w:pPr>
      <w:r>
        <w:rPr>
          <w:shd w:fill="FFDBB6" w:val="clear"/>
        </w:rPr>
        <w:t xml:space="preserve">- </w:t>
      </w:r>
      <w:r>
        <w:rPr>
          <w:b/>
          <w:bCs/>
          <w:shd w:fill="FFDBB6" w:val="clear"/>
        </w:rPr>
        <w:t>Supply chain penalty costs</w:t>
      </w:r>
      <w:r>
        <w:rPr>
          <w:shd w:fill="FFDBB6" w:val="clear"/>
        </w:rPr>
        <w:t xml:space="preserve"> — Upstream/downstream SLA penalties from partners</w:t>
      </w:r>
    </w:p>
    <w:p>
      <w:pPr>
        <w:pStyle w:val="Normal"/>
        <w:bidi w:val="0"/>
        <w:jc w:val="start"/>
        <w:rPr>
          <w:highlight w:val="none"/>
          <w:shd w:fill="FFDBB6" w:val="clear"/>
        </w:rPr>
      </w:pPr>
      <w:r>
        <w:rPr>
          <w:shd w:fill="FFDBB6" w:val="clear"/>
        </w:rPr>
        <w:t xml:space="preserve">- </w:t>
      </w:r>
      <w:r>
        <w:rPr>
          <w:b/>
          <w:bCs/>
          <w:shd w:fill="FFDBB6" w:val="clear"/>
        </w:rPr>
        <w:t>Cyber insurance premium impact</w:t>
      </w:r>
      <w:r>
        <w:rPr>
          <w:shd w:fill="FFDBB6" w:val="clear"/>
        </w:rPr>
        <w:t xml:space="preserve"> — Post-incident premium increases (typically 25-100%)</w:t>
      </w:r>
    </w:p>
    <w:p>
      <w:pPr>
        <w:pStyle w:val="Normal"/>
        <w:bidi w:val="0"/>
        <w:jc w:val="start"/>
        <w:rPr>
          <w:highlight w:val="none"/>
          <w:shd w:fill="FFDBB6" w:val="clear"/>
        </w:rPr>
      </w:pPr>
      <w:r>
        <w:rPr>
          <w:shd w:fill="FFDBB6" w:val="clear"/>
        </w:rPr>
        <w:t xml:space="preserve">- </w:t>
      </w:r>
      <w:r>
        <w:rPr>
          <w:b/>
          <w:bCs/>
          <w:shd w:fill="FFDBB6" w:val="clear"/>
        </w:rPr>
        <w:t>Ransom consideration</w:t>
      </w:r>
      <w:r>
        <w:rPr>
          <w:shd w:fill="FFDBB6" w:val="clear"/>
        </w:rPr>
        <w:t xml:space="preserve"> — Deliberately omitted, which is appropriate for a compliance tool</w:t>
      </w:r>
    </w:p>
    <w:p>
      <w:pPr>
        <w:pStyle w:val="Normal"/>
        <w:bidi w:val="0"/>
        <w:jc w:val="start"/>
        <w:rPr>
          <w:highlight w:val="none"/>
          <w:shd w:fill="FFDBB6" w:val="clear"/>
        </w:rPr>
      </w:pPr>
      <w:r>
        <w:rPr>
          <w:shd w:fill="FFDBB6" w:val="clear"/>
        </w:rPr>
      </w:r>
    </w:p>
    <w:p>
      <w:pPr>
        <w:pStyle w:val="Normal"/>
        <w:bidi w:val="0"/>
        <w:jc w:val="start"/>
        <w:rPr/>
      </w:pPr>
      <w:r>
        <w:rPr/>
        <w:t xml:space="preserve"> </w:t>
      </w:r>
      <w:r>
        <w:rPr/>
        <w:t>---</w:t>
      </w:r>
    </w:p>
    <w:p>
      <w:pPr>
        <w:pStyle w:val="Normal"/>
        <w:bidi w:val="0"/>
        <w:jc w:val="start"/>
        <w:rPr/>
      </w:pPr>
      <w:r>
        <w:rPr/>
      </w:r>
    </w:p>
    <w:p>
      <w:pPr>
        <w:pStyle w:val="Normal"/>
        <w:bidi w:val="0"/>
        <w:jc w:val="start"/>
        <w:rPr>
          <w:b/>
          <w:bCs/>
        </w:rPr>
      </w:pPr>
      <w:r>
        <w:rPr>
          <w:b/>
          <w:bCs/>
        </w:rPr>
        <w:t>Part 3: Underused Schema Fields</w:t>
      </w:r>
    </w:p>
    <w:p>
      <w:pPr>
        <w:pStyle w:val="Normal"/>
        <w:bidi w:val="0"/>
        <w:jc w:val="start"/>
        <w:rPr/>
      </w:pPr>
      <w:r>
        <w:rPr/>
      </w:r>
    </w:p>
    <w:p>
      <w:pPr>
        <w:pStyle w:val="Normal"/>
        <w:bidi w:val="0"/>
        <w:jc w:val="start"/>
        <w:rPr/>
      </w:pPr>
      <w:r>
        <w:rPr/>
        <w:t>Fields that exist in the database but aren't used in CONC and would improve accuracy:</w:t>
      </w:r>
    </w:p>
    <w:p>
      <w:pPr>
        <w:pStyle w:val="Normal"/>
        <w:bidi w:val="0"/>
        <w:jc w:val="start"/>
        <w:rPr/>
      </w:pPr>
      <w:r>
        <w:rPr/>
      </w:r>
    </w:p>
    <w:p>
      <w:pPr>
        <w:pStyle w:val="Normal"/>
        <w:bidi w:val="0"/>
        <w:jc w:val="start"/>
        <w:rPr/>
      </w:pPr>
      <w:r>
        <w:rPr/>
      </w:r>
    </w:p>
    <w:tbl>
      <w:tblPr>
        <w:tblW w:w="5000" w:type="pct"/>
        <w:jc w:val="start"/>
        <w:tblInd w:w="0" w:type="dxa"/>
        <w:tblLayout w:type="fixed"/>
        <w:tblCellMar>
          <w:top w:w="0" w:type="dxa"/>
          <w:start w:w="0" w:type="dxa"/>
          <w:bottom w:w="0" w:type="dxa"/>
          <w:end w:w="0" w:type="dxa"/>
        </w:tblCellMar>
      </w:tblPr>
      <w:tblGrid>
        <w:gridCol w:w="3212"/>
        <w:gridCol w:w="3213"/>
        <w:gridCol w:w="3213"/>
      </w:tblGrid>
      <w:tr>
        <w:trPr/>
        <w:tc>
          <w:tcPr>
            <w:tcW w:w="3212" w:type="dxa"/>
            <w:tcBorders/>
          </w:tcPr>
          <w:p>
            <w:pPr>
              <w:pStyle w:val="TableContents"/>
              <w:widowControl w:val="false"/>
              <w:suppressLineNumbers/>
              <w:bidi w:val="0"/>
              <w:jc w:val="start"/>
              <w:rPr/>
            </w:pPr>
            <w:r>
              <w:rPr/>
              <w:t>Field</w:t>
            </w:r>
          </w:p>
        </w:tc>
        <w:tc>
          <w:tcPr>
            <w:tcW w:w="3213" w:type="dxa"/>
            <w:tcBorders/>
          </w:tcPr>
          <w:p>
            <w:pPr>
              <w:pStyle w:val="TableContents"/>
              <w:widowControl w:val="false"/>
              <w:suppressLineNumbers/>
              <w:bidi w:val="0"/>
              <w:jc w:val="start"/>
              <w:rPr/>
            </w:pPr>
            <w:r>
              <w:rPr/>
              <w:t>Schema type</w:t>
            </w:r>
          </w:p>
        </w:tc>
        <w:tc>
          <w:tcPr>
            <w:tcW w:w="3213" w:type="dxa"/>
            <w:tcBorders/>
          </w:tcPr>
          <w:p>
            <w:pPr>
              <w:pStyle w:val="TableContents"/>
              <w:widowControl w:val="false"/>
              <w:suppressLineNumbers/>
              <w:bidi w:val="0"/>
              <w:jc w:val="start"/>
              <w:rPr/>
            </w:pPr>
            <w:r>
              <w:rPr/>
              <w:t>Could improve</w:t>
            </w:r>
          </w:p>
        </w:tc>
      </w:tr>
      <w:tr>
        <w:trPr/>
        <w:tc>
          <w:tcPr>
            <w:tcW w:w="3212" w:type="dxa"/>
            <w:tcBorders/>
          </w:tcPr>
          <w:p>
            <w:pPr>
              <w:pStyle w:val="TableContents"/>
              <w:widowControl w:val="false"/>
              <w:suppressLineNumbers/>
              <w:bidi w:val="0"/>
              <w:jc w:val="start"/>
              <w:rPr/>
            </w:pPr>
            <w:r>
              <w:rPr/>
              <w:t>DataSensitivity</w:t>
            </w:r>
          </w:p>
        </w:tc>
        <w:tc>
          <w:tcPr>
            <w:tcW w:w="3213" w:type="dxa"/>
            <w:tcBorders/>
          </w:tcPr>
          <w:p>
            <w:pPr>
              <w:pStyle w:val="TableContents"/>
              <w:widowControl w:val="false"/>
              <w:suppressLineNumbers/>
              <w:bidi w:val="0"/>
              <w:jc w:val="start"/>
              <w:rPr/>
            </w:pPr>
            <w:r>
              <w:rPr/>
              <w:t>DataSensitivity[]</w:t>
            </w:r>
          </w:p>
        </w:tc>
        <w:tc>
          <w:tcPr>
            <w:tcW w:w="3213" w:type="dxa"/>
            <w:tcBorders/>
          </w:tcPr>
          <w:p>
            <w:pPr>
              <w:pStyle w:val="TableContents"/>
              <w:widowControl w:val="false"/>
              <w:suppressLineNumbers/>
              <w:bidi w:val="0"/>
              <w:jc w:val="start"/>
              <w:rPr/>
            </w:pPr>
            <w:r>
              <w:rPr/>
              <w:t>Reputation, CCL, Regulatory, Notification</w:t>
            </w:r>
          </w:p>
        </w:tc>
      </w:tr>
      <w:tr>
        <w:trPr/>
        <w:tc>
          <w:tcPr>
            <w:tcW w:w="3212" w:type="dxa"/>
            <w:tcBorders/>
          </w:tcPr>
          <w:p>
            <w:pPr>
              <w:pStyle w:val="TableContents"/>
              <w:widowControl w:val="false"/>
              <w:suppressLineNumbers/>
              <w:bidi w:val="0"/>
              <w:jc w:val="start"/>
              <w:rPr/>
            </w:pPr>
            <w:r>
              <w:rPr/>
              <w:t>size (OrgSize)</w:t>
            </w:r>
          </w:p>
        </w:tc>
        <w:tc>
          <w:tcPr>
            <w:tcW w:w="3213" w:type="dxa"/>
            <w:tcBorders/>
          </w:tcPr>
          <w:p>
            <w:pPr>
              <w:pStyle w:val="TableContents"/>
              <w:widowControl w:val="false"/>
              <w:suppressLineNumbers/>
              <w:bidi w:val="0"/>
              <w:jc w:val="start"/>
              <w:rPr/>
            </w:pPr>
            <w:r>
              <w:rPr/>
              <w:t>MICRO..ENTERPRISE</w:t>
            </w:r>
          </w:p>
        </w:tc>
        <w:tc>
          <w:tcPr>
            <w:tcW w:w="3213" w:type="dxa"/>
            <w:tcBorders/>
          </w:tcPr>
          <w:p>
            <w:pPr>
              <w:pStyle w:val="TableContents"/>
              <w:widowControl w:val="false"/>
              <w:suppressLineNumbers/>
              <w:bidi w:val="0"/>
              <w:jc w:val="start"/>
              <w:rPr/>
            </w:pPr>
            <w:r>
              <w:rPr/>
              <w:t>IR, Restore, EBI, Governance</w:t>
            </w:r>
          </w:p>
        </w:tc>
      </w:tr>
      <w:tr>
        <w:trPr/>
        <w:tc>
          <w:tcPr>
            <w:tcW w:w="3212" w:type="dxa"/>
            <w:tcBorders/>
          </w:tcPr>
          <w:p>
            <w:pPr>
              <w:pStyle w:val="TableContents"/>
              <w:widowControl w:val="false"/>
              <w:suppressLineNumbers/>
              <w:bidi w:val="0"/>
              <w:jc w:val="start"/>
              <w:rPr/>
            </w:pPr>
            <w:r>
              <w:rPr/>
              <w:t>RegulatoryObligations</w:t>
            </w:r>
          </w:p>
        </w:tc>
        <w:tc>
          <w:tcPr>
            <w:tcW w:w="3213" w:type="dxa"/>
            <w:tcBorders/>
          </w:tcPr>
          <w:p>
            <w:pPr>
              <w:pStyle w:val="TableContents"/>
              <w:widowControl w:val="false"/>
              <w:suppressLineNumbers/>
              <w:bidi w:val="0"/>
              <w:jc w:val="start"/>
              <w:rPr/>
            </w:pPr>
            <w:r>
              <w:rPr/>
              <w:t xml:space="preserve">string[] </w:t>
            </w:r>
          </w:p>
        </w:tc>
        <w:tc>
          <w:tcPr>
            <w:tcW w:w="3213" w:type="dxa"/>
            <w:tcBorders/>
          </w:tcPr>
          <w:p>
            <w:pPr>
              <w:pStyle w:val="TableContents"/>
              <w:widowControl w:val="false"/>
              <w:suppressLineNumbers/>
              <w:bidi w:val="0"/>
              <w:jc w:val="start"/>
              <w:rPr/>
            </w:pPr>
            <w:r>
              <w:rPr/>
              <w:t>Regulatory cost (multi-framework multiplier)</w:t>
            </w:r>
          </w:p>
        </w:tc>
      </w:tr>
      <w:tr>
        <w:trPr/>
        <w:tc>
          <w:tcPr>
            <w:tcW w:w="3212" w:type="dxa"/>
            <w:tcBorders/>
          </w:tcPr>
          <w:p>
            <w:pPr>
              <w:pStyle w:val="TableContents"/>
              <w:widowControl w:val="false"/>
              <w:suppressLineNumbers/>
              <w:bidi w:val="0"/>
              <w:jc w:val="start"/>
              <w:rPr/>
            </w:pPr>
            <w:r>
              <w:rPr/>
              <w:t>GeographicScope</w:t>
            </w:r>
          </w:p>
        </w:tc>
        <w:tc>
          <w:tcPr>
            <w:tcW w:w="3213" w:type="dxa"/>
            <w:tcBorders/>
          </w:tcPr>
          <w:p>
            <w:pPr>
              <w:pStyle w:val="TableContents"/>
              <w:widowControl w:val="false"/>
              <w:suppressLineNumbers/>
              <w:bidi w:val="0"/>
              <w:jc w:val="start"/>
              <w:rPr/>
            </w:pPr>
            <w:r>
              <w:rPr/>
              <w:t>String</w:t>
            </w:r>
          </w:p>
        </w:tc>
        <w:tc>
          <w:tcPr>
            <w:tcW w:w="3213" w:type="dxa"/>
            <w:tcBorders/>
          </w:tcPr>
          <w:p>
            <w:pPr>
              <w:pStyle w:val="TableContents"/>
              <w:widowControl w:val="false"/>
              <w:suppressLineNumbers/>
              <w:bidi w:val="0"/>
              <w:jc w:val="start"/>
              <w:rPr/>
            </w:pPr>
            <w:r>
              <w:rPr/>
              <w:t>Regulatory cost (cross-border multiplier)</w:t>
            </w:r>
          </w:p>
        </w:tc>
      </w:tr>
      <w:tr>
        <w:trPr/>
        <w:tc>
          <w:tcPr>
            <w:tcW w:w="3212" w:type="dxa"/>
            <w:tcBorders/>
          </w:tcPr>
          <w:p>
            <w:pPr>
              <w:pStyle w:val="TableContents"/>
              <w:widowControl w:val="false"/>
              <w:suppressLineNumbers/>
              <w:bidi w:val="0"/>
              <w:jc w:val="start"/>
              <w:rPr/>
            </w:pPr>
            <w:r>
              <w:rPr/>
              <w:t>InfrastructureTypes</w:t>
            </w:r>
          </w:p>
        </w:tc>
        <w:tc>
          <w:tcPr>
            <w:tcW w:w="3213" w:type="dxa"/>
            <w:tcBorders/>
          </w:tcPr>
          <w:p>
            <w:pPr>
              <w:pStyle w:val="TableContents"/>
              <w:widowControl w:val="false"/>
              <w:suppressLineNumbers/>
              <w:bidi w:val="0"/>
              <w:jc w:val="start"/>
              <w:rPr/>
            </w:pPr>
            <w:r>
              <w:rPr/>
              <w:t>String[]</w:t>
            </w:r>
          </w:p>
        </w:tc>
        <w:tc>
          <w:tcPr>
            <w:tcW w:w="3213" w:type="dxa"/>
            <w:tcBorders/>
          </w:tcPr>
          <w:p>
            <w:pPr>
              <w:pStyle w:val="TableContents"/>
              <w:widowControl w:val="false"/>
              <w:suppressLineNumbers/>
              <w:bidi w:val="0"/>
              <w:jc w:val="start"/>
              <w:rPr/>
            </w:pPr>
            <w:r>
              <w:rPr/>
              <w:t>Restore cost (cloud vs on-prem)</w:t>
            </w:r>
          </w:p>
        </w:tc>
      </w:tr>
      <w:tr>
        <w:trPr>
          <w:trHeight w:val="222" w:hRule="atLeast"/>
        </w:trPr>
        <w:tc>
          <w:tcPr>
            <w:tcW w:w="3212" w:type="dxa"/>
            <w:tcBorders/>
          </w:tcPr>
          <w:p>
            <w:pPr>
              <w:pStyle w:val="TableContents"/>
              <w:widowControl w:val="false"/>
              <w:suppressLineNumbers/>
              <w:bidi w:val="0"/>
              <w:jc w:val="start"/>
              <w:rPr/>
            </w:pPr>
            <w:r>
              <w:rPr/>
              <w:t>PublicFacingServices</w:t>
            </w:r>
          </w:p>
        </w:tc>
        <w:tc>
          <w:tcPr>
            <w:tcW w:w="3213" w:type="dxa"/>
            <w:tcBorders/>
          </w:tcPr>
          <w:p>
            <w:pPr>
              <w:pStyle w:val="TableContents"/>
              <w:widowControl w:val="false"/>
              <w:suppressLineNumbers/>
              <w:bidi w:val="0"/>
              <w:jc w:val="start"/>
              <w:rPr/>
            </w:pPr>
            <w:r>
              <w:rPr/>
              <w:t>String</w:t>
            </w:r>
          </w:p>
        </w:tc>
        <w:tc>
          <w:tcPr>
            <w:tcW w:w="3213" w:type="dxa"/>
            <w:tcBorders/>
          </w:tcPr>
          <w:p>
            <w:pPr>
              <w:pStyle w:val="TableContents"/>
              <w:widowControl w:val="false"/>
              <w:suppressLineNumbers/>
              <w:bidi w:val="0"/>
              <w:jc w:val="start"/>
              <w:rPr/>
            </w:pPr>
            <w:r>
              <w:rPr/>
              <w:t>Reputation, CCL</w:t>
            </w:r>
          </w:p>
        </w:tc>
      </w:tr>
    </w:tbl>
    <w:p>
      <w:pPr>
        <w:pStyle w:val="Normal"/>
        <w:bidi w:val="0"/>
        <w:jc w:val="start"/>
        <w:rPr/>
      </w:pPr>
      <w:r>
        <w:rPr/>
      </w:r>
    </w:p>
    <w:p>
      <w:pPr>
        <w:pStyle w:val="Normal"/>
        <w:bidi w:val="0"/>
        <w:jc w:val="start"/>
        <w:rPr/>
      </w:pPr>
      <w:r>
        <w:rPr/>
        <w:t xml:space="preserve">Most impactful additions: </w:t>
      </w:r>
      <w:r>
        <w:rPr>
          <w:b/>
          <w:bCs/>
        </w:rPr>
        <w:t>dataSensitivity</w:t>
      </w:r>
      <w:r>
        <w:rPr/>
        <w:t xml:space="preserve"> and </w:t>
      </w:r>
      <w:r>
        <w:rPr>
          <w:b/>
          <w:bCs/>
        </w:rPr>
        <w:t>size</w:t>
      </w:r>
      <w:r>
        <w:rPr/>
        <w:t>.</w:t>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594</TotalTime>
  <Application>LibreOffice/25.8.5.2$Linux_X86_64 LibreOffice_project/252c20f6956e3db0b52e6e2f9dda67263513c8fc</Application>
  <AppVersion>15.0000</AppVersion>
  <Pages>5</Pages>
  <Words>1598</Words>
  <Characters>9675</Characters>
  <CharactersWithSpaces>11214</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2026-03-13T11:26:02Z</dcterms:created>
  <dc:creator/>
  <dc:description/>
  <dc:language>en-US</dc:language>
  <cp:lastModifiedBy/>
  <dcterms:modified xsi:type="dcterms:W3CDTF">2026-03-14T15:15:21Z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