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EQ56 above</w:t>
      </w:r>
    </w:p>
    <w:p>
      <w:r>
        <w:t xml:space="preserve">EQ56a above</w:t>
      </w:r>
    </w:p>
    <w:p>
      <w:r>
        <w:t xml:space="preserve">EQ56a </w:t>
      </w:r>
      <m:oMath>
        <m:nary>
          <m:naryPr>
            <m:chr m:val="∑"/>
            <m:limLoc m:val="undOvr"/>
          </m:naryPr>
          <m:sub>
            <m:r>
              <m:t>i=1</m:t>
            </m:r>
          </m:sub>
          <m:sup>
            <m:r>
              <m:t>n</m:t>
            </m:r>
          </m:sup>
          <m:e>
            <m:r>
              <m:t>i</m:t>
            </m:r>
          </m:e>
        </m:nary>
      </m:oMath>
      <w:r>
        <w:t xml:space="preserve"> after</w:t>
      </w:r>
    </w:p>
    <w:p>
      <w:r>
        <w:t xml:space="preserve">EQ56a below</w:t>
      </w:r>
    </w:p>
    <w:p>
      <w:r>
        <w:t xml:space="preserve">EQ56ad above</w:t>
      </w:r>
    </w:p>
    <w:p>
      <m:oMathPara>
        <m:oMath>
          <m:nary>
            <m:naryPr>
              <m:chr m:val="∑"/>
              <m:limLoc m:val="undOvr"/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</m:oMath>
      </m:oMathPara>
    </w:p>
    <w:p>
      <w:r>
        <w:t xml:space="preserve">EQ56ad below</w:t>
      </w:r>
    </w:p>
    <w:p>
      <w:r>
        <w:t xml:space="preserve">EQ56b above</w:t>
      </w:r>
    </w:p>
    <w:p>
      <w:r>
        <w:t xml:space="preserve">EQ56b </w:t>
      </w:r>
      <m:oMath>
        <m:nary>
          <m:naryPr>
            <m:chr m:val="∫"/>
            <m:limLoc m:val="subSup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</m:oMath>
      <w:r>
        <w:t xml:space="preserve"> after</w:t>
      </w:r>
    </w:p>
    <w:p>
      <w:r>
        <w:t xml:space="preserve">EQ56b below</w:t>
      </w:r>
    </w:p>
    <w:p>
      <w:r>
        <w:t xml:space="preserve">EQ56bd above</w:t>
      </w:r>
    </w:p>
    <w:p>
      <m:oMathPara>
        <m:oMath>
          <m:nary>
            <m:naryPr>
              <m:chr m:val="∫"/>
              <m:limLoc m:val="subSup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x</m:t>
              </m:r>
            </m:e>
          </m:nary>
        </m:oMath>
      </m:oMathPara>
    </w:p>
    <w:p>
      <w:r>
        <w:t xml:space="preserve">EQ56bd below</w:t>
      </w:r>
    </w:p>
    <w:p>
      <w:r>
        <w:t xml:space="preserve">EQ56c above</w:t>
      </w:r>
    </w:p>
    <w:p>
      <w:r>
        <w:t xml:space="preserve">EQ56c </w:t>
      </w:r>
      <m:oMath>
        <m:f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after</w:t>
      </w:r>
    </w:p>
    <w:p>
      <w:r>
        <w:t xml:space="preserve">EQ56c below</w:t>
      </w:r>
    </w:p>
    <w:p>
      <w:r>
        <w:t xml:space="preserve">EQ56cd above</w:t>
      </w:r>
    </w:p>
    <w:p>
      <m:oMathPara>
        <m:oMath>
          <m:f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p>
      <w:r>
        <w:t xml:space="preserve">EQ56cd below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m:mathPr>
    <m:mathFont m:val="Cambria Math"/>
    <m:smallFrac m:val="1"/>
  </m:math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2026-10-05T18:47:29.039Z</dcterms:created>
  <dcterms:modified xsi:type="dcterms:W3CDTF">2026-10-05T18:47:29.039Z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