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GR13 above</w:t>
      </w:r>
    </w:p>
    <w:p>
      <w:r>
        <w:rPr>
          <w:rFonts w:ascii="Calibri" w:eastAsia="MS Mincho" w:hAnsi="Calibri"/>
          <w:sz w:val="21"/>
          <w:szCs w:val="21"/>
        </w:rPr>
        <w:t xml:space="preserve">GR13 測量は夏に船と徒歩で行われ、灯台から河口まで続いた。記録には見つかったものが書かれている。</w:t>
      </w:r>
      <w:r>
        <w:rPr>
          <w:rStyle w:val="EndnoteReference"/>
        </w:rPr>
        <w:endnoteReference w:id="1"/>
      </w:r>
    </w:p>
    <w:p>
      <w:r>
        <w:t xml:space="preserve">GR13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type="lines" w:linePitch="360"/>
        </w:sectPr>
      </w:pPr>
    </w:p>
    <w:p>
      <w:r>
        <w:t xml:space="preserve">VD6b above</w:t>
      </w:r>
    </w:p>
    <w:p>
      <w:r>
        <w:rPr>
          <w:rFonts w:ascii="Calibri" w:eastAsia="MS Mincho" w:hAnsi="Calibri"/>
          <w:sz w:val="21"/>
          <w:szCs w:val="21"/>
        </w:rPr>
        <w:t xml:space="preserve">VD6b 注</w:t>
      </w:r>
      <w:r>
        <w:rPr>
          <w:rStyle w:val="EndnoteReference"/>
        </w:rPr>
        <w:endnoteReference w:id="2"/>
      </w:r>
    </w:p>
    <w:p>
      <w:r>
        <w:t xml:space="preserve">VD6b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textDirection w:val="tbRl"/>
          <w:docGrid w:linePitch="360"/>
        </w:sectPr>
      </w:pPr>
    </w:p>
    <w:p>
      <w:r>
        <w:t xml:space="preserve">GR13 last above</w:t>
      </w:r>
    </w:p>
    <w:p>
      <w:r>
        <w:t xml:space="preserve">GR13 last section</w:t>
      </w:r>
    </w:p>
    <w:p>
      <w:r>
        <w:t xml:space="preserve">GR13 last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rPr>
          <w:rFonts w:ascii="Calibri" w:eastAsia="MS Mincho" w:hAnsi="Calibri"/>
          <w:sz w:val="21"/>
          <w:szCs w:val="21"/>
        </w:rPr>
        <w:t xml:space="preserve">GR13 endnote 測量は夏に船と徒歩で行われ、灯台から河口まで続いた。記録には見つかったものが書かれている。</w:t>
      </w:r>
    </w:p>
  </w:endnote>
  <w:endnote w:id="2">
    <w:p>
      <w:r>
        <w:rPr>
          <w:rStyle w:val="EndnoteReference"/>
        </w:rPr>
        <w:endnoteRef/>
      </w:r>
      <w:r>
        <w:rPr>
          <w:rFonts w:ascii="Calibri" w:eastAsia="MS Mincho" w:hAnsi="Calibri"/>
          <w:sz w:val="21"/>
          <w:szCs w:val="21"/>
        </w:rPr>
        <w:t xml:space="preserve">VD6b endnote 測量は夏に船と徒歩で行われ、灯台から河口まで続いた。記録には見つかったものが書かれている。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Fonts w:ascii="Calibri" w:eastAsia="MS Mincho" w:hAnsi="Calibri"/>
          <w:sz w:val="21"/>
          <w:szCs w:val="21"/>
        </w:rPr>
        <w:t xml:space="preserve">GR1 note 測量は夏に船と徒歩で行われ、灯台から河口まで続いた。記録には見つかったものが書かれている。</w:t>
      </w:r>
    </w:p>
  </w:footnote>
  <w:footnote w:id="2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Fonts w:ascii="Calibri" w:eastAsia="MS Mincho" w:hAnsi="Calibri"/>
          <w:sz w:val="21"/>
          <w:szCs w:val="21"/>
        </w:rPr>
        <w:t xml:space="preserve">VD6a note 測量は夏に船と徒歩で行われ、灯台から河口まで続いた。記録には見つかったものが書かれている。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2026-10-04T19:38:11.854Z</dcterms:created>
  <dcterms:modified xsi:type="dcterms:W3CDTF">2026-10-04T19:38:11.854Z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