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EQ42 above</w:t>
      </w:r>
    </w:p>
    <w:p>
      <w:r>
        <w:t xml:space="preserve">EQ42a above</w:t>
      </w:r>
    </w:p>
    <w:p>
      <w:r>
        <w:t xml:space="preserve">EQ42a </w:t>
      </w:r>
      <m:oMath>
        <m:nary>
          <m:naryPr>
            <m:chr m:val="∑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  <w:r>
        <w:t xml:space="preserve"> after</w:t>
      </w:r>
    </w:p>
    <w:p>
      <w:r>
        <w:t xml:space="preserve">EQ42a below</w:t>
      </w:r>
    </w:p>
    <w:p>
      <w:r>
        <w:t xml:space="preserve">EQ42ad above</w:t>
      </w:r>
    </w:p>
    <w:p>
      <m:oMathPara>
        <m:oMath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>
      <w:r>
        <w:t xml:space="preserve">EQ42ad below</w:t>
      </w:r>
    </w:p>
    <w:p>
      <w:r>
        <w:t xml:space="preserve">EQ42b above</w:t>
      </w:r>
    </w:p>
    <w:p>
      <w:r>
        <w:t xml:space="preserve">EQ42b </w:t>
      </w:r>
      <m:oMath>
        <m:nary>
          <m:naryPr>
            <m:chr m:val="∫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</m:oMath>
      <w:r>
        <w:t xml:space="preserve"> after</w:t>
      </w:r>
    </w:p>
    <w:p>
      <w:r>
        <w:t xml:space="preserve">EQ42b below</w:t>
      </w:r>
    </w:p>
    <w:p>
      <w:r>
        <w:t xml:space="preserve">EQ42bd above</w:t>
      </w:r>
    </w:p>
    <w:p>
      <m:oMathPara>
        <m:oMath>
          <m:nary>
            <m:naryPr>
              <m:chr m:val="∫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</m:oMath>
      </m:oMathPara>
    </w:p>
    <w:p>
      <w:r>
        <w:t xml:space="preserve">EQ42bd below</w:t>
      </w:r>
    </w:p>
    <w:p>
      <w:r>
        <w:t xml:space="preserve">EQ42c above</w:t>
      </w:r>
    </w:p>
    <w:p>
      <w:r>
        <w:t xml:space="preserve">EQ42c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EQ42c below</w:t>
      </w:r>
    </w:p>
    <w:p>
      <w:r>
        <w:t xml:space="preserve">EQ42cd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EQ42cd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Cambria Math"/>
    <m:intLim m:val="undOvr"/>
    <m:naryLim m:val="subSup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2026-10-05T13:31:51.119Z</dcterms:created>
  <dcterms:modified xsi:type="dcterms:W3CDTF">2026-10-05T13:31:51.119Z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