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EA4c above</w:t>
      </w:r>
    </w:p>
    <w:p>
      <w:r>
        <w:rPr>
          <w:rFonts w:ascii="Calibri" w:eastAsia="MS Mincho" w:hAnsi="Calibri"/>
          <w:sz w:val="21"/>
          <w:szCs w:val="21"/>
          <w:lang w:eastAsia="ja-JP"/>
        </w:rPr>
        <w:t xml:space="preserve">EA4c 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「測量」は（夏に）、『船』と【徒歩】で行われた。〔灯台〕から〈河口〉まで、続いた。 測量は夏に船と徒歩で行われ、灯台から河口まで続いた。記録には見つかったものが書かれている。</w:t>
      </w:r>
    </w:p>
    <w:p>
      <w:r>
        <w:t xml:space="preserve">EA4c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compressPunctuationAndJapaneseKana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2026-10-05T12:48:04.177Z</dcterms:created>
  <dcterms:modified xsi:type="dcterms:W3CDTF">2026-10-05T12:48:04.177Z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