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36838" w:rsidRDefault="002C5DE9">
      <w:pPr>
        <w:spacing w:line="480" w:lineRule="auto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Noah Dolan</w:t>
      </w:r>
    </w:p>
    <w:p w14:paraId="00000002" w14:textId="77777777" w:rsidR="00036838" w:rsidRDefault="00036838">
      <w:p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</w:p>
    <w:p w14:paraId="00000003" w14:textId="77777777" w:rsidR="00036838" w:rsidRDefault="002C5DE9">
      <w:pPr>
        <w:spacing w:line="480" w:lineRule="auto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 xml:space="preserve">Three conclusions drawn about crowdfunding campaigns: </w:t>
      </w:r>
    </w:p>
    <w:p w14:paraId="00000004" w14:textId="77777777" w:rsidR="00036838" w:rsidRDefault="002C5DE9">
      <w:pPr>
        <w:numPr>
          <w:ilvl w:val="0"/>
          <w:numId w:val="1"/>
        </w:num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Food and Film crowdfunded initiatives have the highest instance of failure of any parent category (43% and 48% of these initiatives fail). </w:t>
      </w:r>
    </w:p>
    <w:p w14:paraId="00000005" w14:textId="77777777" w:rsidR="00036838" w:rsidRDefault="002C5DE9">
      <w:pPr>
        <w:numPr>
          <w:ilvl w:val="0"/>
          <w:numId w:val="1"/>
        </w:num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Photography and Tech only have 26% and 29% of their total initiatives failing; making them the most successful bet for crowdfunded projects. </w:t>
      </w:r>
    </w:p>
    <w:p w14:paraId="00000006" w14:textId="77777777" w:rsidR="00036838" w:rsidRDefault="002C5DE9">
      <w:pPr>
        <w:numPr>
          <w:ilvl w:val="0"/>
          <w:numId w:val="1"/>
        </w:num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In the pivot table for parent categories on sheet7, I calculated to see if there are any outliers in the dataset for number of successes based on months. Using the Q3 + (1.5 * IQR) and Q1 - (1.5 * IQR) to find the upper and lower ranges, I have determined that there are no outlying months. Meaning the time of year has no statistically significant impacts on the number of successes. </w:t>
      </w:r>
    </w:p>
    <w:p w14:paraId="00000007" w14:textId="77777777" w:rsidR="00036838" w:rsidRDefault="002C5DE9">
      <w:p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Limitations: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14:paraId="00000008" w14:textId="77777777" w:rsidR="00036838" w:rsidRDefault="002C5DE9">
      <w:p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ab/>
        <w:t xml:space="preserve">A more specific location would be more insightful and lead to better analysis; the USA and China are enormous countries. A failure in Evanston, IL does not mean the same initiative would fail in Los Angeles, CA. </w:t>
      </w:r>
    </w:p>
    <w:p w14:paraId="00000009" w14:textId="77777777" w:rsidR="00036838" w:rsidRDefault="002C5DE9">
      <w:p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Other possible Graphs:</w:t>
      </w:r>
      <w:r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14:paraId="0000000A" w14:textId="77777777" w:rsidR="00036838" w:rsidRDefault="002C5DE9">
      <w:p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ab/>
        <w:t xml:space="preserve">A graph/table to link the category of initiative with the average dollar amount of the goal. This will determine which are the most pricey categories. A graph/table to determine if the country has anything to do with success rate. A graph/table to analyze if the country has an impact on the initial goal amount. A table that projects the live initiatives are successes or failures based on the current pace they are on. </w:t>
      </w:r>
    </w:p>
    <w:sectPr w:rsidR="000368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F58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724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38"/>
    <w:rsid w:val="00036838"/>
    <w:rsid w:val="002C5DE9"/>
    <w:rsid w:val="00B1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4B20929-C486-6B4D-BF45-93078EE5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Dolan</cp:lastModifiedBy>
  <cp:revision>2</cp:revision>
  <dcterms:created xsi:type="dcterms:W3CDTF">2024-10-31T22:28:00Z</dcterms:created>
  <dcterms:modified xsi:type="dcterms:W3CDTF">2024-10-31T22:28:00Z</dcterms:modified>
</cp:coreProperties>
</file>