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hapter-five"/>
    <w:p>
      <w:pPr>
        <w:pStyle w:val="Heading1"/>
      </w:pPr>
      <w:r>
        <w:rPr>
          <w:b/>
          <w:bCs/>
        </w:rPr>
        <w:t xml:space="preserve">CHAPTER FIVE</w:t>
      </w:r>
    </w:p>
    <w:bookmarkStart w:id="9" w:name="X5465df6a0ac4efbdcffe69f6a06be462c24a717"/>
    <w:p>
      <w:pPr>
        <w:pStyle w:val="Heading2"/>
      </w:pPr>
      <w:r>
        <w:rPr>
          <w:b/>
          <w:bCs/>
        </w:rPr>
        <w:t xml:space="preserve">SUMMARY, CONCLUSION AND RECOMMENDATIONS</w:t>
      </w:r>
      <w:r>
        <w:t xml:space="preserve"> </w:t>
      </w:r>
      <w:r>
        <w:t xml:space="preserve">{#summary,-conclusion-and-recommendations}</w:t>
      </w:r>
    </w:p>
    <w:p>
      <w:pPr>
        <w:pStyle w:val="FirstParagraph"/>
      </w:pPr>
      <w:r>
        <w:t xml:space="preserve">This chapter concludes the thesis by synthesising the research undertaken across the preceding four chapters. Section 5.1 summarises the research problem, methodology, and the key results obtained from the implementation and evaluation of the secure chat application. Section 5.2 draws conclusions regarding the extent to which the research aim, objectives, and research questions established in Chapter One have been achieved. Section 5.3 presents recommendations arising from the study, directed at developers, organisations, and policymakers concerned with secure communication. Section 5.4 acknowledges the limitations inherent in the research design and implementation. Section 5.5 outlines directions for future work that extend naturally from the findings and constraints of this study.</w:t>
      </w:r>
    </w:p>
    <w:bookmarkEnd w:id="9"/>
    <w:bookmarkStart w:id="10" w:name="Xfeb083a1de784d20e62c46722fc53138b337008"/>
    <w:p>
      <w:pPr>
        <w:pStyle w:val="Heading2"/>
      </w:pPr>
      <w:r>
        <w:rPr>
          <w:b/>
          <w:bCs/>
        </w:rPr>
        <w:t xml:space="preserve">5.1 Summary</w:t>
      </w:r>
    </w:p>
    <w:p>
      <w:pPr>
        <w:pStyle w:val="FirstParagraph"/>
      </w:pPr>
      <w:r>
        <w:t xml:space="preserve">This research set out to design, implement, and evaluate a secure chat application with end-to-end encryption capable of addressing the persistent cryptographic weaknesses documented in widely deployed messaging platforms (Albrecht et al., 2022; Albrecht, Dowling, &amp; Jones, 2023), the unresolved tension between key verification security and usability (Turner et al., 2023; Reuter et al., 2021), and the scalability limitations of pairwise group encryption schemes (Barnes et al., 2023). Chapter One established the background, problem statement, six research questions, aim, objectives, scope, significance, and limitations of the study, situating the research within the broader evolution of applied cryptography from the Diffie-Hellman key exchange (Diffie &amp; Hellman, 1976) to the Signal Protocol (Marlinspike &amp; Perrin, 2016) and the standardisation of Messaging Layer Security (Barnes et al., 2023).</w:t>
      </w:r>
    </w:p>
    <w:p>
      <w:pPr>
        <w:pStyle w:val="BodyText"/>
      </w:pPr>
      <w:r>
        <w:t xml:space="preserve">Chapter Two reviewed recent literature published from 2021 to date across six thematic areas: end-to-end encryption concepts, cryptographic protocols, key management, attack vectors, secure messaging architectures, group messaging encryption, message authentication, and performance evaluation. The review identified four principal gaps: the scarcity of complete, documented reference implementations integrating formally verified E2EE components; the absence of deployed applications combining automated key verification with usable interfaces; the limited evaluation of MLS-based group messaging within complete application architectures; and the unresolved engineering challenge of integrating post-quantum constructions at the application level. These gaps directly motivated the design decisions taken in this research.</w:t>
      </w:r>
    </w:p>
    <w:p>
      <w:pPr>
        <w:pStyle w:val="BodyText"/>
      </w:pPr>
      <w:r>
        <w:t xml:space="preserve">Chapter Three presented the Design Science Research methodology adopted for the study, detailing the conceptual framework, the three-tier system architecture, the justification for selecting the Signal Protocol (X3DH and the Double Ratchet Algorithm), AES-256-GCM, Ed25519, X25519, and an MLS-aligned TreeKEM scheme, the key management lifecycle design, the group messaging encryption design, the implementation environment (Spring Boot 3.2 on Java 21, React.js v18, Bouncy Castle, PostgreSQL/H2), and the security and performance evaluation frameworks used to assess the resulting artefact.</w:t>
      </w:r>
    </w:p>
    <w:p>
      <w:pPr>
        <w:pStyle w:val="BodyText"/>
      </w:pPr>
      <w:r>
        <w:t xml:space="preserve">Chapter Four presented the results of the implementation and evaluation. The system was successfully implemented and compiled without errors, with the Spring Boot server starting in 5.753 seconds. The React.js frontend, illustrated in Figures 4.1 and 4.2, delivers a chat interface that communicates the active cryptographic protocols to the user at every stage of interaction, from account registration and client-side key generation through to per-conversation safety number verification. Performance benchmarking across 1,000 iterations per test demonstrated that all cryptographic primitives operate well within interactive messaging latency requirements: AES-256-GCM encrypted a typical 256-byte message in a mean of 0.033 ms, X25519 key agreement completed in 0.184 ms, the full X3DH handshake completed in 0.775 ms, the Double Ratchet’s per-message overhead was 0.030 ms, Ed25519 signing and verification completed in 0.172 ms and 0.179 ms respectively, and HKDF-SHA256 derivation completed in 0.006 ms. The TreeKEM group messaging scheme demonstrated O(log n) scaling for membership operations, with member addition rising from 0.140 ms at 2 members to only 0.582 ms at 100 members, while per-message group encryption remained constant at approximately 0.02–0.04 ms regardless of group size. All seven security properties evaluated — forward secrecy, message authentication, MitM detection via safety numbers, replay prevention, AES-GCM authentication tag integrity, X3DH shared secret agreement, and group forward secrecy — passed validation, and all six research objectives were confirmed as met against the evaluation framework defined in Chapter Three.</w:t>
      </w:r>
    </w:p>
    <w:bookmarkEnd w:id="10"/>
    <w:bookmarkStart w:id="11" w:name="X6d4b37b46e7fec0d32f0e9f1a0d1ba42704d67a"/>
    <w:p>
      <w:pPr>
        <w:pStyle w:val="Heading2"/>
      </w:pPr>
      <w:r>
        <w:rPr>
          <w:b/>
          <w:bCs/>
        </w:rPr>
        <w:t xml:space="preserve">5.2 Conclusion</w:t>
      </w:r>
    </w:p>
    <w:p>
      <w:pPr>
        <w:pStyle w:val="FirstParagraph"/>
      </w:pPr>
      <w:r>
        <w:t xml:space="preserve">This research has demonstrated that a secure chat application providing robust, formally grounded end-to-end encryption can be designed and implemented using established, formally verified cryptographic protocols, while achieving sub-millisecond performance overhead and remaining accessible to non-expert users. Each research question posed in Chapter One is answered by the results presented in Chapter Four.</w:t>
      </w:r>
    </w:p>
    <w:p>
      <w:pPr>
        <w:pStyle w:val="BodyText"/>
      </w:pPr>
      <w:r>
        <w:t xml:space="preserve">In relation to RQ1 and RQ2, the implemented system confirms that a secure chat architecture combining the Signal Protocol’s Double Ratchet Algorithm with X25519-based ECDH key exchange can guarantee that only communicating parties access message content, without any reliance on prior secret sharing. The X3DH handshake, requiring four Diffie-Hellman operations and HKDF derivation, completes in a mean of 0.775 ms as a one-time session establishment cost, while the resulting Double Ratchet session encrypts each subsequent message with negligible overhead (0.030 ms mean). In relation to RQ3, the key management module successfully automates key generation, distribution, rotation, and revocation, while the safety number mechanism provides users with a transparent, out-of-band method of detecting man-in-the-middle attacks, directly addressing the usability concerns raised by Turner et al. (2023) and Reuter et al. (2021) by embedding verification within the conversation view rather than a separate settings interface. In relation to RQ4, the combination of Ed25519 digital signatures and AES-256-GCM’s authentication tag was shown to reliably detect tampered messages while introducing under 0.2 ms of latency per operation, confirming robust message authentication and integrity enforcement. In relation to RQ5, the TreeKEM-based group messaging scheme was shown to preserve end-to-end confidentiality and forward secrecy across dynamic group membership while scaling logarithmically rather than linearly with group size, validating its suitability for groups of at least 100 members. In relation to RQ6, the comprehensive performance and security evaluation confirms that the developed application achieves encryption overhead, latency, forward secrecy, and MitM resistance properties that compare favourably with the theoretical guarantees of the underlying protocols and with published characteristics of existing solutions such as Signal and MLS-based systems (Ueda et al., 2024).</w:t>
      </w:r>
    </w:p>
    <w:p>
      <w:pPr>
        <w:pStyle w:val="BodyText"/>
      </w:pPr>
      <w:r>
        <w:t xml:space="preserve">The study concludes that the persistent vulnerabilities documented in custom-protocol messaging systems (Albrecht et al., 2022; Albrecht, Dowling, &amp; Jones, 2023) are not an inevitable consequence of building secure chat applications, but rather a consequence of avoiding formally verified, community-audited cryptographic constructions. By adopting the Signal Protocol, AES-256-GCM, Ed25519, X25519, and an MLS-aligned TreeKEM design — all subject to rigorous independent formal analysis (Bienstock et al., 2022; Brendel et al., 2021; Wallez et al., 2023) — this research produced a validated reference architecture that achieves both cryptographic soundness and practical, real-time performance. The research therefore fulfils its aim of designing, implementing, and evaluating a secure chat application with end-to-end encryption, and contributes a documented, quantitatively evaluated artefact to a research area in which complete, open reference implementations remain scarce.</w:t>
      </w:r>
    </w:p>
    <w:bookmarkEnd w:id="11"/>
    <w:bookmarkStart w:id="12" w:name="X2273e80fa6a985df34373b464c862311725300b"/>
    <w:p>
      <w:pPr>
        <w:pStyle w:val="Heading2"/>
      </w:pPr>
      <w:r>
        <w:rPr>
          <w:b/>
          <w:bCs/>
        </w:rPr>
        <w:t xml:space="preserve">5.3 Recommendations</w:t>
      </w:r>
    </w:p>
    <w:p>
      <w:pPr>
        <w:pStyle w:val="FirstParagraph"/>
      </w:pPr>
      <w:r>
        <w:t xml:space="preserve">Based on the findings of this research, the following recommendations are made:</w:t>
      </w:r>
    </w:p>
    <w:p>
      <w:pPr>
        <w:pStyle w:val="BodyText"/>
      </w:pPr>
      <w:r>
        <w:rPr>
          <w:b/>
          <w:bCs/>
        </w:rPr>
        <w:t xml:space="preserve">1. Adopt formally verified cryptographic protocols over custom implementations.</w:t>
      </w:r>
      <w:r>
        <w:t xml:space="preserve"> </w:t>
      </w:r>
      <w:r>
        <w:t xml:space="preserve">Developers of secure messaging systems should adopt established, formally verified protocols such as the Signal Protocol, AES-256-GCM, Ed25519, and MLS/TreeKEM rather than designing custom cryptographic schemes. The measured sub-millisecond performance of these constructions in this study demonstrates that formally verified protocols impose no meaningful performance penalty relative to the security assurances they provide, removing any practical justification for custom protocol design.</w:t>
      </w:r>
    </w:p>
    <w:p>
      <w:pPr>
        <w:pStyle w:val="BodyText"/>
      </w:pPr>
      <w:r>
        <w:rPr>
          <w:b/>
          <w:bCs/>
        </w:rPr>
        <w:t xml:space="preserve">2. Integrate automated key verification alongside manual safety number checks.</w:t>
      </w:r>
      <w:r>
        <w:t xml:space="preserve"> </w:t>
      </w:r>
      <w:r>
        <w:t xml:space="preserve">Given the well-documented usability challenges of manual key fingerprint verification (Turner et al., 2023), organisations deploying secure messaging systems should implement automated key change detection, of the kind demonstrated in this system’s key management module, as a complementary safeguard rather than relying on user-initiated verification alone.</w:t>
      </w:r>
    </w:p>
    <w:p>
      <w:pPr>
        <w:pStyle w:val="BodyText"/>
      </w:pPr>
      <w:r>
        <w:rPr>
          <w:b/>
          <w:bCs/>
        </w:rPr>
        <w:t xml:space="preserve">3. Present cryptographic status transparently within the user interface.</w:t>
      </w:r>
      <w:r>
        <w:t xml:space="preserve"> </w:t>
      </w:r>
      <w:r>
        <w:t xml:space="preserve">The interface developed in this study communicates active encryption protocols directly within the authentication and chat views. Secure messaging applications should similarly surface encryption status and key verification affordances contextually, within the conversation flow, rather than isolating them within secondary settings screens that users seldom visit (Reuter et al., 2021).</w:t>
      </w:r>
    </w:p>
    <w:p>
      <w:pPr>
        <w:pStyle w:val="BodyText"/>
      </w:pPr>
      <w:r>
        <w:rPr>
          <w:b/>
          <w:bCs/>
        </w:rPr>
        <w:t xml:space="preserve">4. Design group messaging with logarithmic-complexity key management from the outset.</w:t>
      </w:r>
      <w:r>
        <w:t xml:space="preserve"> </w:t>
      </w:r>
      <w:r>
        <w:t xml:space="preserve">Applications intending to support group conversations should adopt TreeKEM/MLS-aligned designs rather than pairwise or Sender Keys-based schemes, given the demonstrated O(log n) scalability advantage and the documented post-compromise security weaknesses of Sender Keys-based approaches (Alwen, Jost, &amp; Mularczyk, 2022).</w:t>
      </w:r>
    </w:p>
    <w:p>
      <w:pPr>
        <w:pStyle w:val="BodyText"/>
      </w:pPr>
      <w:r>
        <w:rPr>
          <w:b/>
          <w:bCs/>
        </w:rPr>
        <w:t xml:space="preserve">5. Institutions and regulators should encourage the use of independently audited cryptographic libraries.</w:t>
      </w:r>
      <w:r>
        <w:t xml:space="preserve"> </w:t>
      </w:r>
      <w:r>
        <w:t xml:space="preserve">Given the demonstrated risks of custom protocol implementations (Albrecht et al., 2022), regulatory and institutional guidance for organisations deploying messaging systems, particularly within the Nigerian public and financial sectors, should mandate the use of formally reviewed cryptographic libraries such as Bouncy Castle, libsodium, or equivalent audited implementations.</w:t>
      </w:r>
    </w:p>
    <w:bookmarkEnd w:id="12"/>
    <w:bookmarkStart w:id="13" w:name="X26b9347807699f041070d53f85d69ae8325716c"/>
    <w:p>
      <w:pPr>
        <w:pStyle w:val="Heading2"/>
      </w:pPr>
      <w:r>
        <w:rPr>
          <w:b/>
          <w:bCs/>
        </w:rPr>
        <w:t xml:space="preserve">5.4 Limitations</w:t>
      </w:r>
    </w:p>
    <w:p>
      <w:pPr>
        <w:pStyle w:val="FirstParagraph"/>
      </w:pPr>
      <w:r>
        <w:t xml:space="preserve">While this research achieved its stated aim and objectives, several limitations, consistent with those anticipated in Section 1.7, constrain the generalisability of the findings.</w:t>
      </w:r>
    </w:p>
    <w:p>
      <w:pPr>
        <w:pStyle w:val="BodyText"/>
      </w:pPr>
      <w:r>
        <w:rPr>
          <w:b/>
          <w:bCs/>
        </w:rPr>
        <w:t xml:space="preserve">1. Controlled laboratory evaluation.</w:t>
      </w:r>
      <w:r>
        <w:t xml:space="preserve"> </w:t>
      </w:r>
      <w:r>
        <w:t xml:space="preserve">All performance and security evaluations reported in Chapter Four were conducted in a controlled development environment on a single machine configuration (Windows 11, multi-core processor, Java 25 LTS). The results do not account for the variability of real-world networks, heterogeneous client devices, or the concurrency demands of a production-scale user base, and may therefore differ under real-world deployment conditions.</w:t>
      </w:r>
    </w:p>
    <w:p>
      <w:pPr>
        <w:pStyle w:val="BodyText"/>
      </w:pPr>
      <w:r>
        <w:rPr>
          <w:b/>
          <w:bCs/>
        </w:rPr>
        <w:t xml:space="preserve">2. Text-based messaging only.</w:t>
      </w:r>
      <w:r>
        <w:t xml:space="preserve"> </w:t>
      </w:r>
      <w:r>
        <w:t xml:space="preserve">The implemented system encrypts and secures only text messages. Voice messages, images, video, and file transfer were excluded from the implementation scope, and the performance and security properties reported in this study cannot be assumed to extend automatically to multimedia content, which introduces distinct cryptographic and performance considerations.</w:t>
      </w:r>
    </w:p>
    <w:p>
      <w:pPr>
        <w:pStyle w:val="BodyText"/>
      </w:pPr>
      <w:r>
        <w:rPr>
          <w:b/>
          <w:bCs/>
        </w:rPr>
        <w:t xml:space="preserve">3. Absence of formal usability testing.</w:t>
      </w:r>
      <w:r>
        <w:t xml:space="preserve"> </w:t>
      </w:r>
      <w:r>
        <w:t xml:space="preserve">Although the interface was designed with the usability findings of Turner et al. (2023) and Reuter et al. (2021) in mind, no structured human-subject usability study was conducted to empirically measure how non-expert users interact with the key verification and management features. The usability claims made in this study are therefore design-informed rather than empirically validated through user testing.</w:t>
      </w:r>
    </w:p>
    <w:p>
      <w:pPr>
        <w:pStyle w:val="BodyText"/>
      </w:pPr>
      <w:r>
        <w:rPr>
          <w:b/>
          <w:bCs/>
        </w:rPr>
        <w:t xml:space="preserve">4. Evaluation limited to documented attack vectors.</w:t>
      </w:r>
      <w:r>
        <w:t xml:space="preserve"> </w:t>
      </w:r>
      <w:r>
        <w:t xml:space="preserve">The security evaluation in Section 4.7 tested the system against seven documented and well-understood attack categories drawn from the reviewed literature. The system has not been evaluated against novel or currently unknown attack techniques, and no mechanism exists within the implementation to adapt to vulnerabilities discovered after completion of this research.</w:t>
      </w:r>
    </w:p>
    <w:p>
      <w:pPr>
        <w:pStyle w:val="BodyText"/>
      </w:pPr>
      <w:r>
        <w:rPr>
          <w:b/>
          <w:bCs/>
        </w:rPr>
        <w:t xml:space="preserve">5. Partial post-quantum readiness.</w:t>
      </w:r>
      <w:r>
        <w:t xml:space="preserve"> </w:t>
      </w:r>
      <w:r>
        <w:t xml:space="preserve">While the architectural design acknowledges the harvest-now-decrypt-later threat and the emergence of PQXDH and CRYSTALS-Kyber (Bhargavan et al., 2024; NIST, 2024), the implemented system relies exclusively on classical elliptic-curve cryptography (X25519, Ed25519). Full post-quantum key agreement was not implemented, leaving the system exposed to future quantum adversaries capable of retrospectively decrypting recorded traffic.</w:t>
      </w:r>
    </w:p>
    <w:bookmarkEnd w:id="13"/>
    <w:bookmarkStart w:id="14" w:name="X0e6c01f96f5e35faecc28c9676c5a657e97e919"/>
    <w:p>
      <w:pPr>
        <w:pStyle w:val="Heading2"/>
      </w:pPr>
      <w:r>
        <w:rPr>
          <w:b/>
          <w:bCs/>
        </w:rPr>
        <w:t xml:space="preserve">5.5 Future Work</w:t>
      </w:r>
    </w:p>
    <w:p>
      <w:pPr>
        <w:pStyle w:val="FirstParagraph"/>
      </w:pPr>
      <w:r>
        <w:t xml:space="preserve">The findings and limitations of this research suggest several directions for future work:</w:t>
      </w:r>
    </w:p>
    <w:p>
      <w:pPr>
        <w:pStyle w:val="BodyText"/>
      </w:pPr>
      <w:r>
        <w:rPr>
          <w:b/>
          <w:bCs/>
        </w:rPr>
        <w:t xml:space="preserve">1. Post-quantum protocol migration.</w:t>
      </w:r>
      <w:r>
        <w:t xml:space="preserve"> </w:t>
      </w:r>
      <w:r>
        <w:t xml:space="preserve">Future work should integrate PQXDH, combining classical X25519 with CRYSTALS-Kyber (ML-KEM), into the existing key exchange layer, following the formally verified specification of Bhargavan et al. (2024) and the standardised NIST FIPS 203 construction (NIST, 2024). The performance impact of hybrid post-quantum key encapsulation, as characterised by Kim et al. (2025), should be benchmarked against the classical baseline established in this study.</w:t>
      </w:r>
    </w:p>
    <w:p>
      <w:pPr>
        <w:pStyle w:val="BodyText"/>
      </w:pPr>
      <w:r>
        <w:rPr>
          <w:b/>
          <w:bCs/>
        </w:rPr>
        <w:t xml:space="preserve">2. Empirical usability evaluation.</w:t>
      </w:r>
      <w:r>
        <w:t xml:space="preserve"> </w:t>
      </w:r>
      <w:r>
        <w:t xml:space="preserve">A structured, human-subject usability study, following the methodology of Turner et al. (2023), should be conducted to empirically assess how effectively non-expert users understand and engage with the safety number verification and automated key change detection features implemented in this system.</w:t>
      </w:r>
    </w:p>
    <w:p>
      <w:pPr>
        <w:pStyle w:val="BodyText"/>
      </w:pPr>
      <w:r>
        <w:rPr>
          <w:b/>
          <w:bCs/>
        </w:rPr>
        <w:t xml:space="preserve">3. Real-world and multi-device deployment testing.</w:t>
      </w:r>
      <w:r>
        <w:t xml:space="preserve"> </w:t>
      </w:r>
      <w:r>
        <w:t xml:space="preserve">Future work should evaluate the system under production network conditions, including variable latency, packet loss, and concurrent multi-device sessions, extending the controlled benchmark results of Chapter Four to realistic deployment scenarios, and addressing the multi-device key synchronisation challenge examined by Davies et al. (2023).</w:t>
      </w:r>
    </w:p>
    <w:p>
      <w:pPr>
        <w:pStyle w:val="BodyText"/>
      </w:pPr>
      <w:r>
        <w:rPr>
          <w:b/>
          <w:bCs/>
        </w:rPr>
        <w:t xml:space="preserve">4. Extension to multimedia messaging.</w:t>
      </w:r>
      <w:r>
        <w:t xml:space="preserve"> </w:t>
      </w:r>
      <w:r>
        <w:t xml:space="preserve">The cryptographic and architectural framework developed in this study should be extended to support encrypted voice, image, video, and file transfer, requiring additional consideration of streaming encryption, chunked AEAD constructions, and the performance implications of larger payloads.</w:t>
      </w:r>
    </w:p>
    <w:p>
      <w:pPr>
        <w:pStyle w:val="BodyText"/>
      </w:pPr>
      <w:r>
        <w:rPr>
          <w:b/>
          <w:bCs/>
        </w:rPr>
        <w:t xml:space="preserve">5. Metadata protection mechanisms.</w:t>
      </w:r>
      <w:r>
        <w:t xml:space="preserve"> </w:t>
      </w:r>
      <w:r>
        <w:t xml:space="preserve">Building on the findings of Domenech et al. (2022) regarding metadata leakage in instant messaging, future work should investigate traffic padding, timing normalisation, and sealed-sender techniques to minimise the residual metadata exposure that persists even when message content is fully end-to-end encrypted.</w:t>
      </w:r>
    </w:p>
    <w:p>
      <w:pPr>
        <w:pStyle w:val="BodyText"/>
      </w:pPr>
      <w:r>
        <w:rPr>
          <w:b/>
          <w:bCs/>
        </w:rPr>
        <w:t xml:space="preserve">6. Large-scale group messaging evaluation.</w:t>
      </w:r>
      <w:r>
        <w:t xml:space="preserve"> </w:t>
      </w:r>
      <w:r>
        <w:t xml:space="preserve">While this study benchmarked TreeKEM group operations up to 100 members, future work should extend this evaluation to groups of several hundred or thousand members, following the methodology of Ueda et al. (2024), to characterise commit latency and identify the scalability ceiling of the current implementation under high membership churn.</w:t>
      </w:r>
    </w:p>
    <w:p>
      <w:pPr>
        <w:pStyle w:val="BodyText"/>
      </w:pPr>
      <w:r>
        <w:rPr>
          <w:b/>
          <w:bCs/>
        </w:rPr>
        <w:t xml:space="preserve">7. Continuous security monitoring for emerging attack vectors.</w:t>
      </w:r>
      <w:r>
        <w:t xml:space="preserve"> </w:t>
      </w:r>
      <w:r>
        <w:t xml:space="preserve">Future iterations of the system should incorporate a continuous security review process, informed by ongoing formal analyses of deployed messaging protocols, to ensure that newly discovered vulnerabilities are identified and remediated beyond the fixed set of attack vectors evaluated in this research.</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2026-08-03T18:14:13Z</dcterms:created>
  <dcterms:modified xsi:type="dcterms:W3CDTF">2026-08-03T18:14:13Z</dcterms:modified>
</cp:coreProperties>
</file>

<file path=docProps/custom.xml><?xml version="1.0" encoding="utf-8"?>
<Properties xmlns="http://schemas.openxmlformats.org/officeDocument/2006/custom-properties" xmlns:vt="http://schemas.openxmlformats.org/officeDocument/2006/docPropsVTypes"/>
</file>