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sz w:val="20"/>
          <w:szCs w:val="24"/>
          <w:lang w:eastAsia="en-GB"/>
        </w:rPr>
      </w:pPr>
      <w:bookmarkStart w:id="0" w:name="_GoBack"/>
      <w:bookmarkEnd w:id="0"/>
      <w:r>
        <w:rPr>
          <w:rFonts w:eastAsia="Times New Roman" w:cs="Segoe UI" w:ascii="Segoe UI" w:hAnsi="Segoe UI"/>
          <w:b/>
          <w:bCs/>
          <w:sz w:val="20"/>
          <w:szCs w:val="24"/>
          <w:lang w:eastAsia="en-GB"/>
        </w:rPr>
        <w:t>Preliminary Report: Financial Analysis and Risk Assessment of Green Solutions Manufacturing Ltd.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Segoe UI" w:hAnsi="Segoe UI" w:eastAsia="Times New Roman" w:cs="Segoe UI"/>
          <w:b/>
          <w:bCs/>
          <w:sz w:val="20"/>
          <w:szCs w:val="27"/>
          <w:lang w:eastAsia="en-GB"/>
        </w:rPr>
      </w:pPr>
      <w:r>
        <w:rPr>
          <w:rFonts w:eastAsia="Times New Roman" w:cs="Segoe UI" w:ascii="Segoe UI" w:hAnsi="Segoe UI"/>
          <w:b/>
          <w:bCs/>
          <w:sz w:val="20"/>
          <w:szCs w:val="27"/>
          <w:lang w:eastAsia="en-GB"/>
        </w:rPr>
        <w:t>Executive Summary</w:t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>Exceptional Growth and Profitability: Revenue increased by 70.7% (from £31.5M to £53.8M), while EBITDA surged by 270%, indicating that the company is scaling efficiently and improving its profit margins.</w:t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>Significant Deleveraging: The company’s leverage ratio dropped from 7.82x to 1.24x, and its interest cover improved from 2.08x to 17.53x. This represents a massive reduction in financial risk and a much stronger capacity to service debt.</w:t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>Aggressive Reinvestment: Capital expenditure increased from £3.2M to £8.0M, showing that the company is heavily reinvesting its strong operating cash flows into future growth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Segoe UI" w:hAnsi="Segoe UI" w:eastAsia="Times New Roman" w:cs="Segoe UI"/>
          <w:b/>
          <w:bCs/>
          <w:sz w:val="20"/>
          <w:szCs w:val="27"/>
          <w:lang w:eastAsia="en-GB"/>
        </w:rPr>
      </w:pPr>
      <w:r>
        <w:rPr>
          <w:rFonts w:eastAsia="Times New Roman" w:cs="Segoe UI" w:ascii="Segoe UI" w:hAnsi="Segoe UI"/>
          <w:b/>
          <w:bCs/>
          <w:sz w:val="20"/>
          <w:szCs w:val="27"/>
          <w:lang w:eastAsia="en-GB"/>
        </w:rPr>
        <w:t>Financial Analysis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Segoe UI" w:hAnsi="Segoe UI" w:eastAsia="Times New Roman" w:cs="Segoe UI"/>
          <w:b/>
          <w:bCs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b/>
          <w:bCs/>
          <w:sz w:val="20"/>
          <w:szCs w:val="24"/>
          <w:lang w:eastAsia="en-GB"/>
        </w:rPr>
        <w:t>Revenue and Profitability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Segoe UI" w:hAnsi="Segoe UI" w:eastAsia="Times New Roman" w:cs="Segoe UI"/>
          <w:b/>
          <w:bCs/>
          <w:sz w:val="20"/>
          <w:szCs w:val="24"/>
          <w:lang w:eastAsia="en-GB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6900" cy="27622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b/>
          <w:bCs/>
          <w:color w:val="FF0000"/>
          <w:sz w:val="20"/>
          <w:szCs w:val="24"/>
          <w:lang w:eastAsia="en-GB"/>
        </w:rPr>
        <w:t>Total Revenue:</w:t>
      </w: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 xml:space="preserve"> Increased from £31.54M to £53.82M. This robust growth suggests strong market demand for Green Solutions' products.</w:t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b/>
          <w:bCs/>
          <w:color w:val="FF0000"/>
          <w:sz w:val="20"/>
          <w:szCs w:val="24"/>
          <w:lang w:eastAsia="en-GB"/>
        </w:rPr>
        <w:t>EBITDA:</w:t>
      </w: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 xml:space="preserve"> Grew from £1.49M to £5.52M. The fact that EBITDA grew much faster than revenue indicates significant operational leverage and better cost management.</w:t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b/>
          <w:bCs/>
          <w:color w:val="FF0000"/>
          <w:sz w:val="20"/>
          <w:szCs w:val="24"/>
          <w:lang w:eastAsia="en-GB"/>
        </w:rPr>
        <w:t>Net Profit After Tax:</w:t>
      </w: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 xml:space="preserve"> Rose from £0.86M to £5.64M, reflecting a highly successful year with strong bottom-line performance.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Segoe UI" w:hAnsi="Segoe UI" w:eastAsia="Times New Roman" w:cs="Segoe UI"/>
          <w:b/>
          <w:bCs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b/>
          <w:bCs/>
          <w:sz w:val="20"/>
          <w:szCs w:val="24"/>
          <w:lang w:eastAsia="en-GB"/>
        </w:rPr>
        <w:t>Assets and Liabilities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Segoe UI" w:hAnsi="Segoe UI" w:eastAsia="Times New Roman" w:cs="Segoe UI"/>
          <w:b/>
          <w:bCs/>
          <w:sz w:val="20"/>
          <w:szCs w:val="24"/>
          <w:lang w:eastAsia="en-GB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05475" cy="37528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>Total Assets: Expanded to £62.13M, largely driven by a £6.1M increase in property, plant, and equipment.</w:t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>Cash and Cash Equivalents: Remained very healthy at £17.58M. Although slightly lower than the previous year, this is expected given the high level of capital investment.</w:t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>Net Worth: Increased by over 33% to £31.58M, strengthening the company's equity base.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Segoe UI" w:hAnsi="Segoe UI" w:eastAsia="Times New Roman" w:cs="Segoe UI"/>
          <w:b/>
          <w:bCs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b/>
          <w:bCs/>
          <w:sz w:val="20"/>
          <w:szCs w:val="24"/>
          <w:lang w:eastAsia="en-GB"/>
        </w:rPr>
        <w:t>Cash Flow</w:t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b/>
          <w:bCs/>
          <w:color w:val="FF0000"/>
          <w:sz w:val="20"/>
          <w:szCs w:val="24"/>
          <w:lang w:eastAsia="en-GB"/>
        </w:rPr>
        <w:t xml:space="preserve">Net Cash from Operating Activities: 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Segoe UI" w:hAnsi="Segoe UI" w:eastAsia="Times New Roman" w:cs="Segoe UI"/>
          <w:b/>
          <w:bCs/>
          <w:sz w:val="20"/>
          <w:szCs w:val="24"/>
          <w:lang w:eastAsia="en-GB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05475" cy="40195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/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>Nearly doubled to £11.45M, confirming that the reported profits are backed by actual cash inflows.</w:t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b/>
          <w:bCs/>
          <w:color w:val="FF0000"/>
          <w:sz w:val="20"/>
          <w:szCs w:val="24"/>
          <w:lang w:eastAsia="en-GB"/>
        </w:rPr>
        <w:t>EBITDA Margin:</w:t>
      </w: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 xml:space="preserve"> Doubled from 4.7% to 10.3%, showing a much more efficient operation.</w:t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b/>
          <w:bCs/>
          <w:color w:val="FF0000"/>
          <w:sz w:val="20"/>
          <w:szCs w:val="24"/>
          <w:lang w:eastAsia="en-GB"/>
        </w:rPr>
        <w:t>Current Ratio:</w:t>
      </w: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 xml:space="preserve"> Shifted from 1.88 to 1.38. While this indicates a slightly tighter liquidity position, it remains well above the 1.0 safety threshold.</w:t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b/>
          <w:bCs/>
          <w:color w:val="FF0000"/>
          <w:sz w:val="20"/>
          <w:szCs w:val="24"/>
          <w:lang w:eastAsia="en-GB"/>
        </w:rPr>
        <w:t>Leverage &amp; Net Leverage:</w:t>
      </w: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 xml:space="preserve"> The "Net Leverage" remains negative (-1.94), which is a very positive sign; it means the company's cash reserves exceed its total debt.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Segoe UI" w:hAnsi="Segoe UI" w:eastAsia="Times New Roman" w:cs="Segoe UI"/>
          <w:b/>
          <w:bCs/>
          <w:sz w:val="20"/>
          <w:szCs w:val="27"/>
          <w:lang w:eastAsia="en-GB"/>
        </w:rPr>
      </w:pPr>
      <w:r>
        <w:rPr>
          <w:rFonts w:eastAsia="Times New Roman" w:cs="Segoe UI" w:ascii="Segoe UI" w:hAnsi="Segoe UI"/>
          <w:b/>
          <w:bCs/>
          <w:sz w:val="20"/>
          <w:szCs w:val="27"/>
          <w:lang w:eastAsia="en-GB"/>
        </w:rPr>
        <w:t>Key Financial Ratios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Segoe UI" w:hAnsi="Segoe UI" w:eastAsia="Times New Roman" w:cs="Segoe UI"/>
          <w:b/>
          <w:bCs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b/>
          <w:bCs/>
          <w:sz w:val="20"/>
          <w:szCs w:val="24"/>
          <w:lang w:eastAsia="en-GB"/>
        </w:rPr>
        <w:t>Profitability Ratios</w:t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>Profitability has seen a dramatic improvement across all metrics. The Net Profit Margin increased nearly fourfold, driven by strong revenue growth of 70.7% and improved operational efficiency (the efficiency ratio improved from 79% to 75%). An ROE of 18.2% indicates excellent returns for shareholders compared to the previous year.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Segoe UI" w:hAnsi="Segoe UI" w:eastAsia="Times New Roman" w:cs="Segoe UI"/>
          <w:b/>
          <w:bCs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b/>
          <w:bCs/>
          <w:sz w:val="20"/>
          <w:szCs w:val="24"/>
          <w:lang w:eastAsia="en-GB"/>
        </w:rPr>
        <w:t>Leverage and Liquidity Ratios</w:t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>While liquidity ratios have tightened (the Current Ratio dropped from 1.88 to 1.38), they remain above the 1.0 threshold, indicating the company can still meet its short-term obligations. More importantly, the company has significantly deleveraged, with the Debt-to-Equity ratio falling from 0.51 to 0.22, which substantially reduces financial risk and interest burden.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Segoe UI" w:hAnsi="Segoe UI" w:eastAsia="Times New Roman" w:cs="Segoe UI"/>
          <w:b/>
          <w:bCs/>
          <w:sz w:val="20"/>
          <w:szCs w:val="27"/>
          <w:lang w:eastAsia="en-GB"/>
        </w:rPr>
      </w:pPr>
      <w:r>
        <w:rPr>
          <w:rFonts w:eastAsia="Times New Roman" w:cs="Segoe UI" w:ascii="Segoe UI" w:hAnsi="Segoe UI"/>
          <w:b/>
          <w:bCs/>
          <w:sz w:val="20"/>
          <w:szCs w:val="27"/>
          <w:lang w:eastAsia="en-GB"/>
        </w:rPr>
        <w:t>Risk Assessment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3"/>
        <w:rPr>
          <w:rFonts w:ascii="Segoe UI" w:hAnsi="Segoe UI" w:eastAsia="Times New Roman" w:cs="Segoe UI"/>
          <w:b/>
          <w:bCs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b/>
          <w:bCs/>
          <w:sz w:val="20"/>
          <w:szCs w:val="24"/>
          <w:lang w:eastAsia="en-GB"/>
        </w:rPr>
        <w:t>Key Financial Risks</w:t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b/>
          <w:bCs/>
          <w:color w:val="FF0000"/>
          <w:sz w:val="20"/>
          <w:szCs w:val="24"/>
          <w:lang w:eastAsia="en-GB"/>
        </w:rPr>
        <w:t>The primary risk is the tightening of liquidity.</w:t>
      </w: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 xml:space="preserve"> The company is utilizing more short-term credit to fund operations. Additionally, the rapid increase in inventory needs to be monitored to ensure it aligns with actual sales demand to avoid potential write-downs.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Segoe UI" w:hAnsi="Segoe UI" w:eastAsia="Times New Roman" w:cs="Segoe UI"/>
          <w:b/>
          <w:bCs/>
          <w:sz w:val="20"/>
          <w:szCs w:val="27"/>
          <w:lang w:eastAsia="en-GB"/>
        </w:rPr>
      </w:pPr>
      <w:r>
        <w:rPr>
          <w:rFonts w:eastAsia="Times New Roman" w:cs="Segoe UI" w:ascii="Segoe UI" w:hAnsi="Segoe UI"/>
          <w:b/>
          <w:bCs/>
          <w:sz w:val="20"/>
          <w:szCs w:val="27"/>
          <w:lang w:eastAsia="en-GB"/>
        </w:rPr>
        <w:t>Actionable Insights</w:t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b/>
          <w:bCs/>
          <w:color w:val="FF0000"/>
          <w:sz w:val="20"/>
          <w:szCs w:val="24"/>
          <w:lang w:eastAsia="en-GB"/>
        </w:rPr>
        <w:t>Inventory Management:</w:t>
      </w: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 xml:space="preserve"> Implement stricter inventory turnover targets to free up cash, as inventory growth is currently outpacing the growth of other current assets.</w:t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b/>
          <w:bCs/>
          <w:color w:val="FF0000"/>
          <w:sz w:val="20"/>
          <w:szCs w:val="24"/>
          <w:lang w:eastAsia="en-GB"/>
        </w:rPr>
        <w:t xml:space="preserve">Maintain Operational Efficiency: </w:t>
      </w: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>Continue to monitor the cost of sales; the improvement in the efficiency ratio to 75% was a key driver of the 2023 profit surge.</w:t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b/>
          <w:bCs/>
          <w:color w:val="FF0000"/>
          <w:sz w:val="20"/>
          <w:szCs w:val="24"/>
          <w:lang w:eastAsia="en-GB"/>
        </w:rPr>
        <w:t>Strategic Reinvestment:</w:t>
      </w: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 xml:space="preserve"> Given the strong ROE and reduced debt, the company is in a favorable position to reinvest profits into R&amp;D or capacity expansion without relying on further external borrowing.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Segoe UI" w:hAnsi="Segoe UI" w:eastAsia="Times New Roman" w:cs="Segoe UI"/>
          <w:b/>
          <w:bCs/>
          <w:sz w:val="20"/>
          <w:szCs w:val="27"/>
          <w:lang w:eastAsia="en-GB"/>
        </w:rPr>
      </w:pPr>
      <w:r>
        <w:rPr>
          <w:rFonts w:eastAsia="Times New Roman" w:cs="Segoe UI" w:ascii="Segoe UI" w:hAnsi="Segoe UI"/>
          <w:b/>
          <w:bCs/>
          <w:sz w:val="20"/>
          <w:szCs w:val="27"/>
          <w:lang w:eastAsia="en-GB"/>
        </w:rPr>
        <w:t>Conclusion</w:t>
      </w:r>
    </w:p>
    <w:p>
      <w:pPr>
        <w:pStyle w:val="Normal"/>
        <w:spacing w:lineRule="auto" w:line="240" w:beforeAutospacing="1" w:afterAutospacing="1"/>
        <w:rPr>
          <w:rFonts w:ascii="Segoe UI" w:hAnsi="Segoe UI" w:eastAsia="Times New Roman" w:cs="Segoe UI"/>
          <w:color w:val="FF0000"/>
          <w:sz w:val="20"/>
          <w:szCs w:val="24"/>
          <w:lang w:eastAsia="en-GB"/>
        </w:rPr>
      </w:pPr>
      <w:r>
        <w:rPr>
          <w:rFonts w:eastAsia="Times New Roman" w:cs="Segoe UI" w:ascii="Segoe UI" w:hAnsi="Segoe UI"/>
          <w:color w:val="FF0000"/>
          <w:sz w:val="20"/>
          <w:szCs w:val="24"/>
          <w:lang w:eastAsia="en-GB"/>
        </w:rPr>
        <w:t>Green Solutions Manufacturing Ltd. delivered an exceptional performance in 2023, characterized by explosive revenue growth and a significant turnaround in profitability. While liquidity has tightened slightly due to increased short-term liabilities and inventory, the overall financial health has improved significantly due to strong earnings and aggressive debt reduction. The company is well-positioned for sustainable growth.</w:t>
      </w:r>
    </w:p>
    <w:p>
      <w:pPr>
        <w:pStyle w:val="Normal"/>
        <w:spacing w:lineRule="auto" w:line="240" w:before="0" w:after="0"/>
        <w:rPr>
          <w:rFonts w:ascii="Segoe UI" w:hAnsi="Segoe UI" w:eastAsia="Times New Roman" w:cs="Segoe UI"/>
          <w:sz w:val="20"/>
          <w:szCs w:val="24"/>
          <w:lang w:eastAsia="en-GB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Segoe UI" w:hAnsi="Segoe UI" w:cs="Segoe UI"/>
          <w:sz w:val="18"/>
        </w:rPr>
      </w:pPr>
      <w:r>
        <w:rPr>
          <w:rFonts w:eastAsia="Times New Roman" w:cs="Segoe UI" w:ascii="Segoe UI" w:hAnsi="Segoe UI"/>
          <w:sz w:val="20"/>
          <w:szCs w:val="24"/>
          <w:lang w:eastAsia="en-GB"/>
        </w:rPr>
        <w:t>Prepared by: Francis Orembe</w:t>
        <w:br/>
        <w:t>Position: Credit Analyst</w:t>
        <w:br/>
        <w:t>Standard Chartered Bank</w:t>
        <w:br/>
        <w:t>Date: 22</w:t>
      </w:r>
      <w:r>
        <w:rPr>
          <w:rFonts w:eastAsia="Times New Roman" w:cs="Segoe UI" w:ascii="Segoe UI" w:hAnsi="Segoe UI"/>
          <w:sz w:val="20"/>
          <w:szCs w:val="24"/>
          <w:vertAlign w:val="superscript"/>
          <w:lang w:eastAsia="en-GB"/>
        </w:rPr>
        <w:t>nd</w:t>
      </w:r>
      <w:r>
        <w:rPr>
          <w:rFonts w:eastAsia="Times New Roman" w:cs="Segoe UI" w:ascii="Segoe UI" w:hAnsi="Segoe UI"/>
          <w:sz w:val="20"/>
          <w:szCs w:val="24"/>
          <w:lang w:eastAsia="en-GB"/>
        </w:rPr>
        <w:t xml:space="preserve"> May 2026</w:t>
      </w:r>
    </w:p>
    <w:p>
      <w:pPr>
        <w:pStyle w:val="Normal"/>
        <w:spacing w:lineRule="auto" w:line="240" w:beforeAutospacing="1" w:afterAutospacing="1"/>
        <w:rPr>
          <w:rFonts w:ascii="Segoe UI" w:hAnsi="Segoe UI" w:cs="Segoe UI"/>
          <w:sz w:val="18"/>
        </w:rPr>
      </w:pPr>
      <w:r>
        <w:rPr>
          <w:rFonts w:cs="Segoe UI" w:ascii="Segoe UI" w:hAnsi="Segoe UI"/>
          <w:sz w:val="18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  <w:docVars>
    <w:docVar w:name="__Grammarly_42____i" w:val="H4sIAAAAAAAEAKtWckksSQxILCpxzi/NK1GyMqwFAAEhoTITAAAA"/>
    <w:docVar w:name="__Grammarly_42___1" w:val="H4sIAAAAAAAEAKtWcslP9kxRslIyNDY2MzM3NDQxNDQyMTY2MTRS0lEKTi0uzszPAykwrAUAECxosS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dd4ca6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dd4ca6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G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dd4ca6"/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dd4ca6"/>
    <w:rPr>
      <w:rFonts w:ascii="Times New Roman" w:hAnsi="Times New Roman" w:eastAsia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d4ca6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dd4ca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8f34f5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LibreOffice/24.2.7.2$Linux_X86_64 LibreOffice_project/420$Build-2</Application>
  <AppVersion>15.0000</AppVersion>
  <Pages>4</Pages>
  <Words>616</Words>
  <Characters>3652</Characters>
  <CharactersWithSpaces>4234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2024-07-29T06:53:00Z</dcterms:created>
  <dc:creator/>
  <dc:description/>
  <dc:language>en-US</dc:language>
  <cp:lastModifiedBy/>
  <dcterms:modified xsi:type="dcterms:W3CDTF">2026-05-24T19:34:49Z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