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1F4E79"/>
          <w:sz w:val="40"/>
          <w:szCs w:val="40"/>
        </w:rPr>
        <w:t xml:space="preserve">RAG-Powered Onboarding Tool</w:t>
      </w:r>
    </w:p>
    <w:p>
      <w:pPr>
        <w:spacing w:before="0" w:after="80"/>
      </w:pPr>
      <w:r>
        <w:rPr>
          <w:rFonts w:ascii="Arial" w:cs="Arial" w:eastAsia="Arial" w:hAnsi="Arial"/>
          <w:color w:val="2E75B6"/>
          <w:sz w:val="28"/>
          <w:szCs w:val="28"/>
        </w:rPr>
        <w:t xml:space="preserve">Security &amp; Compliance Considerations</w:t>
      </w:r>
    </w:p>
    <w:p>
      <w:pPr>
        <w:spacing w:before="0" w:after="400"/>
      </w:pPr>
      <w:r>
        <w:rPr>
          <w:rFonts w:ascii="Arial" w:cs="Arial" w:eastAsia="Arial" w:hAnsi="Arial"/>
          <w:i/>
          <w:iCs/>
          <w:color w:val="888888"/>
          <w:sz w:val="20"/>
          <w:szCs w:val="20"/>
        </w:rPr>
        <w:t xml:space="preserve">A working document for review by Security, Compliance, and Engineering stakeholders</w:t>
      </w:r>
    </w:p>
    <w:p>
      <w:pPr>
        <w:pStyle w:val="Heading1"/>
        <w:pBdr>
          <w:bottom w:val="single" w:color="2E75B6" w:sz="6" w:space="4"/>
        </w:pBdr>
        <w:spacing w:before="320" w:after="160"/>
      </w:pPr>
      <w:r>
        <w:rPr>
          <w:rFonts w:ascii="Arial" w:cs="Arial" w:eastAsia="Arial" w:hAnsi="Arial"/>
          <w:b/>
          <w:bCs/>
          <w:color w:val="1F4E79"/>
          <w:sz w:val="28"/>
          <w:szCs w:val="28"/>
        </w:rPr>
        <w:t xml:space="preserve">Why This Document Exists</w:t>
      </w:r>
    </w:p>
    <w:p>
      <w:pPr>
        <w:spacing w:before="80" w:after="80"/>
      </w:pPr>
      <w:r>
        <w:rPr>
          <w:rFonts w:ascii="Arial" w:cs="Arial" w:eastAsia="Arial" w:hAnsi="Arial"/>
          <w:color w:val="404040"/>
          <w:sz w:val="22"/>
          <w:szCs w:val="22"/>
        </w:rPr>
        <w:t xml:space="preserve">Proposing an AI-assisted tool to a company whose core business is privileged access management and zero-knowledge security requires more than a technical pitch. It requires an honest examination of the risks the tool introduces, the assumptions it makes, and the constraints it must operate within.</w:t>
      </w:r>
    </w:p>
    <w:p>
      <w:pPr>
        <w:spacing w:before="120" w:after="0"/>
      </w:pPr>
      <w:r>
        <w:t xml:space="preserve"/>
      </w:r>
    </w:p>
    <w:p>
      <w:pPr>
        <w:spacing w:before="80" w:after="80"/>
      </w:pPr>
      <w:r>
        <w:rPr>
          <w:rFonts w:ascii="Arial" w:cs="Arial" w:eastAsia="Arial" w:hAnsi="Arial"/>
          <w:color w:val="404040"/>
          <w:sz w:val="22"/>
          <w:szCs w:val="22"/>
        </w:rPr>
        <w:t xml:space="preserve">This document does not argue that the tool is risk-free. It argues that the risks are identifiable, bounded, and manageable — and that refusing to engage with them in advance would be the less responsible path. It is written to surface hard questions, not to preemptively close them.</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6E4F0" w:val="clear"/>
            <w:tcMar>
              <w:top w:type="dxa" w:w="120"/>
              <w:left w:type="dxa" w:w="180"/>
              <w:bottom w:type="dxa" w:w="120"/>
              <w:right w:type="dxa" w:w="120"/>
            </w:tcMar>
            <w:vAlign w:val="top"/>
          </w:tcPr>
          <w:p>
            <w:r>
              <w:rPr>
                <w:rFonts w:ascii="Arial" w:cs="Arial" w:eastAsia="Arial" w:hAnsi="Arial"/>
                <w:b/>
                <w:bCs/>
                <w:color w:val="1F4E79"/>
                <w:sz w:val="20"/>
                <w:szCs w:val="20"/>
              </w:rPr>
              <w:t xml:space="preserve">Framing</w:t>
            </w:r>
          </w:p>
        </w:tc>
        <w:tc>
          <w:tcPr>
            <w:tcW w:type="dxa" w:w="8160"/>
            <w:tcBorders>
              <w:top w:val="none" w:color="FFFFFF" w:sz="0"/>
              <w:left w:val="none" w:color="FFFFFF" w:sz="0"/>
              <w:bottom w:val="none" w:color="FFFFFF" w:sz="0"/>
              <w:right w:val="none" w:color="FFFFFF" w:sz="0"/>
            </w:tcBorders>
            <w:shd w:fill="D6E4F0" w:val="clear"/>
            <w:tcMar>
              <w:top w:type="dxa" w:w="120"/>
              <w:left w:type="dxa" w:w="120"/>
              <w:bottom w:type="dxa" w:w="120"/>
              <w:right w:type="dxa" w:w="180"/>
            </w:tcMar>
          </w:tcPr>
          <w:p>
            <w:r>
              <w:rPr>
                <w:rFonts w:ascii="Arial" w:cs="Arial" w:eastAsia="Arial" w:hAnsi="Arial"/>
                <w:color w:val="404040"/>
                <w:sz w:val="20"/>
                <w:szCs w:val="20"/>
              </w:rPr>
              <w:t xml:space="preserve">This is a proposal for a decision support tool, not a replacement for security review, human judgment, or institutional expertise. Every answer it provides is only as trustworthy as the documents it was given. That is by design, not a limitation to be engineered around.</w:t>
            </w:r>
          </w:p>
        </w:tc>
      </w:tr>
    </w:tbl>
    <w:p>
      <w:pPr>
        <w:spacing w:before="160" w:after="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1. What the Tool Actually Does</w:t>
      </w:r>
    </w:p>
    <w:p>
      <w:pPr>
        <w:spacing w:before="80" w:after="80"/>
      </w:pPr>
      <w:r>
        <w:rPr>
          <w:rFonts w:ascii="Arial" w:cs="Arial" w:eastAsia="Arial" w:hAnsi="Arial"/>
          <w:color w:val="404040"/>
          <w:sz w:val="22"/>
          <w:szCs w:val="22"/>
        </w:rPr>
        <w:t xml:space="preserve">A RAG (Retrieval-Augmented Generation) system answers natural language questions by retrieving relevant chunks from a pre-defined document corpus and passing them as context to a large language model. The model does not invent from training data — it reasons over the documents it was given for each query.</w:t>
      </w:r>
    </w:p>
    <w:p>
      <w:pPr>
        <w:spacing w:before="120" w:after="0"/>
      </w:pPr>
      <w:r>
        <w:t xml:space="preserve"/>
      </w:r>
    </w:p>
    <w:p>
      <w:pPr>
        <w:spacing w:before="80" w:after="80"/>
      </w:pPr>
      <w:r>
        <w:rPr>
          <w:rFonts w:ascii="Arial" w:cs="Arial" w:eastAsia="Arial" w:hAnsi="Arial"/>
          <w:color w:val="404040"/>
          <w:sz w:val="22"/>
          <w:szCs w:val="22"/>
        </w:rPr>
        <w:t xml:space="preserve">Concretely, in a DevOps onboarding context:</w:t>
      </w:r>
    </w:p>
    <w:p>
      <w:pPr>
        <w:spacing w:before="80" w:after="0"/>
      </w:pPr>
      <w:r>
        <w:t xml:space="preserve"/>
      </w:r>
    </w:p>
    <w:p>
      <w:pPr>
        <w:pStyle w:val="ListParagraph"/>
        <w:numPr>
          <w:ilvl w:val="0"/>
          <w:numId w:val="2"/>
        </w:numPr>
        <w:spacing w:before="60" w:after="60"/>
      </w:pPr>
      <w:r>
        <w:rPr>
          <w:rFonts w:ascii="Arial" w:cs="Arial" w:eastAsia="Arial" w:hAnsi="Arial"/>
          <w:color w:val="404040"/>
          <w:sz w:val="22"/>
          <w:szCs w:val="22"/>
        </w:rPr>
        <w:t xml:space="preserve">An engineer asks: "What services are currently in FedRAMP scope?"</w:t>
      </w:r>
    </w:p>
    <w:p>
      <w:pPr>
        <w:pStyle w:val="ListParagraph"/>
        <w:numPr>
          <w:ilvl w:val="0"/>
          <w:numId w:val="2"/>
        </w:numPr>
        <w:spacing w:before="60" w:after="60"/>
      </w:pPr>
      <w:r>
        <w:rPr>
          <w:rFonts w:ascii="Arial" w:cs="Arial" w:eastAsia="Arial" w:hAnsi="Arial"/>
          <w:color w:val="404040"/>
          <w:sz w:val="22"/>
          <w:szCs w:val="22"/>
        </w:rPr>
        <w:t xml:space="preserve">The system retrieves the relevant section of the System Security Plan or boundary document</w:t>
      </w:r>
    </w:p>
    <w:p>
      <w:pPr>
        <w:pStyle w:val="ListParagraph"/>
        <w:numPr>
          <w:ilvl w:val="0"/>
          <w:numId w:val="2"/>
        </w:numPr>
        <w:spacing w:before="60" w:after="60"/>
      </w:pPr>
      <w:r>
        <w:rPr>
          <w:rFonts w:ascii="Arial" w:cs="Arial" w:eastAsia="Arial" w:hAnsi="Arial"/>
          <w:color w:val="404040"/>
          <w:sz w:val="22"/>
          <w:szCs w:val="22"/>
        </w:rPr>
        <w:t xml:space="preserve">The LLM summarizes the retrieved text and cites the source</w:t>
      </w:r>
    </w:p>
    <w:p>
      <w:pPr>
        <w:pStyle w:val="ListParagraph"/>
        <w:numPr>
          <w:ilvl w:val="0"/>
          <w:numId w:val="2"/>
        </w:numPr>
        <w:spacing w:before="60" w:after="60"/>
      </w:pPr>
      <w:r>
        <w:rPr>
          <w:rFonts w:ascii="Arial" w:cs="Arial" w:eastAsia="Arial" w:hAnsi="Arial"/>
          <w:color w:val="404040"/>
          <w:sz w:val="22"/>
          <w:szCs w:val="22"/>
        </w:rPr>
        <w:t xml:space="preserve">If no relevant document exists, it says so explicitly rather than guessing</w:t>
      </w:r>
    </w:p>
    <w:p>
      <w:pPr>
        <w:spacing w:before="120" w:after="0"/>
      </w:pPr>
      <w:r>
        <w:t xml:space="preserve"/>
      </w:r>
    </w:p>
    <w:p>
      <w:pPr>
        <w:spacing w:before="80" w:after="80"/>
      </w:pPr>
      <w:r>
        <w:rPr>
          <w:rFonts w:ascii="Arial" w:cs="Arial" w:eastAsia="Arial" w:hAnsi="Arial"/>
          <w:color w:val="404040"/>
          <w:sz w:val="22"/>
          <w:szCs w:val="22"/>
        </w:rPr>
        <w:t xml:space="preserve">What it does NOT do:</w:t>
      </w:r>
    </w:p>
    <w:p>
      <w:pPr>
        <w:spacing w:before="80" w:after="0"/>
      </w:pPr>
      <w:r>
        <w:t xml:space="preserve"/>
      </w:r>
    </w:p>
    <w:p>
      <w:pPr>
        <w:pStyle w:val="ListParagraph"/>
        <w:numPr>
          <w:ilvl w:val="0"/>
          <w:numId w:val="2"/>
        </w:numPr>
        <w:spacing w:before="60" w:after="60"/>
      </w:pPr>
      <w:r>
        <w:rPr>
          <w:rFonts w:ascii="Arial" w:cs="Arial" w:eastAsia="Arial" w:hAnsi="Arial"/>
          <w:color w:val="404040"/>
          <w:sz w:val="22"/>
          <w:szCs w:val="22"/>
        </w:rPr>
        <w:t xml:space="preserve">It does not generate answers from general internet knowledge</w:t>
      </w:r>
    </w:p>
    <w:p>
      <w:pPr>
        <w:pStyle w:val="ListParagraph"/>
        <w:numPr>
          <w:ilvl w:val="0"/>
          <w:numId w:val="2"/>
        </w:numPr>
        <w:spacing w:before="60" w:after="60"/>
      </w:pPr>
      <w:r>
        <w:rPr>
          <w:rFonts w:ascii="Arial" w:cs="Arial" w:eastAsia="Arial" w:hAnsi="Arial"/>
          <w:color w:val="404040"/>
          <w:sz w:val="22"/>
          <w:szCs w:val="22"/>
        </w:rPr>
        <w:t xml:space="preserve">It does not store conversation history or build a model of user behavior</w:t>
      </w:r>
    </w:p>
    <w:p>
      <w:pPr>
        <w:pStyle w:val="ListParagraph"/>
        <w:numPr>
          <w:ilvl w:val="0"/>
          <w:numId w:val="2"/>
        </w:numPr>
        <w:spacing w:before="60" w:after="60"/>
      </w:pPr>
      <w:r>
        <w:rPr>
          <w:rFonts w:ascii="Arial" w:cs="Arial" w:eastAsia="Arial" w:hAnsi="Arial"/>
          <w:color w:val="404040"/>
          <w:sz w:val="22"/>
          <w:szCs w:val="22"/>
        </w:rPr>
        <w:t xml:space="preserve">It does not make decisions — it surfaces information for a human to act on</w:t>
      </w:r>
    </w:p>
    <w:p>
      <w:pPr>
        <w:pStyle w:val="ListParagraph"/>
        <w:numPr>
          <w:ilvl w:val="0"/>
          <w:numId w:val="2"/>
        </w:numPr>
        <w:spacing w:before="60" w:after="60"/>
      </w:pPr>
      <w:r>
        <w:rPr>
          <w:rFonts w:ascii="Arial" w:cs="Arial" w:eastAsia="Arial" w:hAnsi="Arial"/>
          <w:color w:val="404040"/>
          <w:sz w:val="22"/>
          <w:szCs w:val="22"/>
        </w:rPr>
        <w:t xml:space="preserve">It does not have write access to any system</w:t>
      </w:r>
    </w:p>
    <w:p>
      <w:pPr>
        <w:spacing w:before="160" w:after="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2. Data Governance: What Goes In</w:t>
      </w:r>
    </w:p>
    <w:p>
      <w:pPr>
        <w:spacing w:before="80" w:after="80"/>
      </w:pPr>
      <w:r>
        <w:rPr>
          <w:rFonts w:ascii="Arial" w:cs="Arial" w:eastAsia="Arial" w:hAnsi="Arial"/>
          <w:color w:val="404040"/>
          <w:sz w:val="22"/>
          <w:szCs w:val="22"/>
        </w:rPr>
        <w:t xml:space="preserve">The most consequential security decision in any RAG deployment is document classification — specifically, which documents are ingested and which are explicitly excluded. This is not a technical default; it requires deliberate policy.</w:t>
      </w:r>
    </w:p>
    <w:p>
      <w:pPr>
        <w:spacing w:before="120" w:after="0"/>
      </w:pPr>
      <w:r>
        <w:t xml:space="preserve"/>
      </w:r>
    </w:p>
    <w:p>
      <w:pPr>
        <w:pStyle w:val="Heading2"/>
        <w:spacing w:before="240" w:after="120"/>
      </w:pPr>
      <w:r>
        <w:rPr>
          <w:rFonts w:ascii="Arial" w:cs="Arial" w:eastAsia="Arial" w:hAnsi="Arial"/>
          <w:b/>
          <w:bCs/>
          <w:color w:val="2E75B6"/>
          <w:sz w:val="24"/>
          <w:szCs w:val="24"/>
        </w:rPr>
        <w:t xml:space="preserve">Documents that are appropriate for ingestion</w:t>
      </w:r>
    </w:p>
    <w:p>
      <w:pPr>
        <w:spacing w:before="80" w:after="0"/>
      </w:pPr>
      <w:r>
        <w:t xml:space="preserve"/>
      </w:r>
    </w:p>
    <w:p>
      <w:pPr>
        <w:pStyle w:val="ListParagraph"/>
        <w:numPr>
          <w:ilvl w:val="0"/>
          <w:numId w:val="2"/>
        </w:numPr>
        <w:spacing w:before="60" w:after="60"/>
      </w:pPr>
      <w:r>
        <w:rPr>
          <w:rFonts w:ascii="Arial" w:cs="Arial" w:eastAsia="Arial" w:hAnsi="Arial"/>
          <w:color w:val="404040"/>
          <w:sz w:val="22"/>
          <w:szCs w:val="22"/>
        </w:rPr>
        <w:t xml:space="preserve">Architecture decision records (ADRs)</w:t>
      </w:r>
    </w:p>
    <w:p>
      <w:pPr>
        <w:pStyle w:val="ListParagraph"/>
        <w:numPr>
          <w:ilvl w:val="0"/>
          <w:numId w:val="2"/>
        </w:numPr>
        <w:spacing w:before="60" w:after="60"/>
      </w:pPr>
      <w:r>
        <w:rPr>
          <w:rFonts w:ascii="Arial" w:cs="Arial" w:eastAsia="Arial" w:hAnsi="Arial"/>
          <w:color w:val="404040"/>
          <w:sz w:val="22"/>
          <w:szCs w:val="22"/>
        </w:rPr>
        <w:t xml:space="preserve">Runbooks and operational procedures</w:t>
      </w:r>
    </w:p>
    <w:p>
      <w:pPr>
        <w:pStyle w:val="ListParagraph"/>
        <w:numPr>
          <w:ilvl w:val="0"/>
          <w:numId w:val="2"/>
        </w:numPr>
        <w:spacing w:before="60" w:after="60"/>
      </w:pPr>
      <w:r>
        <w:rPr>
          <w:rFonts w:ascii="Arial" w:cs="Arial" w:eastAsia="Arial" w:hAnsi="Arial"/>
          <w:color w:val="404040"/>
          <w:sz w:val="22"/>
          <w:szCs w:val="22"/>
        </w:rPr>
        <w:t xml:space="preserve">Public-facing compliance summaries (SOC 2 Type II report scope, FedRAMP boundary descriptions)</w:t>
      </w:r>
    </w:p>
    <w:p>
      <w:pPr>
        <w:pStyle w:val="ListParagraph"/>
        <w:numPr>
          <w:ilvl w:val="0"/>
          <w:numId w:val="2"/>
        </w:numPr>
        <w:spacing w:before="60" w:after="60"/>
      </w:pPr>
      <w:r>
        <w:rPr>
          <w:rFonts w:ascii="Arial" w:cs="Arial" w:eastAsia="Arial" w:hAnsi="Arial"/>
          <w:color w:val="404040"/>
          <w:sz w:val="22"/>
          <w:szCs w:val="22"/>
        </w:rPr>
        <w:t xml:space="preserve">Onboarding guides and team wikis</w:t>
      </w:r>
    </w:p>
    <w:p>
      <w:pPr>
        <w:pStyle w:val="ListParagraph"/>
        <w:numPr>
          <w:ilvl w:val="0"/>
          <w:numId w:val="2"/>
        </w:numPr>
        <w:spacing w:before="60" w:after="60"/>
      </w:pPr>
      <w:r>
        <w:rPr>
          <w:rFonts w:ascii="Arial" w:cs="Arial" w:eastAsia="Arial" w:hAnsi="Arial"/>
          <w:color w:val="404040"/>
          <w:sz w:val="22"/>
          <w:szCs w:val="22"/>
        </w:rPr>
        <w:t xml:space="preserve">Incident postmortem write-ups (after PIIs are scrubbed)</w:t>
      </w:r>
    </w:p>
    <w:p>
      <w:pPr>
        <w:pStyle w:val="ListParagraph"/>
        <w:numPr>
          <w:ilvl w:val="0"/>
          <w:numId w:val="2"/>
        </w:numPr>
        <w:spacing w:before="60" w:after="60"/>
      </w:pPr>
      <w:r>
        <w:rPr>
          <w:rFonts w:ascii="Arial" w:cs="Arial" w:eastAsia="Arial" w:hAnsi="Arial"/>
          <w:color w:val="404040"/>
          <w:sz w:val="22"/>
          <w:szCs w:val="22"/>
        </w:rPr>
        <w:t xml:space="preserve">IaC patterns and approved configuration standards</w:t>
      </w:r>
    </w:p>
    <w:p>
      <w:pPr>
        <w:spacing w:before="120" w:after="0"/>
      </w:pPr>
      <w:r>
        <w:t xml:space="preserve"/>
      </w:r>
    </w:p>
    <w:p>
      <w:pPr>
        <w:pStyle w:val="Heading2"/>
        <w:spacing w:before="240" w:after="120"/>
      </w:pPr>
      <w:r>
        <w:rPr>
          <w:rFonts w:ascii="Arial" w:cs="Arial" w:eastAsia="Arial" w:hAnsi="Arial"/>
          <w:b/>
          <w:bCs/>
          <w:color w:val="2E75B6"/>
          <w:sz w:val="24"/>
          <w:szCs w:val="24"/>
        </w:rPr>
        <w:t xml:space="preserve">Documents that must never be ingested</w:t>
      </w:r>
    </w:p>
    <w:p>
      <w:pPr>
        <w:spacing w:before="80" w:after="0"/>
      </w:pPr>
      <w:r>
        <w:t xml:space="preserve"/>
      </w:r>
    </w:p>
    <w:p>
      <w:pPr>
        <w:pStyle w:val="ListParagraph"/>
        <w:numPr>
          <w:ilvl w:val="0"/>
          <w:numId w:val="2"/>
        </w:numPr>
        <w:spacing w:before="60" w:after="60"/>
      </w:pPr>
      <w:r>
        <w:rPr>
          <w:rFonts w:ascii="Arial" w:cs="Arial" w:eastAsia="Arial" w:hAnsi="Arial"/>
          <w:color w:val="404040"/>
          <w:sz w:val="22"/>
          <w:szCs w:val="22"/>
        </w:rPr>
        <w:t xml:space="preserve">Secrets, credentials, API keys, or connection strings in any form</w:t>
      </w:r>
    </w:p>
    <w:p>
      <w:pPr>
        <w:pStyle w:val="ListParagraph"/>
        <w:numPr>
          <w:ilvl w:val="0"/>
          <w:numId w:val="2"/>
        </w:numPr>
        <w:spacing w:before="60" w:after="60"/>
      </w:pPr>
      <w:r>
        <w:rPr>
          <w:rFonts w:ascii="Arial" w:cs="Arial" w:eastAsia="Arial" w:hAnsi="Arial"/>
          <w:color w:val="404040"/>
          <w:sz w:val="22"/>
          <w:szCs w:val="22"/>
        </w:rPr>
        <w:t xml:space="preserve">Full System Security Plans (SSP) or Authorization to Operate (ATO) packages — these contain control implementation details that constitute a roadmap for attackers</w:t>
      </w:r>
    </w:p>
    <w:p>
      <w:pPr>
        <w:pStyle w:val="ListParagraph"/>
        <w:numPr>
          <w:ilvl w:val="0"/>
          <w:numId w:val="2"/>
        </w:numPr>
        <w:spacing w:before="60" w:after="60"/>
      </w:pPr>
      <w:r>
        <w:rPr>
          <w:rFonts w:ascii="Arial" w:cs="Arial" w:eastAsia="Arial" w:hAnsi="Arial"/>
          <w:color w:val="404040"/>
          <w:sz w:val="22"/>
          <w:szCs w:val="22"/>
        </w:rPr>
        <w:t xml:space="preserve">Customer data or anything containing PII</w:t>
      </w:r>
    </w:p>
    <w:p>
      <w:pPr>
        <w:pStyle w:val="ListParagraph"/>
        <w:numPr>
          <w:ilvl w:val="0"/>
          <w:numId w:val="2"/>
        </w:numPr>
        <w:spacing w:before="60" w:after="60"/>
      </w:pPr>
      <w:r>
        <w:rPr>
          <w:rFonts w:ascii="Arial" w:cs="Arial" w:eastAsia="Arial" w:hAnsi="Arial"/>
          <w:color w:val="404040"/>
          <w:sz w:val="22"/>
          <w:szCs w:val="22"/>
        </w:rPr>
        <w:t xml:space="preserve">Security assessment reports or vulnerability disclosures</w:t>
      </w:r>
    </w:p>
    <w:p>
      <w:pPr>
        <w:pStyle w:val="ListParagraph"/>
        <w:numPr>
          <w:ilvl w:val="0"/>
          <w:numId w:val="2"/>
        </w:numPr>
        <w:spacing w:before="60" w:after="60"/>
      </w:pPr>
      <w:r>
        <w:rPr>
          <w:rFonts w:ascii="Arial" w:cs="Arial" w:eastAsia="Arial" w:hAnsi="Arial"/>
          <w:color w:val="404040"/>
          <w:sz w:val="22"/>
          <w:szCs w:val="22"/>
        </w:rPr>
        <w:t xml:space="preserve">Raw audit logs</w:t>
      </w:r>
    </w:p>
    <w:p>
      <w:pPr>
        <w:pStyle w:val="ListParagraph"/>
        <w:numPr>
          <w:ilvl w:val="0"/>
          <w:numId w:val="2"/>
        </w:numPr>
        <w:spacing w:before="60" w:after="60"/>
      </w:pPr>
      <w:r>
        <w:rPr>
          <w:rFonts w:ascii="Arial" w:cs="Arial" w:eastAsia="Arial" w:hAnsi="Arial"/>
          <w:color w:val="404040"/>
          <w:sz w:val="22"/>
          <w:szCs w:val="22"/>
        </w:rPr>
        <w:t xml:space="preserve">HR records or personnel files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6E4F0" w:val="clear"/>
            <w:tcMar>
              <w:top w:type="dxa" w:w="120"/>
              <w:left w:type="dxa" w:w="180"/>
              <w:bottom w:type="dxa" w:w="120"/>
              <w:right w:type="dxa" w:w="120"/>
            </w:tcMar>
            <w:vAlign w:val="top"/>
          </w:tcPr>
          <w:p>
            <w:r>
              <w:rPr>
                <w:rFonts w:ascii="Arial" w:cs="Arial" w:eastAsia="Arial" w:hAnsi="Arial"/>
                <w:b/>
                <w:bCs/>
                <w:color w:val="1F4E79"/>
                <w:sz w:val="20"/>
                <w:szCs w:val="20"/>
              </w:rPr>
              <w:t xml:space="preserve">Hard constraint</w:t>
            </w:r>
          </w:p>
        </w:tc>
        <w:tc>
          <w:tcPr>
            <w:tcW w:type="dxa" w:w="8160"/>
            <w:tcBorders>
              <w:top w:val="none" w:color="FFFFFF" w:sz="0"/>
              <w:left w:val="none" w:color="FFFFFF" w:sz="0"/>
              <w:bottom w:val="none" w:color="FFFFFF" w:sz="0"/>
              <w:right w:val="none" w:color="FFFFFF" w:sz="0"/>
            </w:tcBorders>
            <w:shd w:fill="D6E4F0" w:val="clear"/>
            <w:tcMar>
              <w:top w:type="dxa" w:w="120"/>
              <w:left w:type="dxa" w:w="120"/>
              <w:bottom w:type="dxa" w:w="120"/>
              <w:right w:type="dxa" w:w="180"/>
            </w:tcMar>
          </w:tcPr>
          <w:p>
            <w:r>
              <w:rPr>
                <w:rFonts w:ascii="Arial" w:cs="Arial" w:eastAsia="Arial" w:hAnsi="Arial"/>
                <w:color w:val="404040"/>
                <w:sz w:val="20"/>
                <w:szCs w:val="20"/>
              </w:rPr>
              <w:t xml:space="preserve">The ingestion pipeline will enforce a document allowlist by category. Nothing is ingested without explicit classification. The default posture is deny, not permit.</w:t>
            </w:r>
          </w:p>
        </w:tc>
      </w:tr>
    </w:tbl>
    <w:p>
      <w:pPr>
        <w:spacing w:before="160" w:after="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3. Data Residency &amp; Egress</w:t>
      </w:r>
    </w:p>
    <w:p>
      <w:pPr>
        <w:spacing w:before="80" w:after="80"/>
      </w:pPr>
      <w:r>
        <w:rPr>
          <w:rFonts w:ascii="Arial" w:cs="Arial" w:eastAsia="Arial" w:hAnsi="Arial"/>
          <w:color w:val="404040"/>
          <w:sz w:val="22"/>
          <w:szCs w:val="22"/>
        </w:rPr>
        <w:t xml:space="preserve">For a company with FedRAMP and StateRAMP authorizations, data residency is not a preference — it is a compliance requirement. The tool is designed with this as a non-negotiable constraint.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Deployment decision and rationale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Embedding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Azure OpenAI (text-embedding-3-small) — within the Azure tenant, no external egress. Azure OpenAI is available in FedRAMP-authorized Azure Government regions.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04040"/>
                <w:sz w:val="20"/>
                <w:szCs w:val="20"/>
              </w:rPr>
              <w:t xml:space="preserve">LLM completions</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04040"/>
                <w:sz w:val="20"/>
                <w:szCs w:val="20"/>
              </w:rPr>
              <w:t xml:space="preserve">Azure OpenAI GPT-4o — same tenant boundary. Prompts and retrieved chunks do not leave the Azure environment.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Vector store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pgvector on Azure Database for PostgreSQL — fully managed within the tenant, no third-party vector DB service.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04040"/>
                <w:sz w:val="20"/>
                <w:szCs w:val="20"/>
              </w:rPr>
              <w:t xml:space="preserve">API layer</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04040"/>
                <w:sz w:val="20"/>
                <w:szCs w:val="20"/>
              </w:rPr>
              <w:t xml:space="preserve">Azure Container Apps — private endpoint, no public internet exposure without explicit auth.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Audit logs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Azure Monitor within the same subscription — every query, every retrieved chunk, every response is logged.</w:t>
            </w:r>
          </w:p>
        </w:tc>
      </w:tr>
    </w:tbl>
    <w:p>
      <w:pPr>
        <w:spacing w:before="160" w:after="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4. Zero-Trust Alignment</w:t>
      </w:r>
    </w:p>
    <w:p>
      <w:pPr>
        <w:spacing w:before="80" w:after="80"/>
      </w:pPr>
      <w:r>
        <w:rPr>
          <w:rFonts w:ascii="Arial" w:cs="Arial" w:eastAsia="Arial" w:hAnsi="Arial"/>
          <w:color w:val="404040"/>
          <w:sz w:val="22"/>
          <w:szCs w:val="22"/>
        </w:rPr>
        <w:t xml:space="preserve">Zero-trust is not a product feature — it is an architectural posture. A tool proposed for use within a zero-trust environment must itself be designed with zero-trust principles, not merely deployed into one.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Zero-trust principle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this tool implements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Never trust, always verify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Every API request requires a valid Azure AD JWT. No anonymous access. Service-to-service calls use managed identities, not static credentials.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04040"/>
                <w:sz w:val="20"/>
                <w:szCs w:val="20"/>
              </w:rPr>
              <w:t xml:space="preserve">Least privilege access</w:t>
            </w:r>
          </w:p>
        </w:tc>
        <w:tc>
          <w:tcPr>
            <w:tcW w:type="dxa" w:w="6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API process has read-only access to the vector database. The ingestion process has write access to the vector store only, with no access to the completion endpoint. These are separate identities.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Assume breach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Queries and responses are logged to Azure Monitor. If an inappropriate query is made, there is a record. The vector store contains document chunks, not raw credentials — even full compromise leaks only indexed content.</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04040"/>
                <w:sz w:val="20"/>
                <w:szCs w:val="20"/>
              </w:rPr>
              <w:t xml:space="preserve">Verify explicitly</w:t>
            </w:r>
          </w:p>
        </w:tc>
        <w:tc>
          <w:tcPr>
            <w:tcW w:type="dxa" w:w="6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04040"/>
                <w:sz w:val="20"/>
                <w:szCs w:val="20"/>
              </w:rPr>
              <w:t xml:space="preserve">Document ingestion requires an authorized service principal. Queries require an authenticated user. Both are scoped to the minimum necessary permissions.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Micro-segmentation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PostgreSQL instance is accessible only from the Container Apps environment via private endpoint. It is not reachable from the public internet or from other services in the subscription.</w:t>
            </w:r>
          </w:p>
        </w:tc>
      </w:tr>
    </w:tbl>
    <w:p>
      <w:pPr>
        <w:spacing w:before="160" w:after="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5. The Zero-Knowledge Question</w:t>
      </w:r>
    </w:p>
    <w:p>
      <w:pPr>
        <w:spacing w:before="80" w:after="80"/>
      </w:pPr>
      <w:r>
        <w:rPr>
          <w:rFonts w:ascii="Arial" w:cs="Arial" w:eastAsia="Arial" w:hAnsi="Arial"/>
          <w:color w:val="404040"/>
          <w:sz w:val="22"/>
          <w:szCs w:val="22"/>
        </w:rPr>
        <w:t xml:space="preserve">Keeper's zero-knowledge architecture means that Keeper itself cannot read customer vault data — encryption and decryption happen client-side, with keys the server never holds. This is a trust guarantee for customers.</w:t>
      </w:r>
    </w:p>
    <w:p>
      <w:pPr>
        <w:spacing w:before="120" w:after="0"/>
      </w:pPr>
      <w:r>
        <w:t xml:space="preserve"/>
      </w:r>
    </w:p>
    <w:p>
      <w:pPr>
        <w:spacing w:before="80" w:after="80"/>
      </w:pPr>
      <w:r>
        <w:rPr>
          <w:rFonts w:ascii="Arial" w:cs="Arial" w:eastAsia="Arial" w:hAnsi="Arial"/>
          <w:color w:val="404040"/>
          <w:sz w:val="22"/>
          <w:szCs w:val="22"/>
        </w:rPr>
        <w:t xml:space="preserve">An internal RAG tool operates on internal operational documents — runbooks, configuration standards, compliance summaries. These are not customer secrets. But the question deserves to be asked directly: does this tool introduce a surface area that contradicts the zero-knowledge posture?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6E4F0" w:val="clear"/>
            <w:tcMar>
              <w:top w:type="dxa" w:w="120"/>
              <w:left w:type="dxa" w:w="180"/>
              <w:bottom w:type="dxa" w:w="120"/>
              <w:right w:type="dxa" w:w="120"/>
            </w:tcMar>
            <w:vAlign w:val="top"/>
          </w:tcPr>
          <w:p>
            <w:r>
              <w:rPr>
                <w:rFonts w:ascii="Arial" w:cs="Arial" w:eastAsia="Arial" w:hAnsi="Arial"/>
                <w:b/>
                <w:bCs/>
                <w:color w:val="1F4E79"/>
                <w:sz w:val="20"/>
                <w:szCs w:val="20"/>
              </w:rPr>
              <w:t xml:space="preserve">Assessment</w:t>
            </w:r>
          </w:p>
        </w:tc>
        <w:tc>
          <w:tcPr>
            <w:tcW w:type="dxa" w:w="8160"/>
            <w:tcBorders>
              <w:top w:val="none" w:color="FFFFFF" w:sz="0"/>
              <w:left w:val="none" w:color="FFFFFF" w:sz="0"/>
              <w:bottom w:val="none" w:color="FFFFFF" w:sz="0"/>
              <w:right w:val="none" w:color="FFFFFF" w:sz="0"/>
            </w:tcBorders>
            <w:shd w:fill="D6E4F0" w:val="clear"/>
            <w:tcMar>
              <w:top w:type="dxa" w:w="120"/>
              <w:left w:type="dxa" w:w="120"/>
              <w:bottom w:type="dxa" w:w="120"/>
              <w:right w:type="dxa" w:w="180"/>
            </w:tcMar>
          </w:tcPr>
          <w:p>
            <w:r>
              <w:rPr>
                <w:rFonts w:ascii="Arial" w:cs="Arial" w:eastAsia="Arial" w:hAnsi="Arial"/>
                <w:color w:val="404040"/>
                <w:sz w:val="20"/>
                <w:szCs w:val="20"/>
              </w:rPr>
              <w:t xml:space="preserve">No, provided the document classification policy described in Section 2 is enforced. The tool never touches customer data, vault contents, or encryption keys. The risk surface is the operational document corpus itself — which already exists and is already accessible to authorized personnel. The RAG system changes how that corpus is queried, not who can access it or what it contains.</w:t>
            </w:r>
          </w:p>
        </w:tc>
      </w:tr>
    </w:tbl>
    <w:p>
      <w:pPr>
        <w:spacing w:before="120" w:after="0"/>
      </w:pPr>
      <w:r>
        <w:t xml:space="preserve"/>
      </w:r>
    </w:p>
    <w:p>
      <w:pPr>
        <w:spacing w:before="80" w:after="80"/>
      </w:pPr>
      <w:r>
        <w:rPr>
          <w:rFonts w:ascii="Arial" w:cs="Arial" w:eastAsia="Arial" w:hAnsi="Arial"/>
          <w:color w:val="404040"/>
          <w:sz w:val="22"/>
          <w:szCs w:val="22"/>
        </w:rPr>
        <w:t xml:space="preserve">That said, there is a legitimate secondary concern: could the tool make it easier to inadvertently expose sensitive operational information to someone who has query access but not document-level access? This is addressed through document-level RBAC (see Section 6) and is a reason to treat access provisioning to the query API conservatively.</w:t>
      </w:r>
    </w:p>
    <w:p>
      <w:pPr>
        <w:spacing w:before="160" w:after="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6. Access Control Model</w:t>
      </w:r>
    </w:p>
    <w:p>
      <w:pPr>
        <w:spacing w:before="80" w:after="80"/>
      </w:pPr>
      <w:r>
        <w:rPr>
          <w:rFonts w:ascii="Arial" w:cs="Arial" w:eastAsia="Arial" w:hAnsi="Arial"/>
          <w:color w:val="404040"/>
          <w:sz w:val="22"/>
          <w:szCs w:val="22"/>
        </w:rPr>
        <w:t xml:space="preserve">Access to the query API is not equivalent to access to the underlying documents. But it should be treated as if it is, because retrieval is effectively document access through a different interface.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allows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Ingest role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Submit documents for indexing. Assign document category. Trigger re-ingestion. Cannot query or read existing indexed content.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04040"/>
                <w:sz w:val="20"/>
                <w:szCs w:val="20"/>
              </w:rPr>
              <w:t xml:space="preserve">Query role (general)</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04040"/>
                <w:sz w:val="20"/>
                <w:szCs w:val="20"/>
              </w:rPr>
              <w:t xml:space="preserve">Query documents in approved public categories (runbooks, ADRs, configuration standards). Cannot query compliance or incident categories.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Query role (compliance)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Query all non-restricted categories plus compliance summaries. Requires separate approval. Granted only to personnel with existing compliance document access.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04040"/>
                <w:sz w:val="20"/>
                <w:szCs w:val="20"/>
              </w:rPr>
              <w:t xml:space="preserve">Admin role</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04040"/>
                <w:sz w:val="20"/>
                <w:szCs w:val="20"/>
              </w:rPr>
              <w:t xml:space="preserve">Manage roles. View audit logs. Delete documents from index. Does not have query access by default — separation of duties.</w:t>
            </w:r>
          </w:p>
        </w:tc>
      </w:tr>
    </w:tbl>
    <w:p>
      <w:pPr>
        <w:spacing w:before="120" w:after="0"/>
      </w:pPr>
      <w:r>
        <w:t xml:space="preserve"/>
      </w:r>
    </w:p>
    <w:p>
      <w:pPr>
        <w:spacing w:before="80" w:after="80"/>
      </w:pPr>
      <w:r>
        <w:rPr>
          <w:rFonts w:ascii="Arial" w:cs="Arial" w:eastAsia="Arial" w:hAnsi="Arial"/>
          <w:color w:val="404040"/>
          <w:sz w:val="22"/>
          <w:szCs w:val="22"/>
        </w:rPr>
        <w:t xml:space="preserve">All roles are Azure AD groups. Membership is managed through the same provisioning process as all other internal tools. There is no out-of-band access path.</w:t>
      </w:r>
    </w:p>
    <w:p>
      <w:pPr>
        <w:spacing w:before="160" w:after="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7. Audit &amp; Accountability</w:t>
      </w:r>
    </w:p>
    <w:p>
      <w:pPr>
        <w:spacing w:before="80" w:after="80"/>
      </w:pPr>
      <w:r>
        <w:rPr>
          <w:rFonts w:ascii="Arial" w:cs="Arial" w:eastAsia="Arial" w:hAnsi="Arial"/>
          <w:color w:val="404040"/>
          <w:sz w:val="22"/>
          <w:szCs w:val="22"/>
        </w:rPr>
        <w:t xml:space="preserve">For a company operating under SOC 2 Type II and FedRAMP, audit trails are not optional. Every meaningful action in this system produces a log entry.</w:t>
      </w:r>
    </w:p>
    <w:p>
      <w:pPr>
        <w:spacing w:before="120" w:after="0"/>
      </w:pPr>
      <w:r>
        <w:t xml:space="preserve"/>
      </w:r>
    </w:p>
    <w:p>
      <w:pPr>
        <w:pStyle w:val="ListParagraph"/>
        <w:numPr>
          <w:ilvl w:val="0"/>
          <w:numId w:val="2"/>
        </w:numPr>
        <w:spacing w:before="60" w:after="60"/>
      </w:pPr>
      <w:r>
        <w:rPr>
          <w:rFonts w:ascii="Arial" w:cs="Arial" w:eastAsia="Arial" w:hAnsi="Arial"/>
          <w:color w:val="404040"/>
          <w:sz w:val="22"/>
          <w:szCs w:val="22"/>
        </w:rPr>
        <w:t xml:space="preserve">Every query: timestamp, user identity, question text, document chunks retrieved (including source file and chunk ID), response text, confidence level</w:t>
      </w:r>
    </w:p>
    <w:p>
      <w:pPr>
        <w:pStyle w:val="ListParagraph"/>
        <w:numPr>
          <w:ilvl w:val="0"/>
          <w:numId w:val="2"/>
        </w:numPr>
        <w:spacing w:before="60" w:after="60"/>
      </w:pPr>
      <w:r>
        <w:rPr>
          <w:rFonts w:ascii="Arial" w:cs="Arial" w:eastAsia="Arial" w:hAnsi="Arial"/>
          <w:color w:val="404040"/>
          <w:sz w:val="22"/>
          <w:szCs w:val="22"/>
        </w:rPr>
        <w:t xml:space="preserve">Every ingestion: timestamp, service principal identity, file name, document category, chunk count</w:t>
      </w:r>
    </w:p>
    <w:p>
      <w:pPr>
        <w:pStyle w:val="ListParagraph"/>
        <w:numPr>
          <w:ilvl w:val="0"/>
          <w:numId w:val="2"/>
        </w:numPr>
        <w:spacing w:before="60" w:after="60"/>
      </w:pPr>
      <w:r>
        <w:rPr>
          <w:rFonts w:ascii="Arial" w:cs="Arial" w:eastAsia="Arial" w:hAnsi="Arial"/>
          <w:color w:val="404040"/>
          <w:sz w:val="22"/>
          <w:szCs w:val="22"/>
        </w:rPr>
        <w:t xml:space="preserve">Every deletion: timestamp, user identity, document ID, reason (required field)</w:t>
      </w:r>
    </w:p>
    <w:p>
      <w:pPr>
        <w:pStyle w:val="ListParagraph"/>
        <w:numPr>
          <w:ilvl w:val="0"/>
          <w:numId w:val="2"/>
        </w:numPr>
        <w:spacing w:before="60" w:after="60"/>
      </w:pPr>
      <w:r>
        <w:rPr>
          <w:rFonts w:ascii="Arial" w:cs="Arial" w:eastAsia="Arial" w:hAnsi="Arial"/>
          <w:color w:val="404040"/>
          <w:sz w:val="22"/>
          <w:szCs w:val="22"/>
        </w:rPr>
        <w:t xml:space="preserve">Every failed auth attempt: timestamp, identity attempted, endpoint</w:t>
      </w:r>
    </w:p>
    <w:p>
      <w:pPr>
        <w:spacing w:before="120" w:after="0"/>
      </w:pPr>
      <w:r>
        <w:t xml:space="preserve"/>
      </w:r>
    </w:p>
    <w:p>
      <w:pPr>
        <w:spacing w:before="80" w:after="80"/>
      </w:pPr>
      <w:r>
        <w:rPr>
          <w:rFonts w:ascii="Arial" w:cs="Arial" w:eastAsia="Arial" w:hAnsi="Arial"/>
          <w:color w:val="404040"/>
          <w:sz w:val="22"/>
          <w:szCs w:val="22"/>
        </w:rPr>
        <w:t xml:space="preserve">Logs are written to Azure Monitor and retained for 90 days in hot storage, 1 year in cold storage — consistent with typical SOC 2 evidence retention requirements. Log integrity is enforced by Azure Monitor's immutable log architecture; they cannot be modified after write.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6E4F0" w:val="clear"/>
            <w:tcMar>
              <w:top w:type="dxa" w:w="120"/>
              <w:left w:type="dxa" w:w="180"/>
              <w:bottom w:type="dxa" w:w="120"/>
              <w:right w:type="dxa" w:w="120"/>
            </w:tcMar>
            <w:vAlign w:val="top"/>
          </w:tcPr>
          <w:p>
            <w:r>
              <w:rPr>
                <w:rFonts w:ascii="Arial" w:cs="Arial" w:eastAsia="Arial" w:hAnsi="Arial"/>
                <w:b/>
                <w:bCs/>
                <w:color w:val="1F4E79"/>
                <w:sz w:val="20"/>
                <w:szCs w:val="20"/>
              </w:rPr>
              <w:t xml:space="preserve">Compliance note</w:t>
            </w:r>
          </w:p>
        </w:tc>
        <w:tc>
          <w:tcPr>
            <w:tcW w:type="dxa" w:w="8160"/>
            <w:tcBorders>
              <w:top w:val="none" w:color="FFFFFF" w:sz="0"/>
              <w:left w:val="none" w:color="FFFFFF" w:sz="0"/>
              <w:bottom w:val="none" w:color="FFFFFF" w:sz="0"/>
              <w:right w:val="none" w:color="FFFFFF" w:sz="0"/>
            </w:tcBorders>
            <w:shd w:fill="D6E4F0" w:val="clear"/>
            <w:tcMar>
              <w:top w:type="dxa" w:w="120"/>
              <w:left w:type="dxa" w:w="120"/>
              <w:bottom w:type="dxa" w:w="120"/>
              <w:right w:type="dxa" w:w="180"/>
            </w:tcMar>
          </w:tcPr>
          <w:p>
            <w:r>
              <w:rPr>
                <w:rFonts w:ascii="Arial" w:cs="Arial" w:eastAsia="Arial" w:hAnsi="Arial"/>
                <w:color w:val="404040"/>
                <w:sz w:val="20"/>
                <w:szCs w:val="20"/>
              </w:rPr>
              <w:t xml:space="preserve">These audit logs are available as evidence artifacts. If this tool is deployed in a FedRAMP environment, the logging configuration would need to be documented in the SSP as a new information system component and reviewed as part of continuous monitoring.</w:t>
            </w:r>
          </w:p>
        </w:tc>
      </w:tr>
    </w:tbl>
    <w:p>
      <w:pPr>
        <w:spacing w:before="160" w:after="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8. Failure Modes &amp; Honest Limitations</w:t>
      </w:r>
    </w:p>
    <w:p>
      <w:pPr>
        <w:spacing w:before="80" w:after="80"/>
      </w:pPr>
      <w:r>
        <w:rPr>
          <w:rFonts w:ascii="Arial" w:cs="Arial" w:eastAsia="Arial" w:hAnsi="Arial"/>
          <w:color w:val="404040"/>
          <w:sz w:val="22"/>
          <w:szCs w:val="22"/>
        </w:rPr>
        <w:t xml:space="preserve">A tool proposed by someone trying to appear competent will emphasize capabilities. A tool proposed by someone who has thought carefully about security will lead with failure modes. These are the ways this tool can fail, and what mitigates each.</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Mitigation and residual risk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Retrieval returns wrong document chunks, leading to an incorrect answer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Source citations are always displayed. User is responsible for verifying before acting. Low-confidence answers are flagged explicitly. This is a decision support tool, not an authoritative oracle.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04040"/>
                <w:sz w:val="20"/>
                <w:szCs w:val="20"/>
              </w:rPr>
              <w:t xml:space="preserve">An operator ingests a document they should not have</w:t>
            </w:r>
          </w:p>
        </w:tc>
        <w:tc>
          <w:tcPr>
            <w:tcW w:type="dxa" w:w="6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04040"/>
                <w:sz w:val="20"/>
                <w:szCs w:val="20"/>
              </w:rPr>
              <w:t xml:space="preserve">Ingestion requires explicit category assignment. The allowlist is enforced. Post-ingestion, the audit log shows what was ingested and by whom. Documents can be removed and the index rebuilt.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 user queries for information they are not authorized to see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Document-level RBAC prevents retrieval from restricted categories. The API cannot return chunks the user's role does not permit. RBAC is enforced at the retrieval layer, not just at the ingestion layer.</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underlying LLM hallucinates despite retrieved context</w:t>
            </w:r>
          </w:p>
        </w:tc>
        <w:tc>
          <w:tcPr>
            <w:tcW w:type="dxa" w:w="6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system prompt explicitly instructs the model to answer only from provided context and to state uncertainty. Jailbreak-style prompt injection from query inputs is mitigated by treating query text as data, not instructions.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Azure OpenAI service availability affects query availability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tool is designed as a convenience, not a critical path dependency. Operational procedures exist independently of this tool and remain the authoritative source.</w:t>
            </w:r>
          </w:p>
        </w:tc>
      </w:tr>
    </w:tbl>
    <w:p>
      <w:pPr>
        <w:spacing w:before="160" w:after="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9. Questions This Document Cannot Answer</w:t>
      </w:r>
    </w:p>
    <w:p>
      <w:pPr>
        <w:spacing w:before="80" w:after="80"/>
      </w:pPr>
      <w:r>
        <w:rPr>
          <w:rFonts w:ascii="Arial" w:cs="Arial" w:eastAsia="Arial" w:hAnsi="Arial"/>
          <w:color w:val="404040"/>
          <w:sz w:val="22"/>
          <w:szCs w:val="22"/>
        </w:rPr>
        <w:t xml:space="preserve">Intellectual honesty requires naming the things that cannot be resolved by design alone and require organizational decisions.</w:t>
      </w:r>
    </w:p>
    <w:p>
      <w:pPr>
        <w:spacing w:before="120" w:after="0"/>
      </w:pPr>
      <w:r>
        <w:t xml:space="preserve"/>
      </w:r>
    </w:p>
    <w:p>
      <w:pPr>
        <w:spacing w:before="200" w:after="80"/>
      </w:pPr>
      <w:r>
        <w:rPr>
          <w:rFonts w:ascii="Arial" w:cs="Arial" w:eastAsia="Arial" w:hAnsi="Arial"/>
          <w:b/>
          <w:bCs/>
          <w:color w:val="1F4E79"/>
          <w:sz w:val="22"/>
          <w:szCs w:val="22"/>
        </w:rPr>
        <w:t xml:space="preserve">Q: Should this tool be authorized for use in the FedRAMP environment?</w:t>
      </w:r>
    </w:p>
    <w:p>
      <w:pPr>
        <w:spacing w:before="80" w:after="80"/>
      </w:pPr>
      <w:r>
        <w:rPr>
          <w:rFonts w:ascii="Arial" w:cs="Arial" w:eastAsia="Arial" w:hAnsi="Arial"/>
          <w:color w:val="404040"/>
          <w:sz w:val="22"/>
          <w:szCs w:val="22"/>
        </w:rPr>
        <w:t xml:space="preserve">That depends on whether the document corpus it indexes is considered part of the FedRAMP authorization boundary. If it is, the tool must be added to the SSP as a new component and reviewed. This is a compliance team decision, not an engineering one. My position: start outside the boundary and expand scope only after a formal review.</w:t>
      </w:r>
    </w:p>
    <w:p>
      <w:pPr>
        <w:spacing w:before="80" w:after="0"/>
      </w:pPr>
      <w:r>
        <w:t xml:space="preserve"/>
      </w:r>
    </w:p>
    <w:p>
      <w:pPr>
        <w:spacing w:before="200" w:after="80"/>
      </w:pPr>
      <w:r>
        <w:rPr>
          <w:rFonts w:ascii="Arial" w:cs="Arial" w:eastAsia="Arial" w:hAnsi="Arial"/>
          <w:b/>
          <w:bCs/>
          <w:color w:val="1F4E79"/>
          <w:sz w:val="22"/>
          <w:szCs w:val="22"/>
        </w:rPr>
        <w:t xml:space="preserve">Q: Who owns the ingestion allowlist and category policy?</w:t>
      </w:r>
    </w:p>
    <w:p>
      <w:pPr>
        <w:spacing w:before="80" w:after="80"/>
      </w:pPr>
      <w:r>
        <w:rPr>
          <w:rFonts w:ascii="Arial" w:cs="Arial" w:eastAsia="Arial" w:hAnsi="Arial"/>
          <w:color w:val="404040"/>
          <w:sz w:val="22"/>
          <w:szCs w:val="22"/>
        </w:rPr>
        <w:t xml:space="preserve">Not the engineer who built the tool. This should be owned jointly by the Security and Compliance teams, with Engineering as an executor. The tool enforces the policy; it does not define it.</w:t>
      </w:r>
    </w:p>
    <w:p>
      <w:pPr>
        <w:spacing w:before="80" w:after="0"/>
      </w:pPr>
      <w:r>
        <w:t xml:space="preserve"/>
      </w:r>
    </w:p>
    <w:p>
      <w:pPr>
        <w:spacing w:before="200" w:after="80"/>
      </w:pPr>
      <w:r>
        <w:rPr>
          <w:rFonts w:ascii="Arial" w:cs="Arial" w:eastAsia="Arial" w:hAnsi="Arial"/>
          <w:b/>
          <w:bCs/>
          <w:color w:val="1F4E79"/>
          <w:sz w:val="22"/>
          <w:szCs w:val="22"/>
        </w:rPr>
        <w:t xml:space="preserve">Q: What happens when a new employee's query reveals a gap in the document corpus?</w:t>
      </w:r>
    </w:p>
    <w:p>
      <w:pPr>
        <w:spacing w:before="80" w:after="80"/>
      </w:pPr>
      <w:r>
        <w:rPr>
          <w:rFonts w:ascii="Arial" w:cs="Arial" w:eastAsia="Arial" w:hAnsi="Arial"/>
          <w:color w:val="404040"/>
          <w:sz w:val="22"/>
          <w:szCs w:val="22"/>
        </w:rPr>
        <w:t xml:space="preserve">This is actually the tool working correctly. Gaps surface as explicit uncertainty responses, not as confidently wrong answers. Those gaps then become documentation debt items. There should be a lightweight feedback mechanism to track them.</w:t>
      </w:r>
    </w:p>
    <w:p>
      <w:pPr>
        <w:spacing w:before="80" w:after="0"/>
      </w:pPr>
      <w:r>
        <w:t xml:space="preserve"/>
      </w:r>
    </w:p>
    <w:p>
      <w:pPr>
        <w:spacing w:before="200" w:after="80"/>
      </w:pPr>
      <w:r>
        <w:rPr>
          <w:rFonts w:ascii="Arial" w:cs="Arial" w:eastAsia="Arial" w:hAnsi="Arial"/>
          <w:b/>
          <w:bCs/>
          <w:color w:val="1F4E79"/>
          <w:sz w:val="22"/>
          <w:szCs w:val="22"/>
        </w:rPr>
        <w:t xml:space="preserve">Q: Could this tool be used to exfiltrate sensitive documents more efficiently than existing access methods?</w:t>
      </w:r>
    </w:p>
    <w:p>
      <w:pPr>
        <w:spacing w:before="80" w:after="80"/>
      </w:pPr>
      <w:r>
        <w:rPr>
          <w:rFonts w:ascii="Arial" w:cs="Arial" w:eastAsia="Arial" w:hAnsi="Arial"/>
          <w:color w:val="404040"/>
          <w:sz w:val="22"/>
          <w:szCs w:val="22"/>
        </w:rPr>
        <w:t xml:space="preserve">A user with query access could systematically ask questions designed to reconstruct document contents. The audit log would capture this pattern. But the mitigation is honest: the audit log is detective, not preventive. The real control is access provisioning — grant query access only to personnel who already have legitimate access to the indexed document categories.</w:t>
      </w:r>
    </w:p>
    <w:p>
      <w:pPr>
        <w:spacing w:before="160" w:after="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10. Proposed Next Steps</w:t>
      </w:r>
    </w:p>
    <w:p>
      <w:pPr>
        <w:spacing w:before="80" w:after="80"/>
      </w:pPr>
      <w:r>
        <w:rPr>
          <w:rFonts w:ascii="Arial" w:cs="Arial" w:eastAsia="Arial" w:hAnsi="Arial"/>
          <w:color w:val="404040"/>
          <w:sz w:val="22"/>
          <w:szCs w:val="22"/>
        </w:rPr>
        <w:t xml:space="preserve">If this document has been useful rather than uncomfortable to read, the following sequence is suggested:</w:t>
      </w:r>
    </w:p>
    <w:p>
      <w:pPr>
        <w:spacing w:before="80" w:after="0"/>
      </w:pPr>
      <w:r>
        <w:t xml:space="preserve"/>
      </w:r>
    </w:p>
    <w:p>
      <w:pPr>
        <w:pStyle w:val="ListParagraph"/>
        <w:numPr>
          <w:ilvl w:val="0"/>
          <w:numId w:val="2"/>
        </w:numPr>
        <w:spacing w:before="60" w:after="60"/>
      </w:pPr>
      <w:r>
        <w:rPr>
          <w:rFonts w:ascii="Arial" w:cs="Arial" w:eastAsia="Arial" w:hAnsi="Arial"/>
          <w:color w:val="404040"/>
          <w:sz w:val="22"/>
          <w:szCs w:val="22"/>
        </w:rPr>
        <w:t xml:space="preserve">Security and Compliance review this document and identify additional questions or constraints not addressed here</w:t>
      </w:r>
    </w:p>
    <w:p>
      <w:pPr>
        <w:pStyle w:val="ListParagraph"/>
        <w:numPr>
          <w:ilvl w:val="0"/>
          <w:numId w:val="2"/>
        </w:numPr>
        <w:spacing w:before="60" w:after="60"/>
      </w:pPr>
      <w:r>
        <w:rPr>
          <w:rFonts w:ascii="Arial" w:cs="Arial" w:eastAsia="Arial" w:hAnsi="Arial"/>
          <w:color w:val="404040"/>
          <w:sz w:val="22"/>
          <w:szCs w:val="22"/>
        </w:rPr>
        <w:t xml:space="preserve">Define the initial document allowlist and category policy before any ingestion occurs</w:t>
      </w:r>
    </w:p>
    <w:p>
      <w:pPr>
        <w:pStyle w:val="ListParagraph"/>
        <w:numPr>
          <w:ilvl w:val="0"/>
          <w:numId w:val="2"/>
        </w:numPr>
        <w:spacing w:before="60" w:after="60"/>
      </w:pPr>
      <w:r>
        <w:rPr>
          <w:rFonts w:ascii="Arial" w:cs="Arial" w:eastAsia="Arial" w:hAnsi="Arial"/>
          <w:color w:val="404040"/>
          <w:sz w:val="22"/>
          <w:szCs w:val="22"/>
        </w:rPr>
        <w:t xml:space="preserve">Deploy a prototype in a non-production environment with a small, pre-approved document set for evaluation</w:t>
      </w:r>
    </w:p>
    <w:p>
      <w:pPr>
        <w:pStyle w:val="ListParagraph"/>
        <w:numPr>
          <w:ilvl w:val="0"/>
          <w:numId w:val="2"/>
        </w:numPr>
        <w:spacing w:before="60" w:after="60"/>
      </w:pPr>
      <w:r>
        <w:rPr>
          <w:rFonts w:ascii="Arial" w:cs="Arial" w:eastAsia="Arial" w:hAnsi="Arial"/>
          <w:color w:val="404040"/>
          <w:sz w:val="22"/>
          <w:szCs w:val="22"/>
        </w:rPr>
        <w:t xml:space="preserve">Security team reviews the audit log output and RBAC enforcement before any expansion of access</w:t>
      </w:r>
    </w:p>
    <w:p>
      <w:pPr>
        <w:pStyle w:val="ListParagraph"/>
        <w:numPr>
          <w:ilvl w:val="0"/>
          <w:numId w:val="2"/>
        </w:numPr>
        <w:spacing w:before="60" w:after="60"/>
      </w:pPr>
      <w:r>
        <w:rPr>
          <w:rFonts w:ascii="Arial" w:cs="Arial" w:eastAsia="Arial" w:hAnsi="Arial"/>
          <w:color w:val="404040"/>
          <w:sz w:val="22"/>
          <w:szCs w:val="22"/>
        </w:rPr>
        <w:t xml:space="preserve">Determine whether the tool warrants SSP documentation before any production use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6E4F0" w:val="clear"/>
            <w:tcMar>
              <w:top w:type="dxa" w:w="120"/>
              <w:left w:type="dxa" w:w="180"/>
              <w:bottom w:type="dxa" w:w="120"/>
              <w:right w:type="dxa" w:w="120"/>
            </w:tcMar>
            <w:vAlign w:val="top"/>
          </w:tcPr>
          <w:p>
            <w:r>
              <w:rPr>
                <w:rFonts w:ascii="Arial" w:cs="Arial" w:eastAsia="Arial" w:hAnsi="Arial"/>
                <w:b/>
                <w:bCs/>
                <w:color w:val="1F4E79"/>
                <w:sz w:val="20"/>
                <w:szCs w:val="20"/>
              </w:rPr>
              <w:t xml:space="preserve">Closing note</w:t>
            </w:r>
          </w:p>
        </w:tc>
        <w:tc>
          <w:tcPr>
            <w:tcW w:type="dxa" w:w="8160"/>
            <w:tcBorders>
              <w:top w:val="none" w:color="FFFFFF" w:sz="0"/>
              <w:left w:val="none" w:color="FFFFFF" w:sz="0"/>
              <w:bottom w:val="none" w:color="FFFFFF" w:sz="0"/>
              <w:right w:val="none" w:color="FFFFFF" w:sz="0"/>
            </w:tcBorders>
            <w:shd w:fill="D6E4F0" w:val="clear"/>
            <w:tcMar>
              <w:top w:type="dxa" w:w="120"/>
              <w:left w:type="dxa" w:w="120"/>
              <w:bottom w:type="dxa" w:w="120"/>
              <w:right w:type="dxa" w:w="180"/>
            </w:tcMar>
          </w:tcPr>
          <w:p>
            <w:r>
              <w:rPr>
                <w:rFonts w:ascii="Arial" w:cs="Arial" w:eastAsia="Arial" w:hAnsi="Arial"/>
                <w:color w:val="404040"/>
                <w:sz w:val="20"/>
                <w:szCs w:val="20"/>
              </w:rPr>
              <w:t xml:space="preserve">The goal of this document is not to get a tool approved. It is to make sure that if this tool is built and used, it is built and used responsibly — in a way that is consistent with the security posture that Keeper's customers depend on. If the conclusion of this review is that the risk profile is not acceptable at this time, that is a legitimate outcome.</w:t>
            </w:r>
          </w:p>
        </w:tc>
      </w:tr>
    </w:tbl>
    <w:p>
      <w:pPr>
        <w:spacing w:before="80" w:after="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2026-03-28T21:12:06.155Z</dcterms:created>
  <dcterms:modified xsi:type="dcterms:W3CDTF">2026-03-28T21:12:06.156Z</dcterms:modified>
</cp:coreProperties>
</file>

<file path=docProps/custom.xml><?xml version="1.0" encoding="utf-8"?>
<Properties xmlns="http://schemas.openxmlformats.org/officeDocument/2006/custom-properties" xmlns:vt="http://schemas.openxmlformats.org/officeDocument/2006/docPropsVTypes"/>
</file>