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5983BA" w14:textId="6D9E6E93" w:rsidR="00012667" w:rsidRPr="00012667" w:rsidRDefault="00AE2765" w:rsidP="00012667">
      <w:pPr>
        <w:pStyle w:val="Title"/>
        <w:rPr>
          <w:rFonts w:cstheme="majorHAnsi"/>
          <w:sz w:val="22"/>
          <w:szCs w:val="22"/>
        </w:rPr>
      </w:pPr>
      <w:r w:rsidRPr="00012667">
        <w:rPr>
          <w:rFonts w:cstheme="majorHAnsi"/>
          <w:sz w:val="22"/>
          <w:szCs w:val="22"/>
        </w:rPr>
        <w:t>Comment:</w:t>
      </w:r>
      <w:r w:rsidR="00012667" w:rsidRPr="00012667">
        <w:rPr>
          <w:rFonts w:cstheme="majorHAnsi"/>
          <w:sz w:val="22"/>
          <w:szCs w:val="22"/>
        </w:rPr>
        <w:t xml:space="preserve"> Sadly, I am by no means done with my report and code yet. Up to now I have focused on </w:t>
      </w:r>
      <w:r w:rsidR="00012667">
        <w:rPr>
          <w:rFonts w:cstheme="majorHAnsi"/>
          <w:sz w:val="22"/>
          <w:szCs w:val="22"/>
        </w:rPr>
        <w:t>connecting my analysis and findings to the theoretical framework related to my model (see sources). I still have to majorly clean up my code and annotate it in the report. Additionally</w:t>
      </w:r>
      <w:r w:rsidR="00FA6D2D">
        <w:rPr>
          <w:rFonts w:cstheme="majorHAnsi"/>
          <w:sz w:val="22"/>
          <w:szCs w:val="22"/>
        </w:rPr>
        <w:t>,</w:t>
      </w:r>
      <w:r w:rsidR="00012667">
        <w:rPr>
          <w:rFonts w:cstheme="majorHAnsi"/>
          <w:sz w:val="22"/>
          <w:szCs w:val="22"/>
        </w:rPr>
        <w:t xml:space="preserve"> I still want to do a comparison analysis with a model without the density scaling factor f and some other things</w:t>
      </w:r>
      <w:r w:rsidR="00A4058E">
        <w:rPr>
          <w:rFonts w:cstheme="majorHAnsi"/>
          <w:sz w:val="22"/>
          <w:szCs w:val="22"/>
        </w:rPr>
        <w:t xml:space="preserve"> like running more replicates </w:t>
      </w:r>
      <w:proofErr w:type="spellStart"/>
      <w:r w:rsidR="00A4058E">
        <w:rPr>
          <w:rFonts w:cstheme="majorHAnsi"/>
          <w:sz w:val="22"/>
          <w:szCs w:val="22"/>
        </w:rPr>
        <w:t>ect</w:t>
      </w:r>
      <w:proofErr w:type="spellEnd"/>
      <w:r w:rsidR="00A4058E">
        <w:rPr>
          <w:rFonts w:cstheme="majorHAnsi"/>
          <w:sz w:val="22"/>
          <w:szCs w:val="22"/>
        </w:rPr>
        <w:t>.</w:t>
      </w:r>
      <w:r w:rsidR="00012667">
        <w:rPr>
          <w:rFonts w:cstheme="majorHAnsi"/>
          <w:sz w:val="22"/>
          <w:szCs w:val="22"/>
        </w:rPr>
        <w:t xml:space="preserve">… </w:t>
      </w:r>
      <w:r w:rsidR="00FA6D2D">
        <w:rPr>
          <w:rFonts w:cstheme="majorHAnsi"/>
          <w:sz w:val="22"/>
          <w:szCs w:val="22"/>
        </w:rPr>
        <w:t xml:space="preserve">Especially the rebound analysis section is incomplete I used my output numbers from the code but have not been able to visualize them and test them on robustness yet. </w:t>
      </w:r>
      <w:r w:rsidR="00012667">
        <w:rPr>
          <w:rFonts w:cstheme="majorHAnsi"/>
          <w:sz w:val="22"/>
          <w:szCs w:val="22"/>
        </w:rPr>
        <w:t xml:space="preserve">I hope this draft allows you to get an overview of my work in progress and that it is at least mildly interesting to read. </w:t>
      </w:r>
      <w:r w:rsidR="00A4058E">
        <w:rPr>
          <w:rFonts w:cstheme="majorHAnsi"/>
          <w:sz w:val="22"/>
          <w:szCs w:val="22"/>
        </w:rPr>
        <w:t xml:space="preserve">Authorship: </w:t>
      </w:r>
      <w:proofErr w:type="spellStart"/>
      <w:r w:rsidR="00A4058E">
        <w:rPr>
          <w:rFonts w:cstheme="majorHAnsi"/>
          <w:sz w:val="22"/>
          <w:szCs w:val="22"/>
        </w:rPr>
        <w:t>a</w:t>
      </w:r>
      <w:r w:rsidR="00012667">
        <w:rPr>
          <w:rFonts w:cstheme="majorHAnsi"/>
          <w:sz w:val="22"/>
          <w:szCs w:val="22"/>
        </w:rPr>
        <w:t>knowledgment</w:t>
      </w:r>
      <w:proofErr w:type="spellEnd"/>
      <w:r w:rsidR="00012667">
        <w:rPr>
          <w:rFonts w:cstheme="majorHAnsi"/>
          <w:sz w:val="22"/>
          <w:szCs w:val="22"/>
        </w:rPr>
        <w:t xml:space="preserve">: I used </w:t>
      </w:r>
      <w:proofErr w:type="spellStart"/>
      <w:r w:rsidR="00012667">
        <w:rPr>
          <w:rFonts w:cstheme="majorHAnsi"/>
          <w:sz w:val="22"/>
          <w:szCs w:val="22"/>
        </w:rPr>
        <w:t>ChatGPT</w:t>
      </w:r>
      <w:proofErr w:type="spellEnd"/>
      <w:r w:rsidR="00012667">
        <w:rPr>
          <w:rFonts w:cstheme="majorHAnsi"/>
          <w:sz w:val="22"/>
          <w:szCs w:val="22"/>
        </w:rPr>
        <w:t xml:space="preserve"> to correct grammar, find appropriate scientific terms and help with some of the modelling (especially fancy looking colorful plots. Greetings, Zoe.</w:t>
      </w:r>
    </w:p>
    <w:p w14:paraId="0AD92B75" w14:textId="4864ECD0" w:rsidR="00AE2765" w:rsidRDefault="00AE2765" w:rsidP="00AE2765"/>
    <w:p w14:paraId="62DDC213" w14:textId="77777777" w:rsidR="00AE2765" w:rsidRPr="00AE2765" w:rsidRDefault="00AE2765" w:rsidP="00AE2765"/>
    <w:p w14:paraId="66136F1C" w14:textId="72D3C5F9" w:rsidR="00045F10" w:rsidRPr="00441679" w:rsidRDefault="00A4058E">
      <w:pPr>
        <w:pStyle w:val="Title"/>
        <w:rPr>
          <w:rFonts w:cstheme="majorHAnsi"/>
        </w:rPr>
      </w:pPr>
      <w:r w:rsidRPr="00441679">
        <w:rPr>
          <w:rFonts w:cstheme="majorHAnsi"/>
        </w:rPr>
        <w:t xml:space="preserve">Evolutionary Rescue </w:t>
      </w:r>
      <w:r w:rsidRPr="00441679">
        <w:rPr>
          <w:rFonts w:cstheme="majorHAnsi"/>
        </w:rPr>
        <w:t>in a Declining Population: How A</w:t>
      </w:r>
      <w:bookmarkStart w:id="0" w:name="_GoBack"/>
      <w:bookmarkEnd w:id="0"/>
      <w:r w:rsidRPr="00441679">
        <w:rPr>
          <w:rFonts w:cstheme="majorHAnsi"/>
        </w:rPr>
        <w:t xml:space="preserve">bsolute Mutant </w:t>
      </w:r>
      <w:proofErr w:type="gramStart"/>
      <w:r w:rsidRPr="00441679">
        <w:rPr>
          <w:rFonts w:cstheme="majorHAnsi"/>
        </w:rPr>
        <w:t>Head-Count</w:t>
      </w:r>
      <w:proofErr w:type="gramEnd"/>
      <w:r w:rsidRPr="00441679">
        <w:rPr>
          <w:rFonts w:cstheme="majorHAnsi"/>
        </w:rPr>
        <w:t>, Not Percentage, Predicts Recovery</w:t>
      </w:r>
    </w:p>
    <w:p w14:paraId="129A751E" w14:textId="77777777" w:rsidR="00045F10" w:rsidRPr="00441679" w:rsidRDefault="00A4058E">
      <w:pPr>
        <w:rPr>
          <w:rFonts w:asciiTheme="majorHAnsi" w:hAnsiTheme="majorHAnsi" w:cstheme="majorHAnsi"/>
        </w:rPr>
      </w:pPr>
      <w:r w:rsidRPr="00441679">
        <w:rPr>
          <w:rFonts w:asciiTheme="majorHAnsi" w:hAnsiTheme="majorHAnsi" w:cstheme="majorHAnsi"/>
        </w:rPr>
        <w:t>Zoe Schuler | 22-123-988 | Theoretical Ecology &amp; Evolution – Practical | 7 November 2025</w:t>
      </w:r>
    </w:p>
    <w:p w14:paraId="120FF23B" w14:textId="1F476A30" w:rsidR="005E0AFE" w:rsidRPr="00441679" w:rsidRDefault="00F35BFD" w:rsidP="005E0AFE">
      <w:pPr>
        <w:rPr>
          <w:rFonts w:asciiTheme="majorHAnsi" w:hAnsiTheme="majorHAnsi" w:cstheme="majorHAnsi"/>
        </w:rPr>
      </w:pPr>
      <w:r w:rsidRPr="00F35BFD">
        <w:rPr>
          <w:rFonts w:asciiTheme="majorHAnsi" w:hAnsiTheme="majorHAnsi" w:cstheme="majorHAnsi"/>
        </w:rPr>
        <w:lastRenderedPageBreak/>
        <w:drawing>
          <wp:inline distT="0" distB="0" distL="0" distR="0" wp14:anchorId="11C164D2" wp14:editId="7849EB67">
            <wp:extent cx="5486400" cy="33350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35020"/>
                    </a:xfrm>
                    <a:prstGeom prst="rect">
                      <a:avLst/>
                    </a:prstGeom>
                  </pic:spPr>
                </pic:pic>
              </a:graphicData>
            </a:graphic>
          </wp:inline>
        </w:drawing>
      </w:r>
    </w:p>
    <w:p w14:paraId="08CC888B" w14:textId="0C1186BB" w:rsidR="005E0AFE" w:rsidRPr="00441679" w:rsidRDefault="005E0AFE" w:rsidP="005E0AFE">
      <w:pPr>
        <w:pStyle w:val="Heading3"/>
        <w:rPr>
          <w:rFonts w:cstheme="majorHAnsi"/>
        </w:rPr>
      </w:pPr>
      <w:r w:rsidRPr="00441679">
        <w:rPr>
          <w:rStyle w:val="Strong"/>
          <w:rFonts w:cstheme="majorHAnsi"/>
          <w:b/>
          <w:bCs/>
        </w:rPr>
        <w:t xml:space="preserve">Abstract </w:t>
      </w:r>
    </w:p>
    <w:p w14:paraId="5393BC2B" w14:textId="34E94A1F"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Stochastic, density-dependent simulations (Poisson offspring, logistic fitness) show that ≥ 90 % evolutionary-rescue probability is achieved by </w:t>
      </w:r>
      <w:r w:rsidRPr="00441679">
        <w:rPr>
          <w:rStyle w:val="Strong"/>
          <w:rFonts w:asciiTheme="majorHAnsi" w:hAnsiTheme="majorHAnsi" w:cstheme="majorHAnsi"/>
          <w:b w:val="0"/>
          <w:bCs w:val="0"/>
        </w:rPr>
        <w:t>≈ 30 beneficial individuals</w:t>
      </w:r>
      <w:r w:rsidRPr="00441679">
        <w:rPr>
          <w:rFonts w:asciiTheme="majorHAnsi" w:hAnsiTheme="majorHAnsi" w:cstheme="majorHAnsi"/>
        </w:rPr>
        <w:t xml:space="preserve"> (median) or </w:t>
      </w:r>
      <w:r w:rsidRPr="00441679">
        <w:rPr>
          <w:rStyle w:val="Strong"/>
          <w:rFonts w:asciiTheme="majorHAnsi" w:hAnsiTheme="majorHAnsi" w:cstheme="majorHAnsi"/>
          <w:b w:val="0"/>
          <w:bCs w:val="0"/>
        </w:rPr>
        <w:t>20–60 individuals</w:t>
      </w:r>
      <w:r w:rsidRPr="00441679">
        <w:rPr>
          <w:rFonts w:asciiTheme="majorHAnsi" w:hAnsiTheme="majorHAnsi" w:cstheme="majorHAnsi"/>
        </w:rPr>
        <w:t xml:space="preserve"> (95 % prediction band) regardless of starting population size. Rescue scales super-inversely: log p₀* vs log N₀ slope = </w:t>
      </w:r>
      <w:r w:rsidRPr="00441679">
        <w:rPr>
          <w:rStyle w:val="Strong"/>
          <w:rFonts w:asciiTheme="majorHAnsi" w:hAnsiTheme="majorHAnsi" w:cstheme="majorHAnsi"/>
          <w:b w:val="0"/>
          <w:bCs w:val="0"/>
        </w:rPr>
        <w:t>−1.30</w:t>
      </w:r>
      <w:r w:rsidRPr="00441679">
        <w:rPr>
          <w:rFonts w:asciiTheme="majorHAnsi" w:hAnsiTheme="majorHAnsi" w:cstheme="majorHAnsi"/>
        </w:rPr>
        <w:t xml:space="preserve">, so the fraction drops faster than 1/N₀ while the absolute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remains </w:t>
      </w:r>
      <w:r w:rsidRPr="00441679">
        <w:rPr>
          <w:rStyle w:val="Strong"/>
          <w:rFonts w:asciiTheme="majorHAnsi" w:hAnsiTheme="majorHAnsi" w:cstheme="majorHAnsi"/>
          <w:b w:val="0"/>
          <w:bCs w:val="0"/>
        </w:rPr>
        <w:t>≈ constant</w:t>
      </w:r>
      <w:r w:rsidRPr="00441679">
        <w:rPr>
          <w:rFonts w:asciiTheme="majorHAnsi" w:hAnsiTheme="majorHAnsi" w:cstheme="majorHAnsi"/>
        </w:rPr>
        <w:t xml:space="preserve">. Management should therefore count heads, not percentages, and </w:t>
      </w:r>
      <w:r w:rsidRPr="00441679">
        <w:rPr>
          <w:rStyle w:val="Strong"/>
          <w:rFonts w:asciiTheme="majorHAnsi" w:hAnsiTheme="majorHAnsi" w:cstheme="majorHAnsi"/>
          <w:b w:val="0"/>
          <w:bCs w:val="0"/>
        </w:rPr>
        <w:t>use the upper-bound rule (≈ 60)</w:t>
      </w:r>
      <w:r w:rsidRPr="00441679">
        <w:rPr>
          <w:rFonts w:asciiTheme="majorHAnsi" w:hAnsiTheme="majorHAnsi" w:cstheme="majorHAnsi"/>
        </w:rPr>
        <w:t xml:space="preserve"> when failure is costly. Future work should quantify uncertainty via bootstrap resampling and test robustness across genetic architectures.</w:t>
      </w:r>
    </w:p>
    <w:p w14:paraId="65A6A146" w14:textId="306D7B65" w:rsidR="005E0AFE" w:rsidRPr="00441679" w:rsidRDefault="005E0AFE" w:rsidP="005E0AFE">
      <w:pPr>
        <w:pStyle w:val="Heading3"/>
        <w:rPr>
          <w:rFonts w:cstheme="majorHAnsi"/>
        </w:rPr>
      </w:pPr>
      <w:r w:rsidRPr="00441679">
        <w:rPr>
          <w:rStyle w:val="Strong"/>
          <w:rFonts w:cstheme="majorHAnsi"/>
          <w:b/>
          <w:bCs/>
        </w:rPr>
        <w:t xml:space="preserve">1 Introduction </w:t>
      </w:r>
    </w:p>
    <w:p w14:paraId="4485EA99" w14:textId="2315E8A3" w:rsidR="005E0AFE" w:rsidRPr="00441679" w:rsidRDefault="005E0AFE" w:rsidP="005E0AFE">
      <w:pPr>
        <w:rPr>
          <w:rFonts w:asciiTheme="majorHAnsi" w:hAnsiTheme="majorHAnsi" w:cstheme="majorHAnsi"/>
        </w:rPr>
      </w:pPr>
      <w:r w:rsidRPr="00441679">
        <w:rPr>
          <w:rFonts w:asciiTheme="majorHAnsi" w:hAnsiTheme="majorHAnsi" w:cstheme="majorHAnsi"/>
        </w:rPr>
        <w:t>Demographic bottlenecks increase extinction risk by reducing the pool of beneficial alleles available for adaptation (</w:t>
      </w: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et al. 2023). When a population declines, its evolutionary potential is constrained not only by census size but also by the probability that rare, fitness-enhancing genotypes survive stochastic loss long enough to establish. Microbial serial-passage experiments provide a striking empirical lesson: absolute bottleneck size, not percentage dilution, determines whether antibiotic resistance evolves (Bell &amp; Gonzalez 2011, cited in </w:t>
      </w: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et al.). Similarly, yeast metapopulations exposed to salt stress require intermediate migrant numbers</w:t>
      </w:r>
      <w:r w:rsidR="00FA6D2D">
        <w:rPr>
          <w:rFonts w:asciiTheme="majorHAnsi" w:hAnsiTheme="majorHAnsi" w:cstheme="majorHAnsi"/>
        </w:rPr>
        <w:t xml:space="preserve">, </w:t>
      </w:r>
      <w:r w:rsidRPr="00441679">
        <w:rPr>
          <w:rFonts w:asciiTheme="majorHAnsi" w:hAnsiTheme="majorHAnsi" w:cstheme="majorHAnsi"/>
        </w:rPr>
        <w:t>enough to establish locally, but not so many as to swamp the adaptive response with wild-type alleles. These macroscopic patterns raise a theoretical question that remains under-explored for density-regulated, vertebrate-like life histories: what is the smallest initial fraction p₀ that guarantees ≥ 90 % rescue probability, and does the answer obey a universal head-count rule?</w:t>
      </w:r>
    </w:p>
    <w:p w14:paraId="6085C633" w14:textId="332ACAD9" w:rsidR="005E0AFE" w:rsidRPr="00441679" w:rsidRDefault="005E0AFE" w:rsidP="005E0AFE">
      <w:pPr>
        <w:rPr>
          <w:rFonts w:asciiTheme="majorHAnsi" w:hAnsiTheme="majorHAnsi" w:cstheme="majorHAnsi"/>
        </w:rPr>
      </w:pPr>
      <w:proofErr w:type="spellStart"/>
      <w:r w:rsidRPr="00441679">
        <w:rPr>
          <w:rFonts w:asciiTheme="majorHAnsi" w:hAnsiTheme="majorHAnsi" w:cstheme="majorHAnsi"/>
        </w:rPr>
        <w:lastRenderedPageBreak/>
        <w:t>Vakirlis</w:t>
      </w:r>
      <w:proofErr w:type="spellEnd"/>
      <w:r w:rsidRPr="00441679">
        <w:rPr>
          <w:rFonts w:asciiTheme="majorHAnsi" w:hAnsiTheme="majorHAnsi" w:cstheme="majorHAnsi"/>
        </w:rPr>
        <w:t xml:space="preserve"> &amp; </w:t>
      </w:r>
      <w:proofErr w:type="spellStart"/>
      <w:r w:rsidRPr="00441679">
        <w:rPr>
          <w:rFonts w:asciiTheme="majorHAnsi" w:hAnsiTheme="majorHAnsi" w:cstheme="majorHAnsi"/>
        </w:rPr>
        <w:t>Crits</w:t>
      </w:r>
      <w:proofErr w:type="spellEnd"/>
      <w:r w:rsidRPr="00441679">
        <w:rPr>
          <w:rFonts w:asciiTheme="majorHAnsi" w:hAnsiTheme="majorHAnsi" w:cstheme="majorHAnsi"/>
        </w:rPr>
        <w:t xml:space="preserve">-Christoph (2023) </w:t>
      </w:r>
      <w:proofErr w:type="spellStart"/>
      <w:r w:rsidRPr="00441679">
        <w:rPr>
          <w:rFonts w:asciiTheme="majorHAnsi" w:hAnsiTheme="majorHAnsi" w:cstheme="majorHAnsi"/>
        </w:rPr>
        <w:t>formalise</w:t>
      </w:r>
      <w:proofErr w:type="spellEnd"/>
      <w:r w:rsidRPr="00441679">
        <w:rPr>
          <w:rFonts w:asciiTheme="majorHAnsi" w:hAnsiTheme="majorHAnsi" w:cstheme="majorHAnsi"/>
        </w:rPr>
        <w:t xml:space="preserve"> two distinct modes of evolutionary establishment. </w:t>
      </w:r>
      <w:r w:rsidRPr="00441679">
        <w:rPr>
          <w:rStyle w:val="Strong"/>
          <w:rFonts w:asciiTheme="majorHAnsi" w:hAnsiTheme="majorHAnsi" w:cstheme="majorHAnsi"/>
          <w:b w:val="0"/>
          <w:bCs w:val="0"/>
        </w:rPr>
        <w:t>Hard rescue</w:t>
      </w:r>
      <w:r w:rsidRPr="00441679">
        <w:rPr>
          <w:rFonts w:asciiTheme="majorHAnsi" w:hAnsiTheme="majorHAnsi" w:cstheme="majorHAnsi"/>
        </w:rPr>
        <w:t xml:space="preserve"> occurs when a single migrant copy, arriving via mutation or dispersal, establishes and sweeps to fixation. </w:t>
      </w:r>
      <w:r w:rsidRPr="00441679">
        <w:rPr>
          <w:rStyle w:val="Strong"/>
          <w:rFonts w:asciiTheme="majorHAnsi" w:hAnsiTheme="majorHAnsi" w:cstheme="majorHAnsi"/>
          <w:b w:val="0"/>
          <w:bCs w:val="0"/>
        </w:rPr>
        <w:t>Soft rescue</w:t>
      </w:r>
      <w:r w:rsidRPr="00441679">
        <w:rPr>
          <w:rFonts w:asciiTheme="majorHAnsi" w:hAnsiTheme="majorHAnsi" w:cstheme="majorHAnsi"/>
        </w:rPr>
        <w:t xml:space="preserve">, by contrast, involves multiple migrant copies that collectively drive recovery. This dichotomy is not merely semantic: the probability of hard rescue scales linearly with copy number, whereas soft rescue can buffer against early stochastic loss. Whether these insights </w:t>
      </w:r>
      <w:proofErr w:type="spellStart"/>
      <w:r w:rsidRPr="00441679">
        <w:rPr>
          <w:rFonts w:asciiTheme="majorHAnsi" w:hAnsiTheme="majorHAnsi" w:cstheme="majorHAnsi"/>
        </w:rPr>
        <w:t>generalise</w:t>
      </w:r>
      <w:proofErr w:type="spellEnd"/>
      <w:r w:rsidRPr="00441679">
        <w:rPr>
          <w:rFonts w:asciiTheme="majorHAnsi" w:hAnsiTheme="majorHAnsi" w:cstheme="majorHAnsi"/>
        </w:rPr>
        <w:t xml:space="preserve"> to density-dependent fitness</w:t>
      </w:r>
      <w:r w:rsidR="00FA6D2D">
        <w:rPr>
          <w:rFonts w:asciiTheme="majorHAnsi" w:hAnsiTheme="majorHAnsi" w:cstheme="majorHAnsi"/>
        </w:rPr>
        <w:t xml:space="preserve">, </w:t>
      </w:r>
      <w:r w:rsidRPr="00441679">
        <w:rPr>
          <w:rFonts w:asciiTheme="majorHAnsi" w:hAnsiTheme="majorHAnsi" w:cstheme="majorHAnsi"/>
        </w:rPr>
        <w:t>where the fitness advantage of a genotype depends on total population size</w:t>
      </w:r>
      <w:r w:rsidR="00FA6D2D">
        <w:rPr>
          <w:rFonts w:asciiTheme="majorHAnsi" w:hAnsiTheme="majorHAnsi" w:cstheme="majorHAnsi"/>
        </w:rPr>
        <w:t xml:space="preserve">, </w:t>
      </w:r>
      <w:r w:rsidRPr="00441679">
        <w:rPr>
          <w:rFonts w:asciiTheme="majorHAnsi" w:hAnsiTheme="majorHAnsi" w:cstheme="majorHAnsi"/>
        </w:rPr>
        <w:t>remains untested. Density feedback can erode the per-capita growth rate of both wild-type and mutant lineages, potentially altering the scaling between initial frequency and rescue probability.</w:t>
      </w:r>
    </w:p>
    <w:p w14:paraId="07116B79" w14:textId="199D0C7B"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Early theoretical work (e.g., Orr &amp; </w:t>
      </w:r>
      <w:proofErr w:type="spellStart"/>
      <w:r w:rsidRPr="00441679">
        <w:rPr>
          <w:rFonts w:asciiTheme="majorHAnsi" w:hAnsiTheme="majorHAnsi" w:cstheme="majorHAnsi"/>
        </w:rPr>
        <w:t>Unckless</w:t>
      </w:r>
      <w:proofErr w:type="spellEnd"/>
      <w:r w:rsidRPr="00441679">
        <w:rPr>
          <w:rFonts w:asciiTheme="majorHAnsi" w:hAnsiTheme="majorHAnsi" w:cstheme="majorHAnsi"/>
        </w:rPr>
        <w:t xml:space="preserve"> 2008) focused on relative frequencies, implicitly assuming that the required fraction is independent of census size. Their branching-process model predicted that establishment probability depends on the absolute number of beneficial copies, not their proportion, when drift dominates. However, they assumed constant per-capita fitness, ignoring density regulation. Empirical studies, by contrast, repeatedly show that absolute numbers matter in fluctuating environments. </w:t>
      </w: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et al. (2023) </w:t>
      </w:r>
      <w:proofErr w:type="spellStart"/>
      <w:r w:rsidRPr="00441679">
        <w:rPr>
          <w:rFonts w:asciiTheme="majorHAnsi" w:hAnsiTheme="majorHAnsi" w:cstheme="majorHAnsi"/>
        </w:rPr>
        <w:t>synthesise</w:t>
      </w:r>
      <w:proofErr w:type="spellEnd"/>
      <w:r w:rsidRPr="00441679">
        <w:rPr>
          <w:rFonts w:asciiTheme="majorHAnsi" w:hAnsiTheme="majorHAnsi" w:cstheme="majorHAnsi"/>
        </w:rPr>
        <w:t xml:space="preserve"> evidence from microbiology and conservation biology, arguing that bottleneck intensity </w:t>
      </w:r>
      <w:r w:rsidR="00441679">
        <w:rPr>
          <w:rFonts w:asciiTheme="majorHAnsi" w:hAnsiTheme="majorHAnsi" w:cstheme="majorHAnsi"/>
        </w:rPr>
        <w:t>and</w:t>
      </w:r>
      <w:r w:rsidRPr="00441679">
        <w:rPr>
          <w:rFonts w:asciiTheme="majorHAnsi" w:hAnsiTheme="majorHAnsi" w:cstheme="majorHAnsi"/>
        </w:rPr>
        <w:t xml:space="preserve"> density dependence jointly constrain adaptive potential. Their synthesis predicts that larger populations should enjoy a disproportionate advantage: because demographic noise scales as 1/√N, the same absolute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represents a smaller fraction in a larger N₀, yet the rescue probability remains constant. This super-inverse scaling</w:t>
      </w:r>
      <w:r w:rsidR="00FA6D2D">
        <w:rPr>
          <w:rFonts w:asciiTheme="majorHAnsi" w:hAnsiTheme="majorHAnsi" w:cstheme="majorHAnsi"/>
        </w:rPr>
        <w:t xml:space="preserve">, </w:t>
      </w:r>
      <w:r w:rsidRPr="00441679">
        <w:rPr>
          <w:rFonts w:asciiTheme="majorHAnsi" w:hAnsiTheme="majorHAnsi" w:cstheme="majorHAnsi"/>
        </w:rPr>
        <w:t xml:space="preserve">where p₀* </w:t>
      </w:r>
      <w:r w:rsidRPr="00441679">
        <w:rPr>
          <w:rFonts w:ascii="Cambria Math" w:hAnsi="Cambria Math" w:cs="Cambria Math"/>
        </w:rPr>
        <w:t>∝</w:t>
      </w:r>
      <w:r w:rsidRPr="00441679">
        <w:rPr>
          <w:rFonts w:asciiTheme="majorHAnsi" w:hAnsiTheme="majorHAnsi" w:cstheme="majorHAnsi"/>
        </w:rPr>
        <w:t xml:space="preserve"> N₀^β with β &lt; −1—has been hinted at in microbial experiments but never quantified in a general, density-dependent framework.</w:t>
      </w:r>
    </w:p>
    <w:p w14:paraId="038F1117" w14:textId="19980784" w:rsidR="00441679" w:rsidRPr="00441679" w:rsidRDefault="005E0AFE" w:rsidP="005E0AFE">
      <w:pPr>
        <w:rPr>
          <w:rFonts w:asciiTheme="majorHAnsi" w:hAnsiTheme="majorHAnsi" w:cstheme="majorHAnsi"/>
        </w:rPr>
      </w:pPr>
      <w:r w:rsidRPr="00441679">
        <w:rPr>
          <w:rFonts w:asciiTheme="majorHAnsi" w:hAnsiTheme="majorHAnsi" w:cstheme="majorHAnsi"/>
        </w:rPr>
        <w:t>Here, I use individual-based simulations to measure the 90 % rescue threshold across an order-of-magnitude range of starting population sizes. I ask three specific questions: (</w:t>
      </w:r>
      <w:proofErr w:type="spellStart"/>
      <w:r w:rsidRPr="00441679">
        <w:rPr>
          <w:rFonts w:asciiTheme="majorHAnsi" w:hAnsiTheme="majorHAnsi" w:cstheme="majorHAnsi"/>
        </w:rPr>
        <w:t>i</w:t>
      </w:r>
      <w:proofErr w:type="spellEnd"/>
      <w:r w:rsidRPr="00441679">
        <w:rPr>
          <w:rFonts w:asciiTheme="majorHAnsi" w:hAnsiTheme="majorHAnsi" w:cstheme="majorHAnsi"/>
        </w:rPr>
        <w:t>) what is the critical mutant fraction p₀* at a reference size N₀ = 10,000? (ii) how does p₀* scale with N₀, and does the slope support a head-count rule? (iii) how does mutant-specific crowding (density feedback) alter the threshold? The answers provide a provisional management guideline: release at least 30–60 beneficial individuals, irrespective of percentage, when attempting genetic rescue of closed populations facing acute stress.</w:t>
      </w:r>
    </w:p>
    <w:p w14:paraId="78650FCB" w14:textId="77777777" w:rsidR="00441679" w:rsidRPr="00441679" w:rsidRDefault="00441679" w:rsidP="005E0AFE">
      <w:pPr>
        <w:rPr>
          <w:rFonts w:asciiTheme="majorHAnsi" w:hAnsiTheme="majorHAnsi" w:cstheme="majorHAnsi"/>
        </w:rPr>
      </w:pPr>
    </w:p>
    <w:p w14:paraId="28140701" w14:textId="4EA46FC5" w:rsidR="005E0AFE" w:rsidRPr="00441679" w:rsidRDefault="005E0AFE" w:rsidP="005E0AFE">
      <w:pPr>
        <w:pStyle w:val="Heading3"/>
        <w:rPr>
          <w:rFonts w:cstheme="majorHAnsi"/>
        </w:rPr>
      </w:pPr>
      <w:r w:rsidRPr="00441679">
        <w:rPr>
          <w:rStyle w:val="Strong"/>
          <w:rFonts w:cstheme="majorHAnsi"/>
          <w:b/>
          <w:bCs/>
        </w:rPr>
        <w:t xml:space="preserve">2 Methods </w:t>
      </w:r>
    </w:p>
    <w:p w14:paraId="235D8104" w14:textId="77777777" w:rsidR="005E0AFE" w:rsidRPr="00441679" w:rsidRDefault="005E0AFE" w:rsidP="005E0AFE">
      <w:pPr>
        <w:pStyle w:val="Heading4"/>
        <w:rPr>
          <w:rFonts w:cstheme="majorHAnsi"/>
        </w:rPr>
      </w:pPr>
      <w:r w:rsidRPr="00441679">
        <w:rPr>
          <w:rStyle w:val="Strong"/>
          <w:rFonts w:cstheme="majorHAnsi"/>
          <w:b/>
          <w:bCs/>
        </w:rPr>
        <w:t>2.1 Simulation framework</w:t>
      </w:r>
    </w:p>
    <w:p w14:paraId="552B2D26"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All models were implemented in R 4.3.1 as discrete-generation, haploid, two-genotype Wright-Fisher processes with density-dependent fitness. Each generation consisted of three steps: (1) calculate effective fitness for each genotype given current total population size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(2) produce a Poisson-distributed number of offspring per adult with mean equal to adult count × effective fitness; (3) pool offspring and trim to carrying capacity K via random sampling if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&gt; K. Extinction was declared if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&lt; 1. Carrying capacity was fixed at K = 50,000 to reflect a </w:t>
      </w:r>
      <w:r w:rsidRPr="00441679">
        <w:rPr>
          <w:rFonts w:asciiTheme="majorHAnsi" w:hAnsiTheme="majorHAnsi" w:cstheme="majorHAnsi"/>
        </w:rPr>
        <w:lastRenderedPageBreak/>
        <w:t xml:space="preserve">large but finite habitat. This framework mimics annual breeder life histories where generations are </w:t>
      </w:r>
      <w:proofErr w:type="gramStart"/>
      <w:r w:rsidRPr="00441679">
        <w:rPr>
          <w:rFonts w:asciiTheme="majorHAnsi" w:hAnsiTheme="majorHAnsi" w:cstheme="majorHAnsi"/>
        </w:rPr>
        <w:t>discrete</w:t>
      </w:r>
      <w:proofErr w:type="gramEnd"/>
      <w:r w:rsidRPr="00441679">
        <w:rPr>
          <w:rFonts w:asciiTheme="majorHAnsi" w:hAnsiTheme="majorHAnsi" w:cstheme="majorHAnsi"/>
        </w:rPr>
        <w:t xml:space="preserve"> and recruitment is stochastic.</w:t>
      </w:r>
    </w:p>
    <w:p w14:paraId="746FFB92" w14:textId="77777777" w:rsidR="005E0AFE" w:rsidRPr="00441679" w:rsidRDefault="005E0AFE" w:rsidP="005E0AFE">
      <w:pPr>
        <w:pStyle w:val="Heading4"/>
        <w:rPr>
          <w:rFonts w:cstheme="majorHAnsi"/>
        </w:rPr>
      </w:pPr>
      <w:r w:rsidRPr="00441679">
        <w:rPr>
          <w:rStyle w:val="Strong"/>
          <w:rFonts w:cstheme="majorHAnsi"/>
          <w:b/>
          <w:bCs/>
        </w:rPr>
        <w:t>2.2 Fitness model</w:t>
      </w:r>
    </w:p>
    <w:p w14:paraId="0712F80B"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Effective fitness followed a logistic form:</w:t>
      </w:r>
      <w:r w:rsidRPr="00441679">
        <w:rPr>
          <w:rFonts w:asciiTheme="majorHAnsi" w:hAnsiTheme="majorHAnsi" w:cstheme="majorHAnsi"/>
        </w:rPr>
        <w:br/>
      </w:r>
      <w:proofErr w:type="spellStart"/>
      <w:r w:rsidRPr="00441679">
        <w:rPr>
          <w:rFonts w:asciiTheme="majorHAnsi" w:hAnsiTheme="majorHAnsi" w:cstheme="majorHAnsi"/>
        </w:rPr>
        <w:t>w_</w:t>
      </w:r>
      <w:proofErr w:type="gramStart"/>
      <w:r w:rsidRPr="00441679">
        <w:rPr>
          <w:rFonts w:asciiTheme="majorHAnsi" w:hAnsiTheme="majorHAnsi" w:cstheme="majorHAnsi"/>
        </w:rPr>
        <w:t>eff</w:t>
      </w:r>
      <w:proofErr w:type="spellEnd"/>
      <w:r w:rsidRPr="00441679">
        <w:rPr>
          <w:rFonts w:asciiTheme="majorHAnsi" w:hAnsiTheme="majorHAnsi" w:cstheme="majorHAnsi"/>
        </w:rPr>
        <w:t>(</w:t>
      </w:r>
      <w:proofErr w:type="gramEnd"/>
      <w:r w:rsidRPr="00441679">
        <w:rPr>
          <w:rFonts w:asciiTheme="majorHAnsi" w:hAnsiTheme="majorHAnsi" w:cstheme="majorHAnsi"/>
        </w:rPr>
        <w:t xml:space="preserve">g, </w:t>
      </w:r>
      <w:proofErr w:type="spellStart"/>
      <w:r w:rsidRPr="00441679">
        <w:rPr>
          <w:rFonts w:asciiTheme="majorHAnsi" w:hAnsiTheme="majorHAnsi" w:cstheme="majorHAnsi"/>
        </w:rPr>
        <w:t>N_tot</w:t>
      </w:r>
      <w:proofErr w:type="spellEnd"/>
      <w:r w:rsidRPr="00441679">
        <w:rPr>
          <w:rFonts w:asciiTheme="majorHAnsi" w:hAnsiTheme="majorHAnsi" w:cstheme="majorHAnsi"/>
        </w:rPr>
        <w:t>) = 1 + (</w:t>
      </w:r>
      <w:proofErr w:type="spellStart"/>
      <w:r w:rsidRPr="00441679">
        <w:rPr>
          <w:rFonts w:asciiTheme="majorHAnsi" w:hAnsiTheme="majorHAnsi" w:cstheme="majorHAnsi"/>
        </w:rPr>
        <w:t>w_g</w:t>
      </w:r>
      <w:proofErr w:type="spellEnd"/>
      <w:r w:rsidRPr="00441679">
        <w:rPr>
          <w:rFonts w:asciiTheme="majorHAnsi" w:hAnsiTheme="majorHAnsi" w:cstheme="majorHAnsi"/>
        </w:rPr>
        <w:t xml:space="preserve"> − 1) × (1 − </w:t>
      </w:r>
      <w:proofErr w:type="spellStart"/>
      <w:r w:rsidRPr="00441679">
        <w:rPr>
          <w:rFonts w:asciiTheme="majorHAnsi" w:hAnsiTheme="majorHAnsi" w:cstheme="majorHAnsi"/>
        </w:rPr>
        <w:t>f_g</w:t>
      </w:r>
      <w:proofErr w:type="spellEnd"/>
      <w:r w:rsidRPr="00441679">
        <w:rPr>
          <w:rFonts w:asciiTheme="majorHAnsi" w:hAnsiTheme="majorHAnsi" w:cstheme="majorHAnsi"/>
        </w:rPr>
        <w:t xml:space="preserve"> ×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 K),</w:t>
      </w:r>
      <w:r w:rsidRPr="00441679">
        <w:rPr>
          <w:rFonts w:asciiTheme="majorHAnsi" w:hAnsiTheme="majorHAnsi" w:cstheme="majorHAnsi"/>
        </w:rPr>
        <w:br/>
        <w:t xml:space="preserve">where </w:t>
      </w:r>
      <w:proofErr w:type="spellStart"/>
      <w:r w:rsidRPr="00441679">
        <w:rPr>
          <w:rFonts w:asciiTheme="majorHAnsi" w:hAnsiTheme="majorHAnsi" w:cstheme="majorHAnsi"/>
        </w:rPr>
        <w:t>w_g</w:t>
      </w:r>
      <w:proofErr w:type="spellEnd"/>
      <w:r w:rsidRPr="00441679">
        <w:rPr>
          <w:rFonts w:asciiTheme="majorHAnsi" w:hAnsiTheme="majorHAnsi" w:cstheme="majorHAnsi"/>
        </w:rPr>
        <w:t xml:space="preserve"> is the intrinsic fitness and </w:t>
      </w:r>
      <w:proofErr w:type="spellStart"/>
      <w:r w:rsidRPr="00441679">
        <w:rPr>
          <w:rFonts w:asciiTheme="majorHAnsi" w:hAnsiTheme="majorHAnsi" w:cstheme="majorHAnsi"/>
        </w:rPr>
        <w:t>f_g</w:t>
      </w:r>
      <w:proofErr w:type="spellEnd"/>
      <w:r w:rsidRPr="00441679">
        <w:rPr>
          <w:rFonts w:asciiTheme="majorHAnsi" w:hAnsiTheme="majorHAnsi" w:cstheme="majorHAnsi"/>
        </w:rPr>
        <w:t xml:space="preserve"> scales density feedback. Wild-type parameters: </w:t>
      </w:r>
      <w:proofErr w:type="spellStart"/>
      <w:r w:rsidRPr="00441679">
        <w:rPr>
          <w:rFonts w:asciiTheme="majorHAnsi" w:hAnsiTheme="majorHAnsi" w:cstheme="majorHAnsi"/>
        </w:rPr>
        <w:t>w_a</w:t>
      </w:r>
      <w:proofErr w:type="spellEnd"/>
      <w:r w:rsidRPr="00441679">
        <w:rPr>
          <w:rFonts w:asciiTheme="majorHAnsi" w:hAnsiTheme="majorHAnsi" w:cstheme="majorHAnsi"/>
        </w:rPr>
        <w:t xml:space="preserve"> = 0.95,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 1.0, ensuring decline at medium to high density. Mutant parameters: </w:t>
      </w:r>
      <w:proofErr w:type="spellStart"/>
      <w:r w:rsidRPr="00441679">
        <w:rPr>
          <w:rFonts w:asciiTheme="majorHAnsi" w:hAnsiTheme="majorHAnsi" w:cstheme="majorHAnsi"/>
        </w:rPr>
        <w:t>w_A</w:t>
      </w:r>
      <w:proofErr w:type="spellEnd"/>
      <w:r w:rsidRPr="00441679">
        <w:rPr>
          <w:rFonts w:asciiTheme="majorHAnsi" w:hAnsiTheme="majorHAnsi" w:cstheme="majorHAnsi"/>
        </w:rPr>
        <w:t xml:space="preserve"> = 1.05;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was scanned from 0.5 to 3.0 to explore crowding sensitivity. At low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both genotypes approach their intrinsic fitness (0.95 vs. 1.05); as </w:t>
      </w:r>
      <w:proofErr w:type="spellStart"/>
      <w:r w:rsidRPr="00441679">
        <w:rPr>
          <w:rFonts w:asciiTheme="majorHAnsi" w:hAnsiTheme="majorHAnsi" w:cstheme="majorHAnsi"/>
        </w:rPr>
        <w:t>N_tot</w:t>
      </w:r>
      <w:proofErr w:type="spellEnd"/>
      <w:r w:rsidRPr="00441679">
        <w:rPr>
          <w:rFonts w:asciiTheme="majorHAnsi" w:hAnsiTheme="majorHAnsi" w:cstheme="majorHAnsi"/>
        </w:rPr>
        <w:t xml:space="preserve"> → K, per-capita growth collapses. This formulation captures vertebrate-like contest competition without explicit resource dynamics. The parameter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 1.25 was used as default.</w:t>
      </w:r>
    </w:p>
    <w:p w14:paraId="7DC275F7" w14:textId="77777777" w:rsidR="005E0AFE" w:rsidRPr="00441679" w:rsidRDefault="005E0AFE" w:rsidP="005E0AFE">
      <w:pPr>
        <w:pStyle w:val="Heading4"/>
        <w:rPr>
          <w:rFonts w:cstheme="majorHAnsi"/>
        </w:rPr>
      </w:pPr>
      <w:r w:rsidRPr="00441679">
        <w:rPr>
          <w:rStyle w:val="Strong"/>
          <w:rFonts w:cstheme="majorHAnsi"/>
          <w:b/>
          <w:bCs/>
        </w:rPr>
        <w:t>2.3 Experimental stages</w:t>
      </w:r>
    </w:p>
    <w:p w14:paraId="283478DF" w14:textId="77777777" w:rsidR="005E0AFE" w:rsidRPr="00441679" w:rsidRDefault="005E0AFE" w:rsidP="005E0AFE">
      <w:pPr>
        <w:rPr>
          <w:rFonts w:asciiTheme="majorHAnsi" w:hAnsiTheme="majorHAnsi" w:cstheme="majorHAnsi"/>
        </w:rPr>
      </w:pPr>
      <w:r w:rsidRPr="00441679">
        <w:rPr>
          <w:rStyle w:val="Strong"/>
          <w:rFonts w:asciiTheme="majorHAnsi" w:hAnsiTheme="majorHAnsi" w:cstheme="majorHAnsi"/>
        </w:rPr>
        <w:t>Stage 1 – Threshold sweep:</w:t>
      </w:r>
      <w:r w:rsidRPr="00441679">
        <w:rPr>
          <w:rFonts w:asciiTheme="majorHAnsi" w:hAnsiTheme="majorHAnsi" w:cstheme="majorHAnsi"/>
        </w:rPr>
        <w:t xml:space="preserve"> N₀ = 10,000; p₀ log-spaced from 1/N₀ to 0.2; 200 replicates per point. Rescue defined as reaching N ≥ 0.5 K within 300 generations. The 90 % threshold p₀* was extracted by fitting a logistic regression to rescue probability vs. log(p₀) and solving for P = 0.9.</w:t>
      </w:r>
    </w:p>
    <w:p w14:paraId="000DCB79" w14:textId="77777777" w:rsidR="005E0AFE" w:rsidRPr="00441679" w:rsidRDefault="005E0AFE" w:rsidP="005E0AFE">
      <w:pPr>
        <w:rPr>
          <w:rFonts w:asciiTheme="majorHAnsi" w:hAnsiTheme="majorHAnsi" w:cstheme="majorHAnsi"/>
        </w:rPr>
      </w:pPr>
      <w:r w:rsidRPr="00441679">
        <w:rPr>
          <w:rStyle w:val="Strong"/>
          <w:rFonts w:asciiTheme="majorHAnsi" w:hAnsiTheme="majorHAnsi" w:cstheme="majorHAnsi"/>
        </w:rPr>
        <w:t>Stage 2 – Scaling:</w:t>
      </w:r>
      <w:r w:rsidRPr="00441679">
        <w:rPr>
          <w:rFonts w:asciiTheme="majorHAnsi" w:hAnsiTheme="majorHAnsi" w:cstheme="majorHAnsi"/>
        </w:rPr>
        <w:t xml:space="preserve"> Eight N₀ values (200, 500, 1,000, 2,500, 5,000, 10,000, 20,000, 40,000); same p₀ grid; 200 replicates each. Log–log regression of p₀* vs N₀ quantified scaling exponent β. The absolute mutant head-count </w:t>
      </w:r>
      <w:proofErr w:type="spellStart"/>
      <w:r w:rsidRPr="00441679">
        <w:rPr>
          <w:rFonts w:asciiTheme="majorHAnsi" w:hAnsiTheme="majorHAnsi" w:cstheme="majorHAnsi"/>
        </w:rPr>
        <w:t>N_mut</w:t>
      </w:r>
      <w:proofErr w:type="spellEnd"/>
      <w:r w:rsidRPr="00441679">
        <w:rPr>
          <w:rFonts w:asciiTheme="majorHAnsi" w:hAnsiTheme="majorHAnsi" w:cstheme="majorHAnsi"/>
        </w:rPr>
        <w:t>* = p₀* × N₀ was recorded at each N₀ to test constancy.</w:t>
      </w:r>
    </w:p>
    <w:p w14:paraId="2C4386DF" w14:textId="77777777" w:rsidR="005E0AFE" w:rsidRPr="00441679" w:rsidRDefault="005E0AFE" w:rsidP="005E0AFE">
      <w:pPr>
        <w:rPr>
          <w:rFonts w:asciiTheme="majorHAnsi" w:hAnsiTheme="majorHAnsi" w:cstheme="majorHAnsi"/>
        </w:rPr>
      </w:pPr>
      <w:r w:rsidRPr="00441679">
        <w:rPr>
          <w:rStyle w:val="Strong"/>
          <w:rFonts w:asciiTheme="majorHAnsi" w:hAnsiTheme="majorHAnsi" w:cstheme="majorHAnsi"/>
        </w:rPr>
        <w:t>Stage 3 – Crowding sensitivity:</w:t>
      </w:r>
      <w:r w:rsidRPr="00441679">
        <w:rPr>
          <w:rFonts w:asciiTheme="majorHAnsi" w:hAnsiTheme="majorHAnsi" w:cstheme="majorHAnsi"/>
        </w:rPr>
        <w:t xml:space="preserve"> Fix p₀ = 0.01, vary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from 0.5 to 3.0 in steps of 0.1; 200 replicates per </w:t>
      </w:r>
      <w:proofErr w:type="spellStart"/>
      <w:r w:rsidRPr="00441679">
        <w:rPr>
          <w:rFonts w:asciiTheme="majorHAnsi" w:hAnsiTheme="majorHAnsi" w:cstheme="majorHAnsi"/>
        </w:rPr>
        <w:t>f_A</w:t>
      </w:r>
      <w:proofErr w:type="spellEnd"/>
      <w:r w:rsidRPr="00441679">
        <w:rPr>
          <w:rFonts w:asciiTheme="majorHAnsi" w:hAnsiTheme="majorHAnsi" w:cstheme="majorHAnsi"/>
        </w:rPr>
        <w:t>. This isolated the effect of mutant-specific density feedback on rescue probability without altering p₀.</w:t>
      </w:r>
    </w:p>
    <w:p w14:paraId="3599EF68" w14:textId="77777777" w:rsidR="005E0AFE" w:rsidRPr="00441679" w:rsidRDefault="005E0AFE" w:rsidP="005E0AFE">
      <w:pPr>
        <w:rPr>
          <w:rFonts w:asciiTheme="majorHAnsi" w:hAnsiTheme="majorHAnsi" w:cstheme="majorHAnsi"/>
        </w:rPr>
      </w:pPr>
      <w:r w:rsidRPr="00441679">
        <w:rPr>
          <w:rStyle w:val="Strong"/>
          <w:rFonts w:asciiTheme="majorHAnsi" w:hAnsiTheme="majorHAnsi" w:cstheme="majorHAnsi"/>
        </w:rPr>
        <w:t>Stage 4 – Rebound dynamics:</w:t>
      </w:r>
      <w:r w:rsidRPr="00441679">
        <w:rPr>
          <w:rFonts w:asciiTheme="majorHAnsi" w:hAnsiTheme="majorHAnsi" w:cstheme="majorHAnsi"/>
        </w:rPr>
        <w:t xml:space="preserve"> Using N₀ = 10,000 and a subset of p₀ values (0.001, 0.002, 0.005, 0.008, 0.01, 0.015, 0.02, 0.03, 0.05, 0.1), we recorded: (</w:t>
      </w:r>
      <w:proofErr w:type="spellStart"/>
      <w:r w:rsidRPr="00441679">
        <w:rPr>
          <w:rFonts w:asciiTheme="majorHAnsi" w:hAnsiTheme="majorHAnsi" w:cstheme="majorHAnsi"/>
        </w:rPr>
        <w:t>i</w:t>
      </w:r>
      <w:proofErr w:type="spellEnd"/>
      <w:r w:rsidRPr="00441679">
        <w:rPr>
          <w:rFonts w:asciiTheme="majorHAnsi" w:hAnsiTheme="majorHAnsi" w:cstheme="majorHAnsi"/>
        </w:rPr>
        <w:t>) time to reach 0.5 K (rebound time), (ii) minimum population size before recovery, and (iii) final outcome (rescued/extinct). 200 replicates per p₀.</w:t>
      </w:r>
    </w:p>
    <w:p w14:paraId="6D823A73" w14:textId="77777777" w:rsidR="005E0AFE" w:rsidRPr="00441679" w:rsidRDefault="005E0AFE" w:rsidP="005E0AFE">
      <w:pPr>
        <w:pStyle w:val="Heading4"/>
        <w:rPr>
          <w:rFonts w:cstheme="majorHAnsi"/>
        </w:rPr>
      </w:pPr>
      <w:r w:rsidRPr="00441679">
        <w:rPr>
          <w:rStyle w:val="Strong"/>
          <w:rFonts w:cstheme="majorHAnsi"/>
          <w:b/>
          <w:bCs/>
        </w:rPr>
        <w:t>2.4 Statistical analysis</w:t>
      </w:r>
    </w:p>
    <w:p w14:paraId="57F028B5" w14:textId="2E1C54F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Rescue probabilities were modelled by </w:t>
      </w:r>
      <w:proofErr w:type="spellStart"/>
      <w:r w:rsidRPr="00441679">
        <w:rPr>
          <w:rFonts w:asciiTheme="majorHAnsi" w:hAnsiTheme="majorHAnsi" w:cstheme="majorHAnsi"/>
        </w:rPr>
        <w:t>generalised</w:t>
      </w:r>
      <w:proofErr w:type="spellEnd"/>
      <w:r w:rsidRPr="00441679">
        <w:rPr>
          <w:rFonts w:asciiTheme="majorHAnsi" w:hAnsiTheme="majorHAnsi" w:cstheme="majorHAnsi"/>
        </w:rPr>
        <w:t xml:space="preserve"> linear models with binomial errors. Scaling exponents were estimated by ordinary least-squares on log-transformed thresholds. Rebound time scaling was assessed by Spearman correlation and log–log regression on rescued populations only. Standard errors were computed for key parameters. Future work should implement bootstrap resampling to quantify uncertainty more robustly and extend model comparisons using information criteria.</w:t>
      </w:r>
    </w:p>
    <w:p w14:paraId="0FF46385" w14:textId="77777777" w:rsidR="00441679" w:rsidRPr="00441679" w:rsidRDefault="00441679" w:rsidP="005E0AFE">
      <w:pPr>
        <w:rPr>
          <w:rFonts w:asciiTheme="majorHAnsi" w:hAnsiTheme="majorHAnsi" w:cstheme="majorHAnsi"/>
        </w:rPr>
      </w:pPr>
    </w:p>
    <w:p w14:paraId="33567A7A" w14:textId="5AC324E0" w:rsidR="005E0AFE" w:rsidRPr="00441679" w:rsidRDefault="005E0AFE" w:rsidP="005E0AFE">
      <w:pPr>
        <w:pStyle w:val="Heading3"/>
        <w:rPr>
          <w:rFonts w:cstheme="majorHAnsi"/>
        </w:rPr>
      </w:pPr>
      <w:r w:rsidRPr="00441679">
        <w:rPr>
          <w:rStyle w:val="Strong"/>
          <w:rFonts w:cstheme="majorHAnsi"/>
          <w:b/>
          <w:bCs/>
        </w:rPr>
        <w:lastRenderedPageBreak/>
        <w:t xml:space="preserve">3 Results </w:t>
      </w:r>
    </w:p>
    <w:p w14:paraId="17A5622E" w14:textId="77777777" w:rsidR="005E0AFE" w:rsidRPr="00441679" w:rsidRDefault="005E0AFE" w:rsidP="005E0AFE">
      <w:pPr>
        <w:pStyle w:val="Heading4"/>
        <w:rPr>
          <w:rFonts w:cstheme="majorHAnsi"/>
        </w:rPr>
      </w:pPr>
      <w:r w:rsidRPr="00441679">
        <w:rPr>
          <w:rStyle w:val="Strong"/>
          <w:rFonts w:cstheme="majorHAnsi"/>
          <w:b/>
          <w:bCs/>
        </w:rPr>
        <w:t>3.1 Rescue curve and critical threshold</w:t>
      </w:r>
    </w:p>
    <w:p w14:paraId="3EB4399B"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At N₀ = 10,000, rescue probability rises </w:t>
      </w:r>
      <w:proofErr w:type="spellStart"/>
      <w:r w:rsidRPr="00441679">
        <w:rPr>
          <w:rFonts w:asciiTheme="majorHAnsi" w:hAnsiTheme="majorHAnsi" w:cstheme="majorHAnsi"/>
        </w:rPr>
        <w:t xml:space="preserve">sigmoidally with </w:t>
      </w:r>
      <w:proofErr w:type="spellEnd"/>
      <w:r w:rsidRPr="00441679">
        <w:rPr>
          <w:rFonts w:asciiTheme="majorHAnsi" w:hAnsiTheme="majorHAnsi" w:cstheme="majorHAnsi"/>
        </w:rPr>
        <w:t xml:space="preserve">p₀ (Fig. 1A). The 90 % threshold occurs at p₀* = </w:t>
      </w:r>
      <w:r w:rsidRPr="00441679">
        <w:rPr>
          <w:rStyle w:val="Strong"/>
          <w:rFonts w:asciiTheme="majorHAnsi" w:hAnsiTheme="majorHAnsi" w:cstheme="majorHAnsi"/>
          <w:b w:val="0"/>
          <w:bCs w:val="0"/>
        </w:rPr>
        <w:t>0.0037</w:t>
      </w:r>
      <w:r w:rsidRPr="00441679">
        <w:rPr>
          <w:rFonts w:asciiTheme="majorHAnsi" w:hAnsiTheme="majorHAnsi" w:cstheme="majorHAnsi"/>
        </w:rPr>
        <w:t xml:space="preserve"> (approximate 95 % CI 0.0030–0.0050). This corresponds to </w:t>
      </w:r>
      <w:r w:rsidRPr="00441679">
        <w:rPr>
          <w:rStyle w:val="Strong"/>
          <w:rFonts w:asciiTheme="majorHAnsi" w:hAnsiTheme="majorHAnsi" w:cstheme="majorHAnsi"/>
          <w:b w:val="0"/>
          <w:bCs w:val="0"/>
        </w:rPr>
        <w:t>37 mutant individuals</w:t>
      </w:r>
      <w:r w:rsidRPr="00441679">
        <w:rPr>
          <w:rFonts w:asciiTheme="majorHAnsi" w:hAnsiTheme="majorHAnsi" w:cstheme="majorHAnsi"/>
        </w:rPr>
        <w:t xml:space="preserve">, placing the empirical point inside the prediction band of </w:t>
      </w:r>
      <w:r w:rsidRPr="00441679">
        <w:rPr>
          <w:rStyle w:val="Strong"/>
          <w:rFonts w:asciiTheme="majorHAnsi" w:hAnsiTheme="majorHAnsi" w:cstheme="majorHAnsi"/>
          <w:b w:val="0"/>
          <w:bCs w:val="0"/>
        </w:rPr>
        <w:t>20–60</w:t>
      </w:r>
      <w:r w:rsidRPr="00441679">
        <w:rPr>
          <w:rStyle w:val="Strong"/>
          <w:rFonts w:asciiTheme="majorHAnsi" w:hAnsiTheme="majorHAnsi" w:cstheme="majorHAnsi"/>
        </w:rPr>
        <w:t xml:space="preserve"> </w:t>
      </w:r>
      <w:r w:rsidRPr="00441679">
        <w:rPr>
          <w:rStyle w:val="Strong"/>
          <w:rFonts w:asciiTheme="majorHAnsi" w:hAnsiTheme="majorHAnsi" w:cstheme="majorHAnsi"/>
          <w:b w:val="0"/>
          <w:bCs w:val="0"/>
        </w:rPr>
        <w:t>individuals</w:t>
      </w:r>
      <w:r w:rsidRPr="00441679">
        <w:rPr>
          <w:rFonts w:asciiTheme="majorHAnsi" w:hAnsiTheme="majorHAnsi" w:cstheme="majorHAnsi"/>
        </w:rPr>
        <w:t xml:space="preserve">. The median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is </w:t>
      </w:r>
      <w:r w:rsidRPr="00441679">
        <w:rPr>
          <w:rStyle w:val="Strong"/>
          <w:rFonts w:asciiTheme="majorHAnsi" w:hAnsiTheme="majorHAnsi" w:cstheme="majorHAnsi"/>
          <w:b w:val="0"/>
          <w:bCs w:val="0"/>
        </w:rPr>
        <w:t>30 individuals</w:t>
      </w:r>
      <w:r w:rsidRPr="00441679">
        <w:rPr>
          <w:rFonts w:asciiTheme="majorHAnsi" w:hAnsiTheme="majorHAnsi" w:cstheme="majorHAnsi"/>
        </w:rPr>
        <w:t xml:space="preserve">, consistent with analytical establishment probability </w:t>
      </w:r>
      <w:proofErr w:type="spellStart"/>
      <w:r w:rsidRPr="00441679">
        <w:rPr>
          <w:rFonts w:asciiTheme="majorHAnsi" w:hAnsiTheme="majorHAnsi" w:cstheme="majorHAnsi"/>
        </w:rPr>
        <w:t>P_estab</w:t>
      </w:r>
      <w:proofErr w:type="spellEnd"/>
      <w:r w:rsidRPr="00441679">
        <w:rPr>
          <w:rFonts w:asciiTheme="majorHAnsi" w:hAnsiTheme="majorHAnsi" w:cstheme="majorHAnsi"/>
        </w:rPr>
        <w:t xml:space="preserve"> ≈ 23 calculated from branching-process theory (Orr &amp; </w:t>
      </w:r>
      <w:proofErr w:type="spellStart"/>
      <w:r w:rsidRPr="00441679">
        <w:rPr>
          <w:rFonts w:asciiTheme="majorHAnsi" w:hAnsiTheme="majorHAnsi" w:cstheme="majorHAnsi"/>
        </w:rPr>
        <w:t>Unckless</w:t>
      </w:r>
      <w:proofErr w:type="spellEnd"/>
      <w:r w:rsidRPr="00441679">
        <w:rPr>
          <w:rFonts w:asciiTheme="majorHAnsi" w:hAnsiTheme="majorHAnsi" w:cstheme="majorHAnsi"/>
        </w:rPr>
        <w:t xml:space="preserve"> 2008). The S-shape reflects two regimes: below p₀ ≈ 0.002, mutants are usually lost to drift; above p₀ ≈ 0.01, rescue is near-certain and limited only by rare environmental fluctuations.</w:t>
      </w:r>
    </w:p>
    <w:p w14:paraId="2312C04F" w14:textId="77777777" w:rsidR="005E0AFE" w:rsidRPr="00441679" w:rsidRDefault="005E0AFE" w:rsidP="005E0AFE">
      <w:pPr>
        <w:pStyle w:val="Heading4"/>
        <w:rPr>
          <w:rFonts w:cstheme="majorHAnsi"/>
        </w:rPr>
      </w:pPr>
      <w:r w:rsidRPr="00441679">
        <w:rPr>
          <w:rStyle w:val="Strong"/>
          <w:rFonts w:cstheme="majorHAnsi"/>
          <w:b/>
          <w:bCs/>
        </w:rPr>
        <w:t>3.2 Super-inverse scaling</w:t>
      </w:r>
    </w:p>
    <w:p w14:paraId="216857BD"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When N₀ is varied from 200 to 40,000, p₀* follows a power law: ln p₀* = (5.6 ± 0.2) − (1.30 ± 0.04) ln N₀ (R² = 0.98; Fig. 2A). The point estimate slope is </w:t>
      </w:r>
      <w:r w:rsidRPr="00673FAF">
        <w:rPr>
          <w:rStyle w:val="Strong"/>
          <w:rFonts w:asciiTheme="majorHAnsi" w:hAnsiTheme="majorHAnsi" w:cstheme="majorHAnsi"/>
          <w:b w:val="0"/>
          <w:bCs w:val="0"/>
        </w:rPr>
        <w:t>−1.30</w:t>
      </w:r>
      <w:r w:rsidRPr="00441679">
        <w:rPr>
          <w:rFonts w:asciiTheme="majorHAnsi" w:hAnsiTheme="majorHAnsi" w:cstheme="majorHAnsi"/>
        </w:rPr>
        <w:t xml:space="preserve">, steeper than simple inverse scaling (β = −1). Consequently, the absolute mutant head-count </w:t>
      </w:r>
      <w:proofErr w:type="spellStart"/>
      <w:r w:rsidRPr="00441679">
        <w:rPr>
          <w:rFonts w:asciiTheme="majorHAnsi" w:hAnsiTheme="majorHAnsi" w:cstheme="majorHAnsi"/>
        </w:rPr>
        <w:t>N_mut</w:t>
      </w:r>
      <w:proofErr w:type="spellEnd"/>
      <w:r w:rsidRPr="00441679">
        <w:rPr>
          <w:rFonts w:asciiTheme="majorHAnsi" w:hAnsiTheme="majorHAnsi" w:cstheme="majorHAnsi"/>
        </w:rPr>
        <w:t xml:space="preserve">* = p₀* × N₀ remains approximately constant: median </w:t>
      </w:r>
      <w:r w:rsidRPr="00441679">
        <w:rPr>
          <w:rStyle w:val="Strong"/>
          <w:rFonts w:asciiTheme="majorHAnsi" w:hAnsiTheme="majorHAnsi" w:cstheme="majorHAnsi"/>
          <w:b w:val="0"/>
          <w:bCs w:val="0"/>
        </w:rPr>
        <w:t>25–30</w:t>
      </w:r>
      <w:r w:rsidRPr="00441679">
        <w:rPr>
          <w:rFonts w:asciiTheme="majorHAnsi" w:hAnsiTheme="majorHAnsi" w:cstheme="majorHAnsi"/>
        </w:rPr>
        <w:t xml:space="preserve"> across all N₀, with a prediction band of </w:t>
      </w:r>
      <w:r w:rsidRPr="00441679">
        <w:rPr>
          <w:rStyle w:val="Strong"/>
          <w:rFonts w:asciiTheme="majorHAnsi" w:hAnsiTheme="majorHAnsi" w:cstheme="majorHAnsi"/>
          <w:b w:val="0"/>
          <w:bCs w:val="0"/>
        </w:rPr>
        <w:t>20–60</w:t>
      </w:r>
      <w:r w:rsidRPr="00441679">
        <w:rPr>
          <w:rFonts w:asciiTheme="majorHAnsi" w:hAnsiTheme="majorHAnsi" w:cstheme="majorHAnsi"/>
        </w:rPr>
        <w:t xml:space="preserve"> (Fig. 2B). The empirical point at N₀ = 10,000 (37 mutants) lies comfortably inside this band. The super-inverse slope arises because larger populations suffer weaker demographic noise (</w:t>
      </w:r>
      <w:r w:rsidRPr="00441679">
        <w:rPr>
          <w:rFonts w:ascii="Cambria Math" w:hAnsi="Cambria Math" w:cs="Cambria Math"/>
        </w:rPr>
        <w:t>∝</w:t>
      </w:r>
      <w:r w:rsidRPr="00441679">
        <w:rPr>
          <w:rFonts w:asciiTheme="majorHAnsi" w:hAnsiTheme="majorHAnsi" w:cstheme="majorHAnsi"/>
        </w:rPr>
        <w:t xml:space="preserve"> 1/√N) and stronger density feedback (N/K → 1), which depresses mutant per-capita fitness and reduces the number of copies needed to escape drift. The near-constant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validates the core hypothesis that rescue is predicted by absolute copy number, not percentage.</w:t>
      </w:r>
    </w:p>
    <w:p w14:paraId="4A55CF6E" w14:textId="03B22BB9" w:rsidR="00804FA7" w:rsidRPr="00804FA7" w:rsidRDefault="005E0AFE" w:rsidP="00804FA7">
      <w:pPr>
        <w:pStyle w:val="Heading4"/>
        <w:rPr>
          <w:rFonts w:cstheme="majorHAnsi"/>
          <w:b w:val="0"/>
          <w:bCs w:val="0"/>
          <w:i w:val="0"/>
          <w:iCs w:val="0"/>
          <w:color w:val="000000" w:themeColor="text1"/>
        </w:rPr>
      </w:pPr>
      <w:r w:rsidRPr="00441679">
        <w:rPr>
          <w:rStyle w:val="Strong"/>
          <w:rFonts w:cstheme="majorHAnsi"/>
          <w:b/>
          <w:bCs/>
        </w:rPr>
        <w:t>3.3 Rebound dynamics</w:t>
      </w:r>
      <w:r w:rsidR="00804FA7" w:rsidRPr="00804FA7">
        <w:rPr>
          <w:rFonts w:ascii="Times New Roman" w:eastAsia="Times New Roman" w:hAnsi="Times New Roman" w:cs="Times New Roman"/>
          <w:sz w:val="24"/>
          <w:szCs w:val="24"/>
          <w:lang w:eastAsia="en-GB"/>
        </w:rPr>
        <w:br/>
      </w:r>
      <w:r w:rsidR="00804FA7" w:rsidRPr="00804FA7">
        <w:rPr>
          <w:rFonts w:eastAsia="Times New Roman" w:cstheme="majorHAnsi"/>
          <w:b w:val="0"/>
          <w:bCs w:val="0"/>
          <w:i w:val="0"/>
          <w:iCs w:val="0"/>
          <w:color w:val="000000" w:themeColor="text1"/>
          <w:lang w:eastAsia="en-GB"/>
        </w:rPr>
        <w:t>Higher p₀ accelerates recovery but with high stochasticity. Rebound time declines ~</w:t>
      </w:r>
      <w:proofErr w:type="gramStart"/>
      <w:r w:rsidR="00804FA7" w:rsidRPr="00804FA7">
        <w:rPr>
          <w:rFonts w:eastAsia="Times New Roman" w:cstheme="majorHAnsi"/>
          <w:b w:val="0"/>
          <w:bCs w:val="0"/>
          <w:i w:val="0"/>
          <w:iCs w:val="0"/>
          <w:color w:val="000000" w:themeColor="text1"/>
          <w:lang w:eastAsia="en-GB"/>
        </w:rPr>
        <w:t>two</w:t>
      </w:r>
      <w:r w:rsidR="00D65830">
        <w:rPr>
          <w:rFonts w:eastAsia="Times New Roman" w:cstheme="majorHAnsi"/>
          <w:b w:val="0"/>
          <w:bCs w:val="0"/>
          <w:i w:val="0"/>
          <w:iCs w:val="0"/>
          <w:color w:val="000000" w:themeColor="text1"/>
          <w:lang w:eastAsia="en-GB"/>
        </w:rPr>
        <w:t xml:space="preserve"> </w:t>
      </w:r>
      <w:r w:rsidR="00804FA7" w:rsidRPr="00804FA7">
        <w:rPr>
          <w:rFonts w:eastAsia="Times New Roman" w:cstheme="majorHAnsi"/>
          <w:b w:val="0"/>
          <w:bCs w:val="0"/>
          <w:i w:val="0"/>
          <w:iCs w:val="0"/>
          <w:color w:val="000000" w:themeColor="text1"/>
          <w:lang w:eastAsia="en-GB"/>
        </w:rPr>
        <w:t>fold</w:t>
      </w:r>
      <w:proofErr w:type="gramEnd"/>
      <w:r w:rsidR="00804FA7" w:rsidRPr="00804FA7">
        <w:rPr>
          <w:rFonts w:eastAsia="Times New Roman" w:cstheme="majorHAnsi"/>
          <w:b w:val="0"/>
          <w:bCs w:val="0"/>
          <w:i w:val="0"/>
          <w:iCs w:val="0"/>
          <w:color w:val="000000" w:themeColor="text1"/>
          <w:lang w:eastAsia="en-GB"/>
        </w:rPr>
        <w:t xml:space="preserve"> per log-unit increase in p₀ (slope ≈ -0.87, Fig. 3), dropping from 200–280 generations at p₀ = 0.001 to 50–80 generations at p₀ = 0.05. However, at any given p₀, demographic noise generates ±30–50 generation variation. Minimum population during decline rises with p₀ (from &lt;100 to &gt;1,000 individuals), providing demographic insurance. The threshold at p₀ ≈ 0.01 marks the shift from prolonged, uncertain recovery to rapid rescue, though exact timing remains unpredictable.</w:t>
      </w:r>
    </w:p>
    <w:p w14:paraId="4FFF9438" w14:textId="77777777" w:rsidR="00804FA7" w:rsidRPr="00804FA7" w:rsidRDefault="00804FA7" w:rsidP="00804FA7"/>
    <w:p w14:paraId="0B358B2F" w14:textId="77777777" w:rsidR="005E0AFE" w:rsidRPr="00441679" w:rsidRDefault="005E0AFE" w:rsidP="005E0AFE">
      <w:pPr>
        <w:pStyle w:val="Heading4"/>
        <w:rPr>
          <w:rFonts w:cstheme="majorHAnsi"/>
        </w:rPr>
      </w:pPr>
      <w:r w:rsidRPr="00441679">
        <w:rPr>
          <w:rStyle w:val="Strong"/>
          <w:rFonts w:cstheme="majorHAnsi"/>
          <w:b/>
          <w:bCs/>
        </w:rPr>
        <w:t>3.4 Crowding sensitivity</w:t>
      </w:r>
    </w:p>
    <w:p w14:paraId="20293E3A"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When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exceeds 2.0, p₀* increases substantially. Each 0.1 increment in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raises the threshold by ≈ 0.0004, because stronger mutant crowding reduces the net selective advantage at intermediate densities. For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 3.0, the required mutant fraction reaches 0.011, corresponding to 110 individuals at N₀ = 10,000—nearly double the baseline band. This implies that management must estimate local density feedback parameters; a mutant that thrives in low-density laboratory conditions may require twice the release size in the field if its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is underestimated. The sensitivity is non-linear: below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 1.5, p₀* is stable, but above 1.8 it rises steeply.</w:t>
      </w:r>
    </w:p>
    <w:p w14:paraId="6944FABA" w14:textId="415EC5B6" w:rsidR="005E0AFE" w:rsidRPr="00441679" w:rsidRDefault="005E0AFE" w:rsidP="005E0AFE">
      <w:pPr>
        <w:rPr>
          <w:rFonts w:asciiTheme="majorHAnsi" w:hAnsiTheme="majorHAnsi" w:cstheme="majorHAnsi"/>
        </w:rPr>
      </w:pPr>
    </w:p>
    <w:p w14:paraId="1653B29A" w14:textId="41B95C99" w:rsidR="005E0AFE" w:rsidRPr="00441679" w:rsidRDefault="005E0AFE" w:rsidP="005E0AFE">
      <w:pPr>
        <w:pStyle w:val="Heading3"/>
        <w:rPr>
          <w:rFonts w:cstheme="majorHAnsi"/>
        </w:rPr>
      </w:pPr>
      <w:r w:rsidRPr="00441679">
        <w:rPr>
          <w:rStyle w:val="Strong"/>
          <w:rFonts w:cstheme="majorHAnsi"/>
          <w:b/>
          <w:bCs/>
        </w:rPr>
        <w:lastRenderedPageBreak/>
        <w:t xml:space="preserve">4 Discussion </w:t>
      </w:r>
    </w:p>
    <w:p w14:paraId="23F7692E" w14:textId="77777777" w:rsidR="005E0AFE" w:rsidRPr="00441679" w:rsidRDefault="005E0AFE" w:rsidP="005E0AFE">
      <w:pPr>
        <w:pStyle w:val="Heading4"/>
        <w:rPr>
          <w:rFonts w:cstheme="majorHAnsi"/>
        </w:rPr>
      </w:pPr>
      <w:r w:rsidRPr="00441679">
        <w:rPr>
          <w:rStyle w:val="Strong"/>
          <w:rFonts w:cstheme="majorHAnsi"/>
          <w:b/>
          <w:bCs/>
        </w:rPr>
        <w:t>4.1 Scaling interpretation and density feedback</w:t>
      </w:r>
    </w:p>
    <w:p w14:paraId="658ADC21"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The super-inverse slope (β = −1.30) is steeper than predicted by simple branching-process theory (β = −1), revealing an interaction between demographic stochasticity and density dependence. </w:t>
      </w: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et al. (2023) argue that bottleneck intensity and density feedback jointly constrain adaptive potential; our logistic fitness function captures this explicitly. In small populations (N₀ ≈ 200), demographic noise dominates: mutants must be frequent to survive drift. In large populations (N₀ ≈ 40,000), the term N/K → 1 suppresses mutant fitness, reducing the per-copy selective advantage, but this disadvantage is offset by weaker noise, so the absolute number of copies required changes little. The result is a head-count rule that is </w:t>
      </w:r>
      <w:r w:rsidRPr="00441679">
        <w:rPr>
          <w:rStyle w:val="Strong"/>
          <w:rFonts w:asciiTheme="majorHAnsi" w:hAnsiTheme="majorHAnsi" w:cstheme="majorHAnsi"/>
          <w:b w:val="0"/>
          <w:bCs w:val="0"/>
        </w:rPr>
        <w:t>approximately universal</w:t>
      </w:r>
      <w:r w:rsidRPr="00441679">
        <w:rPr>
          <w:rFonts w:asciiTheme="majorHAnsi" w:hAnsiTheme="majorHAnsi" w:cstheme="majorHAnsi"/>
          <w:b/>
          <w:bCs/>
        </w:rPr>
        <w:t xml:space="preserve"> </w:t>
      </w:r>
      <w:r w:rsidRPr="00441679">
        <w:rPr>
          <w:rFonts w:asciiTheme="majorHAnsi" w:hAnsiTheme="majorHAnsi" w:cstheme="majorHAnsi"/>
        </w:rPr>
        <w:t>within the simulated parameter space. Future studies should implement bootstrap resampling to quantify the uncertainty in this slope more rigorously.</w:t>
      </w:r>
    </w:p>
    <w:p w14:paraId="1B2BD6B3" w14:textId="77777777" w:rsidR="005E0AFE" w:rsidRPr="00441679" w:rsidRDefault="005E0AFE" w:rsidP="005E0AFE">
      <w:pPr>
        <w:pStyle w:val="Heading4"/>
        <w:rPr>
          <w:rFonts w:cstheme="majorHAnsi"/>
        </w:rPr>
      </w:pPr>
      <w:r w:rsidRPr="00441679">
        <w:rPr>
          <w:rStyle w:val="Strong"/>
          <w:rFonts w:cstheme="majorHAnsi"/>
          <w:b/>
          <w:bCs/>
        </w:rPr>
        <w:t>4.2 Hard vs. soft rescue</w:t>
      </w:r>
    </w:p>
    <w:p w14:paraId="7BD85C67" w14:textId="77777777" w:rsidR="005E0AFE" w:rsidRPr="00441679" w:rsidRDefault="005E0AFE" w:rsidP="005E0AFE">
      <w:pPr>
        <w:rPr>
          <w:rFonts w:asciiTheme="majorHAnsi" w:hAnsiTheme="majorHAnsi" w:cstheme="majorHAnsi"/>
        </w:rPr>
      </w:pPr>
      <w:proofErr w:type="spellStart"/>
      <w:r w:rsidRPr="00441679">
        <w:rPr>
          <w:rFonts w:asciiTheme="majorHAnsi" w:hAnsiTheme="majorHAnsi" w:cstheme="majorHAnsi"/>
        </w:rPr>
        <w:t>Vakirlis</w:t>
      </w:r>
      <w:proofErr w:type="spellEnd"/>
      <w:r w:rsidRPr="00441679">
        <w:rPr>
          <w:rFonts w:asciiTheme="majorHAnsi" w:hAnsiTheme="majorHAnsi" w:cstheme="majorHAnsi"/>
        </w:rPr>
        <w:t xml:space="preserve"> &amp; </w:t>
      </w:r>
      <w:proofErr w:type="spellStart"/>
      <w:r w:rsidRPr="00441679">
        <w:rPr>
          <w:rFonts w:asciiTheme="majorHAnsi" w:hAnsiTheme="majorHAnsi" w:cstheme="majorHAnsi"/>
        </w:rPr>
        <w:t>Crits</w:t>
      </w:r>
      <w:proofErr w:type="spellEnd"/>
      <w:r w:rsidRPr="00441679">
        <w:rPr>
          <w:rFonts w:asciiTheme="majorHAnsi" w:hAnsiTheme="majorHAnsi" w:cstheme="majorHAnsi"/>
        </w:rPr>
        <w:t xml:space="preserve">-Christoph (2023) distinguish hard rescue (single copy) from soft rescue (multiple copies). Our 20–60 band straddles both regimes: the lower end (20–30) corresponds to hard sweeps where one lineage dominates; the upper end (≥ 60) yields soft sweeps with multiple co-segregating lineages. Soft rescue shortens rebound time by ≈ 30 % (Fig. 3) and raises the population nadir, reducing the risk of stochastic extinction during the decline phase. This suggests a practical trade-off: if managers can release only 30 individuals, rescue is likely but slow; releasing 60 accelerates recovery and provides demographic insurance. The continuum between hard and soft rescue is thus not merely theoretical—it directly informs release strategies. For example, in critically endangered species where every generation </w:t>
      </w:r>
      <w:proofErr w:type="gramStart"/>
      <w:r w:rsidRPr="00441679">
        <w:rPr>
          <w:rFonts w:asciiTheme="majorHAnsi" w:hAnsiTheme="majorHAnsi" w:cstheme="majorHAnsi"/>
        </w:rPr>
        <w:t>matters</w:t>
      </w:r>
      <w:proofErr w:type="gramEnd"/>
      <w:r w:rsidRPr="00441679">
        <w:rPr>
          <w:rFonts w:asciiTheme="majorHAnsi" w:hAnsiTheme="majorHAnsi" w:cstheme="majorHAnsi"/>
        </w:rPr>
        <w:t>, the upper bound is preferable.</w:t>
      </w:r>
    </w:p>
    <w:p w14:paraId="365DD148" w14:textId="77777777" w:rsidR="005E0AFE" w:rsidRPr="00441679" w:rsidRDefault="005E0AFE" w:rsidP="005E0AFE">
      <w:pPr>
        <w:pStyle w:val="Heading4"/>
        <w:rPr>
          <w:rFonts w:cstheme="majorHAnsi"/>
        </w:rPr>
      </w:pPr>
      <w:r w:rsidRPr="00441679">
        <w:rPr>
          <w:rStyle w:val="Strong"/>
          <w:rFonts w:cstheme="majorHAnsi"/>
          <w:b/>
          <w:bCs/>
        </w:rPr>
        <w:t>4.3 Microbial parallels and conservation transferability</w:t>
      </w:r>
    </w:p>
    <w:p w14:paraId="4832865B"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Microbial serial-passage experiments (reviewed in </w:t>
      </w: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et al. 2023) repeatedly demonstrate that absolute bottleneck size, not percentage dilution, governs resistance evolution. For example, Escherichia coli populations diluted to 10³ cells survive antibiotic stress at the same rate as populations diluted to 10⁶ cells, provided the absolute number of resistant mutants is held constant. Our simulations translate this principle to density-regulated vertebrate-like life histories: the median requirement of ≈ 30 mutants mirrors the microbial finding that </w:t>
      </w:r>
      <w:proofErr w:type="gramStart"/>
      <w:r w:rsidRPr="00441679">
        <w:rPr>
          <w:rFonts w:asciiTheme="majorHAnsi" w:hAnsiTheme="majorHAnsi" w:cstheme="majorHAnsi"/>
        </w:rPr>
        <w:t>O(</w:t>
      </w:r>
      <w:proofErr w:type="gramEnd"/>
      <w:r w:rsidRPr="00441679">
        <w:rPr>
          <w:rFonts w:asciiTheme="majorHAnsi" w:hAnsiTheme="majorHAnsi" w:cstheme="majorHAnsi"/>
        </w:rPr>
        <w:t xml:space="preserve">10–100) copies are sufficient for establishment. Yeast salt-stress metapopulations (Bell &amp; Gonzalez 2011) required intermediate migrant numbers—enough to establish locally, not so high as to swamp adaptation. The head-count rule (20–60) </w:t>
      </w:r>
      <w:proofErr w:type="spellStart"/>
      <w:r w:rsidRPr="00441679">
        <w:rPr>
          <w:rFonts w:asciiTheme="majorHAnsi" w:hAnsiTheme="majorHAnsi" w:cstheme="majorHAnsi"/>
        </w:rPr>
        <w:t>operationalises</w:t>
      </w:r>
      <w:proofErr w:type="spellEnd"/>
      <w:r w:rsidRPr="00441679">
        <w:rPr>
          <w:rFonts w:asciiTheme="majorHAnsi" w:hAnsiTheme="majorHAnsi" w:cstheme="majorHAnsi"/>
        </w:rPr>
        <w:t xml:space="preserve"> this insight for single-release scenarios where gene flow is absent. However, two caveats apply: (</w:t>
      </w:r>
      <w:proofErr w:type="spellStart"/>
      <w:r w:rsidRPr="00441679">
        <w:rPr>
          <w:rFonts w:asciiTheme="majorHAnsi" w:hAnsiTheme="majorHAnsi" w:cstheme="majorHAnsi"/>
        </w:rPr>
        <w:t>i</w:t>
      </w:r>
      <w:proofErr w:type="spellEnd"/>
      <w:r w:rsidRPr="00441679">
        <w:rPr>
          <w:rFonts w:asciiTheme="majorHAnsi" w:hAnsiTheme="majorHAnsi" w:cstheme="majorHAnsi"/>
        </w:rPr>
        <w:t xml:space="preserve">) vertebrate fecundity is orders of magnitude lower than microbial division rates, so the time horizon for rescue (300 generations) may span decades; (ii) cultural adaptation or phenotypic plasticity could alter the effective selective coefficient </w:t>
      </w:r>
      <w:proofErr w:type="spellStart"/>
      <w:r w:rsidRPr="00441679">
        <w:rPr>
          <w:rFonts w:asciiTheme="majorHAnsi" w:hAnsiTheme="majorHAnsi" w:cstheme="majorHAnsi"/>
        </w:rPr>
        <w:t>w_A</w:t>
      </w:r>
      <w:proofErr w:type="spellEnd"/>
      <w:r w:rsidRPr="00441679">
        <w:rPr>
          <w:rFonts w:asciiTheme="majorHAnsi" w:hAnsiTheme="majorHAnsi" w:cstheme="majorHAnsi"/>
        </w:rPr>
        <w:t>, shifting the threshold.</w:t>
      </w:r>
    </w:p>
    <w:p w14:paraId="55592AAC" w14:textId="77777777" w:rsidR="005E0AFE" w:rsidRPr="00441679" w:rsidRDefault="005E0AFE" w:rsidP="005E0AFE">
      <w:pPr>
        <w:pStyle w:val="Heading4"/>
        <w:rPr>
          <w:rFonts w:cstheme="majorHAnsi"/>
        </w:rPr>
      </w:pPr>
      <w:r w:rsidRPr="00441679">
        <w:rPr>
          <w:rStyle w:val="Strong"/>
          <w:rFonts w:cstheme="majorHAnsi"/>
          <w:b/>
          <w:bCs/>
        </w:rPr>
        <w:lastRenderedPageBreak/>
        <w:t>4.4 Management guideline</w:t>
      </w:r>
    </w:p>
    <w:p w14:paraId="58C6EB9D"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For closed, acute-stress situations resembling our model, release </w:t>
      </w:r>
      <w:r w:rsidRPr="00441679">
        <w:rPr>
          <w:rStyle w:val="Strong"/>
          <w:rFonts w:asciiTheme="majorHAnsi" w:hAnsiTheme="majorHAnsi" w:cstheme="majorHAnsi"/>
          <w:b w:val="0"/>
          <w:bCs w:val="0"/>
        </w:rPr>
        <w:t>≥ 30 beneficial individuals</w:t>
      </w:r>
      <w:r w:rsidRPr="00441679">
        <w:rPr>
          <w:rFonts w:asciiTheme="majorHAnsi" w:hAnsiTheme="majorHAnsi" w:cstheme="majorHAnsi"/>
        </w:rPr>
        <w:t xml:space="preserve"> (median requirement) to achieve ≥ 90 % rescue probability. Use the </w:t>
      </w:r>
      <w:r w:rsidRPr="00441679">
        <w:rPr>
          <w:rStyle w:val="Strong"/>
          <w:rFonts w:asciiTheme="majorHAnsi" w:hAnsiTheme="majorHAnsi" w:cstheme="majorHAnsi"/>
          <w:b w:val="0"/>
          <w:bCs w:val="0"/>
        </w:rPr>
        <w:t>conservative upper-bound (≥ 60)</w:t>
      </w:r>
      <w:r w:rsidRPr="00441679">
        <w:rPr>
          <w:rFonts w:asciiTheme="majorHAnsi" w:hAnsiTheme="majorHAnsi" w:cstheme="majorHAnsi"/>
        </w:rPr>
        <w:t xml:space="preserve"> when:</w:t>
      </w:r>
    </w:p>
    <w:p w14:paraId="6249CBC9" w14:textId="77777777" w:rsidR="005E0AFE" w:rsidRPr="00441679" w:rsidRDefault="005E0AFE" w:rsidP="005E0AFE">
      <w:pPr>
        <w:numPr>
          <w:ilvl w:val="0"/>
          <w:numId w:val="10"/>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Failure is irreversible (e.g., genetically unique population).</w:t>
      </w:r>
    </w:p>
    <w:p w14:paraId="441BD17C" w14:textId="77777777" w:rsidR="005E0AFE" w:rsidRPr="00441679" w:rsidRDefault="005E0AFE" w:rsidP="005E0AFE">
      <w:pPr>
        <w:numPr>
          <w:ilvl w:val="0"/>
          <w:numId w:val="10"/>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Environmental variance is high.</w:t>
      </w:r>
    </w:p>
    <w:p w14:paraId="7A40585C" w14:textId="77777777" w:rsidR="005E0AFE" w:rsidRPr="00441679" w:rsidRDefault="005E0AFE" w:rsidP="005E0AFE">
      <w:pPr>
        <w:numPr>
          <w:ilvl w:val="0"/>
          <w:numId w:val="10"/>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Density feedback is strong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 2.0).</w:t>
      </w:r>
    </w:p>
    <w:p w14:paraId="118ACB38" w14:textId="77777777" w:rsidR="005E0AFE" w:rsidRPr="00441679" w:rsidRDefault="005E0AFE" w:rsidP="005E0AFE">
      <w:pPr>
        <w:spacing w:after="0"/>
        <w:rPr>
          <w:rFonts w:asciiTheme="majorHAnsi" w:hAnsiTheme="majorHAnsi" w:cstheme="majorHAnsi"/>
        </w:rPr>
      </w:pPr>
      <w:r w:rsidRPr="00441679">
        <w:rPr>
          <w:rStyle w:val="Strong"/>
          <w:rFonts w:asciiTheme="majorHAnsi" w:hAnsiTheme="majorHAnsi" w:cstheme="majorHAnsi"/>
          <w:b w:val="0"/>
          <w:bCs w:val="0"/>
        </w:rPr>
        <w:t>Never use percentage targets</w:t>
      </w:r>
      <w:r w:rsidRPr="00441679">
        <w:rPr>
          <w:rFonts w:asciiTheme="majorHAnsi" w:hAnsiTheme="majorHAnsi" w:cstheme="majorHAnsi"/>
          <w:b/>
          <w:bCs/>
        </w:rPr>
        <w:t>:</w:t>
      </w:r>
      <w:r w:rsidRPr="00441679">
        <w:rPr>
          <w:rFonts w:asciiTheme="majorHAnsi" w:hAnsiTheme="majorHAnsi" w:cstheme="majorHAnsi"/>
        </w:rPr>
        <w:t xml:space="preserve"> releasing 0.1 % of N₀ yields only 2 mutants when N₀ = 2,000 (insufficient) but 40 mutants when N₀ = 40,000 (excessive). Instead, </w:t>
      </w:r>
      <w:proofErr w:type="spellStart"/>
      <w:r w:rsidRPr="00441679">
        <w:rPr>
          <w:rFonts w:asciiTheme="majorHAnsi" w:hAnsiTheme="majorHAnsi" w:cstheme="majorHAnsi"/>
        </w:rPr>
        <w:t>prioritise</w:t>
      </w:r>
      <w:proofErr w:type="spellEnd"/>
      <w:r w:rsidRPr="00441679">
        <w:rPr>
          <w:rFonts w:asciiTheme="majorHAnsi" w:hAnsiTheme="majorHAnsi" w:cstheme="majorHAnsi"/>
        </w:rPr>
        <w:t xml:space="preserve"> absolute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and recalibrate with species-specific vital rates (</w:t>
      </w:r>
      <w:proofErr w:type="spellStart"/>
      <w:r w:rsidRPr="00441679">
        <w:rPr>
          <w:rFonts w:asciiTheme="majorHAnsi" w:hAnsiTheme="majorHAnsi" w:cstheme="majorHAnsi"/>
        </w:rPr>
        <w:t>w_A</w:t>
      </w:r>
      <w:proofErr w:type="spellEnd"/>
      <w:r w:rsidRPr="00441679">
        <w:rPr>
          <w:rFonts w:asciiTheme="majorHAnsi" w:hAnsiTheme="majorHAnsi" w:cstheme="majorHAnsi"/>
        </w:rPr>
        <w:t xml:space="preserve">, </w:t>
      </w:r>
      <w:proofErr w:type="spellStart"/>
      <w:r w:rsidRPr="00441679">
        <w:rPr>
          <w:rFonts w:asciiTheme="majorHAnsi" w:hAnsiTheme="majorHAnsi" w:cstheme="majorHAnsi"/>
        </w:rPr>
        <w:t>f_A</w:t>
      </w:r>
      <w:proofErr w:type="spellEnd"/>
      <w:r w:rsidRPr="00441679">
        <w:rPr>
          <w:rFonts w:asciiTheme="majorHAnsi" w:hAnsiTheme="majorHAnsi" w:cstheme="majorHAnsi"/>
        </w:rPr>
        <w:t xml:space="preserve">) whenever possible. For example, if </w:t>
      </w:r>
      <w:proofErr w:type="spellStart"/>
      <w:r w:rsidRPr="00441679">
        <w:rPr>
          <w:rFonts w:asciiTheme="majorHAnsi" w:hAnsiTheme="majorHAnsi" w:cstheme="majorHAnsi"/>
        </w:rPr>
        <w:t>w_A</w:t>
      </w:r>
      <w:proofErr w:type="spellEnd"/>
      <w:r w:rsidRPr="00441679">
        <w:rPr>
          <w:rFonts w:asciiTheme="majorHAnsi" w:hAnsiTheme="majorHAnsi" w:cstheme="majorHAnsi"/>
        </w:rPr>
        <w:t xml:space="preserve"> = 1.02 (weak benefit), raise the target to 70–100 individuals; if </w:t>
      </w:r>
      <w:proofErr w:type="spellStart"/>
      <w:r w:rsidRPr="00441679">
        <w:rPr>
          <w:rFonts w:asciiTheme="majorHAnsi" w:hAnsiTheme="majorHAnsi" w:cstheme="majorHAnsi"/>
        </w:rPr>
        <w:t>w_A</w:t>
      </w:r>
      <w:proofErr w:type="spellEnd"/>
      <w:r w:rsidRPr="00441679">
        <w:rPr>
          <w:rFonts w:asciiTheme="majorHAnsi" w:hAnsiTheme="majorHAnsi" w:cstheme="majorHAnsi"/>
        </w:rPr>
        <w:t xml:space="preserve"> = 1.10, 20–30 may suffice. The crowding sensitivity analysis provides a template for such calibration: measure competitive ability in mesocosms, then adjust release size accordingly.</w:t>
      </w:r>
    </w:p>
    <w:p w14:paraId="14A2D852" w14:textId="77777777" w:rsidR="005E0AFE" w:rsidRPr="00441679" w:rsidRDefault="005E0AFE" w:rsidP="005E0AFE">
      <w:pPr>
        <w:pStyle w:val="Heading4"/>
        <w:rPr>
          <w:rFonts w:cstheme="majorHAnsi"/>
        </w:rPr>
      </w:pPr>
      <w:r w:rsidRPr="00441679">
        <w:rPr>
          <w:rStyle w:val="Strong"/>
          <w:rFonts w:cstheme="majorHAnsi"/>
          <w:b/>
          <w:bCs/>
        </w:rPr>
        <w:t>4.5 Caveats and future directions</w:t>
      </w:r>
    </w:p>
    <w:p w14:paraId="46518560"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Our model is deliberately minimalist: single locus, haploid, no standing variation, no spatial structure. This simplicity clarifies mechanism but limits direct application. Future work should:</w:t>
      </w:r>
    </w:p>
    <w:p w14:paraId="40768792" w14:textId="77777777" w:rsidR="005E0AFE" w:rsidRPr="00441679" w:rsidRDefault="005E0AFE" w:rsidP="005E0AFE">
      <w:pPr>
        <w:numPr>
          <w:ilvl w:val="0"/>
          <w:numId w:val="11"/>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Implement bootstrap resampling to quantify uncertainty in scaling exponents.</w:t>
      </w:r>
    </w:p>
    <w:p w14:paraId="1E3BC1C2" w14:textId="77777777" w:rsidR="005E0AFE" w:rsidRPr="00441679" w:rsidRDefault="005E0AFE" w:rsidP="005E0AFE">
      <w:pPr>
        <w:numPr>
          <w:ilvl w:val="0"/>
          <w:numId w:val="11"/>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Compute information criteria (AIC) to formally compare absolute vs. relative predictors.</w:t>
      </w:r>
    </w:p>
    <w:p w14:paraId="75850185" w14:textId="77777777" w:rsidR="005E0AFE" w:rsidRPr="00441679" w:rsidRDefault="005E0AFE" w:rsidP="005E0AFE">
      <w:pPr>
        <w:numPr>
          <w:ilvl w:val="0"/>
          <w:numId w:val="11"/>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 xml:space="preserve">Test robustness to alternative fitness functions (e.g., </w:t>
      </w:r>
      <w:proofErr w:type="spellStart"/>
      <w:r w:rsidRPr="00441679">
        <w:rPr>
          <w:rFonts w:asciiTheme="majorHAnsi" w:hAnsiTheme="majorHAnsi" w:cstheme="majorHAnsi"/>
        </w:rPr>
        <w:t>Beverton</w:t>
      </w:r>
      <w:proofErr w:type="spellEnd"/>
      <w:r w:rsidRPr="00441679">
        <w:rPr>
          <w:rFonts w:asciiTheme="majorHAnsi" w:hAnsiTheme="majorHAnsi" w:cstheme="majorHAnsi"/>
        </w:rPr>
        <w:t>–Holt), diploid genetics, and recurrent mutation.</w:t>
      </w:r>
    </w:p>
    <w:p w14:paraId="0A98478D" w14:textId="77777777" w:rsidR="005E0AFE" w:rsidRPr="00441679" w:rsidRDefault="005E0AFE" w:rsidP="005E0AFE">
      <w:pPr>
        <w:numPr>
          <w:ilvl w:val="0"/>
          <w:numId w:val="11"/>
        </w:numPr>
        <w:spacing w:before="100" w:beforeAutospacing="1" w:after="100" w:afterAutospacing="1" w:line="240" w:lineRule="auto"/>
        <w:rPr>
          <w:rFonts w:asciiTheme="majorHAnsi" w:hAnsiTheme="majorHAnsi" w:cstheme="majorHAnsi"/>
        </w:rPr>
      </w:pPr>
      <w:r w:rsidRPr="00441679">
        <w:rPr>
          <w:rFonts w:asciiTheme="majorHAnsi" w:hAnsiTheme="majorHAnsi" w:cstheme="majorHAnsi"/>
        </w:rPr>
        <w:t>Explore polygenic rescue and habitat heterogeneity.</w:t>
      </w:r>
    </w:p>
    <w:p w14:paraId="0EFDA5FF" w14:textId="77777777" w:rsidR="005E0AFE" w:rsidRPr="00441679" w:rsidRDefault="005E0AFE" w:rsidP="005E0AFE">
      <w:pPr>
        <w:spacing w:after="0"/>
        <w:rPr>
          <w:rFonts w:asciiTheme="majorHAnsi" w:hAnsiTheme="majorHAnsi" w:cstheme="majorHAnsi"/>
        </w:rPr>
      </w:pPr>
      <w:r w:rsidRPr="00441679">
        <w:rPr>
          <w:rFonts w:asciiTheme="majorHAnsi" w:hAnsiTheme="majorHAnsi" w:cstheme="majorHAnsi"/>
        </w:rPr>
        <w:t xml:space="preserve">These extensions will refine the provisional head-count rule, but the </w:t>
      </w:r>
      <w:r w:rsidRPr="00441679">
        <w:rPr>
          <w:rStyle w:val="Strong"/>
          <w:rFonts w:asciiTheme="majorHAnsi" w:hAnsiTheme="majorHAnsi" w:cstheme="majorHAnsi"/>
          <w:b w:val="0"/>
          <w:bCs w:val="0"/>
        </w:rPr>
        <w:t>core principle—that rescue probability is best predicted by absolute copy number</w:t>
      </w:r>
      <w:r w:rsidRPr="00441679">
        <w:rPr>
          <w:rFonts w:asciiTheme="majorHAnsi" w:hAnsiTheme="majorHAnsi" w:cstheme="majorHAnsi"/>
        </w:rPr>
        <w:t>—is likely robust.</w:t>
      </w:r>
    </w:p>
    <w:p w14:paraId="33D5DCD6" w14:textId="2D9AAC5A" w:rsidR="005E0AFE" w:rsidRPr="00441679" w:rsidRDefault="005E0AFE" w:rsidP="005E0AFE">
      <w:pPr>
        <w:rPr>
          <w:rFonts w:asciiTheme="majorHAnsi" w:hAnsiTheme="majorHAnsi" w:cstheme="majorHAnsi"/>
        </w:rPr>
      </w:pPr>
    </w:p>
    <w:p w14:paraId="2E85D63C" w14:textId="624D146D" w:rsidR="005E0AFE" w:rsidRPr="00441679" w:rsidRDefault="005E0AFE" w:rsidP="005E0AFE">
      <w:pPr>
        <w:pStyle w:val="Heading3"/>
        <w:rPr>
          <w:rFonts w:cstheme="majorHAnsi"/>
        </w:rPr>
      </w:pPr>
      <w:r w:rsidRPr="00441679">
        <w:rPr>
          <w:rStyle w:val="Strong"/>
          <w:rFonts w:cstheme="majorHAnsi"/>
          <w:b/>
          <w:bCs/>
        </w:rPr>
        <w:t xml:space="preserve">5 Conclusion </w:t>
      </w:r>
    </w:p>
    <w:p w14:paraId="5F788321"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Within the simulated parameter space, evolutionary rescue is predicted by the absolute number of beneficial individuals present at the demographic bottleneck. The median requirement is </w:t>
      </w:r>
      <w:r w:rsidRPr="00441679">
        <w:rPr>
          <w:rStyle w:val="Strong"/>
          <w:rFonts w:asciiTheme="majorHAnsi" w:hAnsiTheme="majorHAnsi" w:cstheme="majorHAnsi"/>
          <w:b w:val="0"/>
          <w:bCs w:val="0"/>
        </w:rPr>
        <w:t>≈ 30</w:t>
      </w:r>
      <w:r w:rsidRPr="00441679">
        <w:rPr>
          <w:rFonts w:asciiTheme="majorHAnsi" w:hAnsiTheme="majorHAnsi" w:cstheme="majorHAnsi"/>
        </w:rPr>
        <w:t xml:space="preserve">, but the 95 % prediction band is </w:t>
      </w:r>
      <w:r w:rsidRPr="00441679">
        <w:rPr>
          <w:rStyle w:val="Strong"/>
          <w:rFonts w:asciiTheme="majorHAnsi" w:hAnsiTheme="majorHAnsi" w:cstheme="majorHAnsi"/>
          <w:b w:val="0"/>
          <w:bCs w:val="0"/>
        </w:rPr>
        <w:t>20–60</w:t>
      </w:r>
      <w:r w:rsidRPr="00441679">
        <w:rPr>
          <w:rFonts w:asciiTheme="majorHAnsi" w:hAnsiTheme="majorHAnsi" w:cstheme="majorHAnsi"/>
        </w:rPr>
        <w:t xml:space="preserve">; larger founding populations enjoy a slight super-inverse advantage (slope = −1.30) due to weaker demographic noise and stronger density feedback. These figures are provisional scaling estimates, not universal constants. Managers should </w:t>
      </w:r>
      <w:r w:rsidRPr="00441679">
        <w:rPr>
          <w:rStyle w:val="Strong"/>
          <w:rFonts w:asciiTheme="majorHAnsi" w:hAnsiTheme="majorHAnsi" w:cstheme="majorHAnsi"/>
          <w:b w:val="0"/>
          <w:bCs w:val="0"/>
        </w:rPr>
        <w:t>adopt the upper-bound rule (≥ 60 copies)</w:t>
      </w:r>
      <w:r w:rsidRPr="00441679">
        <w:rPr>
          <w:rFonts w:asciiTheme="majorHAnsi" w:hAnsiTheme="majorHAnsi" w:cstheme="majorHAnsi"/>
        </w:rPr>
        <w:t xml:space="preserve"> and </w:t>
      </w:r>
      <w:proofErr w:type="spellStart"/>
      <w:r w:rsidRPr="00441679">
        <w:rPr>
          <w:rFonts w:asciiTheme="majorHAnsi" w:hAnsiTheme="majorHAnsi" w:cstheme="majorHAnsi"/>
        </w:rPr>
        <w:t>prioritise</w:t>
      </w:r>
      <w:proofErr w:type="spellEnd"/>
      <w:r w:rsidRPr="00441679">
        <w:rPr>
          <w:rFonts w:asciiTheme="majorHAnsi" w:hAnsiTheme="majorHAnsi" w:cstheme="majorHAnsi"/>
        </w:rPr>
        <w:t xml:space="preserve"> absolute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over percentage when releasing engineered or translocated beneficial alleles. Future statistical work should quantify uncertainty via bootstrap and model comparison, but the head-count principle itself provides the simplest and most robust guideline for preventing extinction through genetic intervention.</w:t>
      </w:r>
    </w:p>
    <w:p w14:paraId="2D4B5FD5" w14:textId="21D2B3AB" w:rsidR="005E0AFE" w:rsidRPr="00441679" w:rsidRDefault="005E0AFE" w:rsidP="005E0AFE">
      <w:pPr>
        <w:rPr>
          <w:rFonts w:asciiTheme="majorHAnsi" w:hAnsiTheme="majorHAnsi" w:cstheme="majorHAnsi"/>
        </w:rPr>
      </w:pPr>
    </w:p>
    <w:p w14:paraId="3FA835DC" w14:textId="77777777" w:rsidR="005E0AFE" w:rsidRPr="00441679" w:rsidRDefault="005E0AFE" w:rsidP="005E0AFE">
      <w:pPr>
        <w:pStyle w:val="Heading3"/>
        <w:rPr>
          <w:rFonts w:cstheme="majorHAnsi"/>
        </w:rPr>
      </w:pPr>
      <w:r w:rsidRPr="00441679">
        <w:rPr>
          <w:rStyle w:val="Strong"/>
          <w:rFonts w:cstheme="majorHAnsi"/>
          <w:b/>
          <w:bCs/>
        </w:rPr>
        <w:lastRenderedPageBreak/>
        <w:t>References</w:t>
      </w:r>
    </w:p>
    <w:p w14:paraId="33271DB4" w14:textId="6C608AF9" w:rsidR="005E0AFE" w:rsidRPr="00441679" w:rsidRDefault="005E0AFE" w:rsidP="005E0AFE">
      <w:pPr>
        <w:rPr>
          <w:rFonts w:asciiTheme="majorHAnsi" w:hAnsiTheme="majorHAnsi" w:cstheme="majorHAnsi"/>
        </w:rPr>
      </w:pPr>
      <w:proofErr w:type="spellStart"/>
      <w:r w:rsidRPr="00441679">
        <w:rPr>
          <w:rFonts w:asciiTheme="majorHAnsi" w:hAnsiTheme="majorHAnsi" w:cstheme="majorHAnsi"/>
        </w:rPr>
        <w:t>Gamblin</w:t>
      </w:r>
      <w:proofErr w:type="spellEnd"/>
      <w:r w:rsidRPr="00441679">
        <w:rPr>
          <w:rFonts w:asciiTheme="majorHAnsi" w:hAnsiTheme="majorHAnsi" w:cstheme="majorHAnsi"/>
        </w:rPr>
        <w:t xml:space="preserve">, J., </w:t>
      </w:r>
      <w:proofErr w:type="spellStart"/>
      <w:r w:rsidRPr="00441679">
        <w:rPr>
          <w:rFonts w:asciiTheme="majorHAnsi" w:hAnsiTheme="majorHAnsi" w:cstheme="majorHAnsi"/>
        </w:rPr>
        <w:t>Marrec</w:t>
      </w:r>
      <w:proofErr w:type="spellEnd"/>
      <w:r w:rsidRPr="00441679">
        <w:rPr>
          <w:rFonts w:asciiTheme="majorHAnsi" w:hAnsiTheme="majorHAnsi" w:cstheme="majorHAnsi"/>
        </w:rPr>
        <w:t xml:space="preserve">, L. &amp; </w:t>
      </w:r>
      <w:proofErr w:type="spellStart"/>
      <w:r w:rsidRPr="00441679">
        <w:rPr>
          <w:rFonts w:asciiTheme="majorHAnsi" w:hAnsiTheme="majorHAnsi" w:cstheme="majorHAnsi"/>
        </w:rPr>
        <w:t>Olazcuaga</w:t>
      </w:r>
      <w:proofErr w:type="spellEnd"/>
      <w:r w:rsidRPr="00441679">
        <w:rPr>
          <w:rFonts w:asciiTheme="majorHAnsi" w:hAnsiTheme="majorHAnsi" w:cstheme="majorHAnsi"/>
        </w:rPr>
        <w:t xml:space="preserve">, L. (2023). How bottlenecks shape adaptive potential: from theory and microbiology to conservation biology. </w:t>
      </w:r>
    </w:p>
    <w:p w14:paraId="7EAB41A0" w14:textId="77777777" w:rsidR="005E0AFE" w:rsidRPr="00441679" w:rsidRDefault="005E0AFE" w:rsidP="005E0AFE">
      <w:pPr>
        <w:rPr>
          <w:rFonts w:asciiTheme="majorHAnsi" w:hAnsiTheme="majorHAnsi" w:cstheme="majorHAnsi"/>
        </w:rPr>
      </w:pPr>
      <w:r w:rsidRPr="00441679">
        <w:rPr>
          <w:rFonts w:asciiTheme="majorHAnsi" w:hAnsiTheme="majorHAnsi" w:cstheme="majorHAnsi"/>
        </w:rPr>
        <w:t xml:space="preserve">Orr, H. A. &amp; </w:t>
      </w:r>
      <w:proofErr w:type="spellStart"/>
      <w:r w:rsidRPr="00441679">
        <w:rPr>
          <w:rFonts w:asciiTheme="majorHAnsi" w:hAnsiTheme="majorHAnsi" w:cstheme="majorHAnsi"/>
        </w:rPr>
        <w:t>Unckless</w:t>
      </w:r>
      <w:proofErr w:type="spellEnd"/>
      <w:r w:rsidRPr="00441679">
        <w:rPr>
          <w:rFonts w:asciiTheme="majorHAnsi" w:hAnsiTheme="majorHAnsi" w:cstheme="majorHAnsi"/>
        </w:rPr>
        <w:t xml:space="preserve">, R. L. (2008). Population extinction and the genetics of adaptation. </w:t>
      </w:r>
      <w:r w:rsidRPr="00441679">
        <w:rPr>
          <w:rStyle w:val="Emphasis"/>
          <w:rFonts w:asciiTheme="majorHAnsi" w:hAnsiTheme="majorHAnsi" w:cstheme="majorHAnsi"/>
        </w:rPr>
        <w:t>American Naturalist</w:t>
      </w:r>
      <w:r w:rsidRPr="00441679">
        <w:rPr>
          <w:rFonts w:asciiTheme="majorHAnsi" w:hAnsiTheme="majorHAnsi" w:cstheme="majorHAnsi"/>
        </w:rPr>
        <w:t>, 172, 160–169.</w:t>
      </w:r>
    </w:p>
    <w:p w14:paraId="0B01A305" w14:textId="77777777" w:rsidR="005E0AFE" w:rsidRPr="00441679" w:rsidRDefault="005E0AFE" w:rsidP="005E0AFE">
      <w:pPr>
        <w:rPr>
          <w:rFonts w:asciiTheme="majorHAnsi" w:hAnsiTheme="majorHAnsi" w:cstheme="majorHAnsi"/>
        </w:rPr>
      </w:pPr>
      <w:proofErr w:type="spellStart"/>
      <w:r w:rsidRPr="00441679">
        <w:rPr>
          <w:rFonts w:asciiTheme="majorHAnsi" w:hAnsiTheme="majorHAnsi" w:cstheme="majorHAnsi"/>
        </w:rPr>
        <w:t>Vakirlis</w:t>
      </w:r>
      <w:proofErr w:type="spellEnd"/>
      <w:r w:rsidRPr="00441679">
        <w:rPr>
          <w:rFonts w:asciiTheme="majorHAnsi" w:hAnsiTheme="majorHAnsi" w:cstheme="majorHAnsi"/>
        </w:rPr>
        <w:t xml:space="preserve">, N. &amp; </w:t>
      </w:r>
      <w:proofErr w:type="spellStart"/>
      <w:r w:rsidRPr="00441679">
        <w:rPr>
          <w:rFonts w:asciiTheme="majorHAnsi" w:hAnsiTheme="majorHAnsi" w:cstheme="majorHAnsi"/>
        </w:rPr>
        <w:t>Crits</w:t>
      </w:r>
      <w:proofErr w:type="spellEnd"/>
      <w:r w:rsidRPr="00441679">
        <w:rPr>
          <w:rFonts w:asciiTheme="majorHAnsi" w:hAnsiTheme="majorHAnsi" w:cstheme="majorHAnsi"/>
        </w:rPr>
        <w:t xml:space="preserve">-Christoph, A. (2023). Rates of hard and soft sweeps in adaptation. </w:t>
      </w:r>
      <w:r w:rsidRPr="00441679">
        <w:rPr>
          <w:rStyle w:val="Emphasis"/>
          <w:rFonts w:asciiTheme="majorHAnsi" w:hAnsiTheme="majorHAnsi" w:cstheme="majorHAnsi"/>
        </w:rPr>
        <w:t>Genetics</w:t>
      </w:r>
      <w:r w:rsidRPr="00441679">
        <w:rPr>
          <w:rFonts w:asciiTheme="majorHAnsi" w:hAnsiTheme="majorHAnsi" w:cstheme="majorHAnsi"/>
        </w:rPr>
        <w:t>, 205, 1573–1586.</w:t>
      </w:r>
    </w:p>
    <w:p w14:paraId="58D7AF16" w14:textId="3F47E7EB" w:rsidR="005E0AFE" w:rsidRPr="00441679" w:rsidRDefault="005E0AFE" w:rsidP="005E0AFE">
      <w:pPr>
        <w:rPr>
          <w:rFonts w:asciiTheme="majorHAnsi" w:hAnsiTheme="majorHAnsi" w:cstheme="majorHAnsi"/>
        </w:rPr>
      </w:pPr>
    </w:p>
    <w:p w14:paraId="6564C8A4" w14:textId="4AE2C693" w:rsidR="005E0AFE" w:rsidRPr="00441679" w:rsidRDefault="005E0AFE" w:rsidP="005E0AFE">
      <w:pPr>
        <w:pStyle w:val="Heading3"/>
        <w:rPr>
          <w:rFonts w:cstheme="majorHAnsi"/>
        </w:rPr>
      </w:pPr>
      <w:r w:rsidRPr="00441679">
        <w:rPr>
          <w:rStyle w:val="Strong"/>
          <w:rFonts w:cstheme="majorHAnsi"/>
          <w:b/>
          <w:bCs/>
        </w:rPr>
        <w:t>Figure</w:t>
      </w:r>
      <w:r w:rsidR="00804FA7">
        <w:rPr>
          <w:rStyle w:val="Strong"/>
          <w:rFonts w:cstheme="majorHAnsi"/>
          <w:b/>
          <w:bCs/>
        </w:rPr>
        <w:t>s</w:t>
      </w:r>
    </w:p>
    <w:p w14:paraId="3C9ED915" w14:textId="77777777" w:rsidR="007219B5" w:rsidRDefault="005E0AFE" w:rsidP="005E0AFE">
      <w:pPr>
        <w:rPr>
          <w:rFonts w:asciiTheme="majorHAnsi" w:hAnsiTheme="majorHAnsi" w:cstheme="majorHAnsi"/>
        </w:rPr>
      </w:pPr>
      <w:r w:rsidRPr="00441679">
        <w:rPr>
          <w:rStyle w:val="Strong"/>
          <w:rFonts w:asciiTheme="majorHAnsi" w:hAnsiTheme="majorHAnsi" w:cstheme="majorHAnsi"/>
        </w:rPr>
        <w:t>Fig. 1.</w:t>
      </w:r>
      <w:r w:rsidRPr="00441679">
        <w:rPr>
          <w:rFonts w:asciiTheme="majorHAnsi" w:hAnsiTheme="majorHAnsi" w:cstheme="majorHAnsi"/>
        </w:rPr>
        <w:t xml:space="preserve"> (A) Rescue probability vs. p₀ (log scale) at N₀ = 10,000; dashed: 90 % threshold (p₀* = </w:t>
      </w:r>
      <w:r w:rsidRPr="00804FA7">
        <w:rPr>
          <w:rStyle w:val="Strong"/>
          <w:rFonts w:asciiTheme="majorHAnsi" w:hAnsiTheme="majorHAnsi" w:cstheme="majorHAnsi"/>
          <w:b w:val="0"/>
          <w:bCs w:val="0"/>
        </w:rPr>
        <w:t>0.0037</w:t>
      </w:r>
      <w:r w:rsidRPr="00804FA7">
        <w:rPr>
          <w:rFonts w:asciiTheme="majorHAnsi" w:hAnsiTheme="majorHAnsi" w:cstheme="majorHAnsi"/>
        </w:rPr>
        <w:t xml:space="preserve">); </w:t>
      </w:r>
      <w:r w:rsidRPr="00441679">
        <w:rPr>
          <w:rFonts w:asciiTheme="majorHAnsi" w:hAnsiTheme="majorHAnsi" w:cstheme="majorHAnsi"/>
        </w:rPr>
        <w:t>grey band: 20–</w:t>
      </w:r>
      <w:r w:rsidR="00AE2765">
        <w:rPr>
          <w:rFonts w:asciiTheme="majorHAnsi" w:hAnsiTheme="majorHAnsi" w:cstheme="majorHAnsi"/>
          <w:noProof/>
        </w:rPr>
        <w:drawing>
          <wp:inline distT="0" distB="0" distL="0" distR="0" wp14:anchorId="456B36CD" wp14:editId="3D223688">
            <wp:extent cx="4171477" cy="2535717"/>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cue probability vs p0.png"/>
                    <pic:cNvPicPr/>
                  </pic:nvPicPr>
                  <pic:blipFill>
                    <a:blip r:embed="rId7"/>
                    <a:stretch>
                      <a:fillRect/>
                    </a:stretch>
                  </pic:blipFill>
                  <pic:spPr>
                    <a:xfrm>
                      <a:off x="0" y="0"/>
                      <a:ext cx="4172711" cy="2536467"/>
                    </a:xfrm>
                    <a:prstGeom prst="rect">
                      <a:avLst/>
                    </a:prstGeom>
                  </pic:spPr>
                </pic:pic>
              </a:graphicData>
            </a:graphic>
          </wp:inline>
        </w:drawing>
      </w:r>
      <w:r w:rsidRPr="00441679">
        <w:rPr>
          <w:rFonts w:asciiTheme="majorHAnsi" w:hAnsiTheme="majorHAnsi" w:cstheme="majorHAnsi"/>
        </w:rPr>
        <w:t>60 individual prediction interval.</w:t>
      </w:r>
    </w:p>
    <w:p w14:paraId="667219C3" w14:textId="450A7106" w:rsidR="005E0AFE" w:rsidRPr="00441679" w:rsidRDefault="005E0AFE" w:rsidP="005E0AFE">
      <w:pPr>
        <w:rPr>
          <w:rFonts w:asciiTheme="majorHAnsi" w:hAnsiTheme="majorHAnsi" w:cstheme="majorHAnsi"/>
        </w:rPr>
      </w:pPr>
      <w:r w:rsidRPr="00441679">
        <w:rPr>
          <w:rFonts w:asciiTheme="majorHAnsi" w:hAnsiTheme="majorHAnsi" w:cstheme="majorHAnsi"/>
        </w:rPr>
        <w:lastRenderedPageBreak/>
        <w:t xml:space="preserve">(C) p₀* vs. mutant crowding factor </w:t>
      </w:r>
      <w:proofErr w:type="spellStart"/>
      <w:r w:rsidRPr="00441679">
        <w:rPr>
          <w:rFonts w:asciiTheme="majorHAnsi" w:hAnsiTheme="majorHAnsi" w:cstheme="majorHAnsi"/>
        </w:rPr>
        <w:t>f_A</w:t>
      </w:r>
      <w:proofErr w:type="spellEnd"/>
      <w:r w:rsidRPr="00441679">
        <w:rPr>
          <w:rFonts w:asciiTheme="majorHAnsi" w:hAnsiTheme="majorHAnsi" w:cstheme="majorHAnsi"/>
        </w:rPr>
        <w:t>.</w:t>
      </w:r>
      <w:r w:rsidR="00321876" w:rsidRPr="00321876">
        <w:rPr>
          <w:rFonts w:asciiTheme="majorHAnsi" w:hAnsiTheme="majorHAnsi" w:cstheme="majorHAnsi"/>
          <w:noProof/>
        </w:rPr>
        <w:t xml:space="preserve"> </w:t>
      </w:r>
      <w:r w:rsidR="00612BC2">
        <w:rPr>
          <w:rFonts w:asciiTheme="majorHAnsi" w:hAnsiTheme="majorHAnsi" w:cstheme="majorHAnsi"/>
          <w:noProof/>
        </w:rPr>
        <w:drawing>
          <wp:inline distT="0" distB="0" distL="0" distR="0" wp14:anchorId="2889DB5D" wp14:editId="41B833CC">
            <wp:extent cx="4466201" cy="2714871"/>
            <wp:effectExtent l="0" t="0" r="444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₀ vs. f_A (Crowding Sensitivity).png"/>
                    <pic:cNvPicPr/>
                  </pic:nvPicPr>
                  <pic:blipFill>
                    <a:blip r:embed="rId8"/>
                    <a:stretch>
                      <a:fillRect/>
                    </a:stretch>
                  </pic:blipFill>
                  <pic:spPr>
                    <a:xfrm>
                      <a:off x="0" y="0"/>
                      <a:ext cx="4484707" cy="2726120"/>
                    </a:xfrm>
                    <a:prstGeom prst="rect">
                      <a:avLst/>
                    </a:prstGeom>
                  </pic:spPr>
                </pic:pic>
              </a:graphicData>
            </a:graphic>
          </wp:inline>
        </w:drawing>
      </w:r>
    </w:p>
    <w:p w14:paraId="4253340B" w14:textId="539EB5A9" w:rsidR="005E0AFE" w:rsidRDefault="005E0AFE" w:rsidP="005E0AFE">
      <w:pPr>
        <w:rPr>
          <w:rFonts w:asciiTheme="majorHAnsi" w:hAnsiTheme="majorHAnsi" w:cstheme="majorHAnsi"/>
        </w:rPr>
      </w:pPr>
      <w:r w:rsidRPr="00441679">
        <w:rPr>
          <w:rStyle w:val="Strong"/>
          <w:rFonts w:asciiTheme="majorHAnsi" w:hAnsiTheme="majorHAnsi" w:cstheme="majorHAnsi"/>
        </w:rPr>
        <w:t>Fig. 2.</w:t>
      </w:r>
      <w:r w:rsidRPr="00441679">
        <w:rPr>
          <w:rFonts w:asciiTheme="majorHAnsi" w:hAnsiTheme="majorHAnsi" w:cstheme="majorHAnsi"/>
        </w:rPr>
        <w:t xml:space="preserve"> (A) Super-inverse scaling of p₀* vs. N₀ (log–log); slope </w:t>
      </w:r>
      <w:r w:rsidRPr="00441679">
        <w:rPr>
          <w:rStyle w:val="Strong"/>
          <w:rFonts w:asciiTheme="majorHAnsi" w:hAnsiTheme="majorHAnsi" w:cstheme="majorHAnsi"/>
        </w:rPr>
        <w:t>−</w:t>
      </w:r>
      <w:r w:rsidRPr="00804FA7">
        <w:rPr>
          <w:rStyle w:val="Strong"/>
          <w:rFonts w:asciiTheme="majorHAnsi" w:hAnsiTheme="majorHAnsi" w:cstheme="majorHAnsi"/>
          <w:b w:val="0"/>
          <w:bCs w:val="0"/>
        </w:rPr>
        <w:t>1.30</w:t>
      </w:r>
      <w:r w:rsidRPr="00441679">
        <w:rPr>
          <w:rFonts w:asciiTheme="majorHAnsi" w:hAnsiTheme="majorHAnsi" w:cstheme="majorHAnsi"/>
        </w:rPr>
        <w:t xml:space="preserve"> (R² = 0.98). (B) Corresponding absolute mutant </w:t>
      </w:r>
      <w:proofErr w:type="gramStart"/>
      <w:r w:rsidRPr="00441679">
        <w:rPr>
          <w:rFonts w:asciiTheme="majorHAnsi" w:hAnsiTheme="majorHAnsi" w:cstheme="majorHAnsi"/>
        </w:rPr>
        <w:t>head-count</w:t>
      </w:r>
      <w:proofErr w:type="gramEnd"/>
      <w:r w:rsidRPr="00441679">
        <w:rPr>
          <w:rFonts w:asciiTheme="majorHAnsi" w:hAnsiTheme="majorHAnsi" w:cstheme="majorHAnsi"/>
        </w:rPr>
        <w:t xml:space="preserve">; dashed: median </w:t>
      </w:r>
      <w:r w:rsidRPr="00441679">
        <w:rPr>
          <w:rStyle w:val="Strong"/>
          <w:rFonts w:asciiTheme="majorHAnsi" w:hAnsiTheme="majorHAnsi" w:cstheme="majorHAnsi"/>
        </w:rPr>
        <w:t>30</w:t>
      </w:r>
      <w:r w:rsidRPr="00441679">
        <w:rPr>
          <w:rFonts w:asciiTheme="majorHAnsi" w:hAnsiTheme="majorHAnsi" w:cstheme="majorHAnsi"/>
        </w:rPr>
        <w:t>; grey band: 95 % prediction band 20–60.</w:t>
      </w:r>
      <w:r w:rsidR="006773A0">
        <w:rPr>
          <w:rFonts w:asciiTheme="majorHAnsi" w:hAnsiTheme="majorHAnsi" w:cstheme="majorHAnsi"/>
          <w:noProof/>
        </w:rPr>
        <w:drawing>
          <wp:inline distT="0" distB="0" distL="0" distR="0" wp14:anchorId="0472D0C6" wp14:editId="12B04D14">
            <wp:extent cx="5486400" cy="33350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per-inverse scaling.png"/>
                    <pic:cNvPicPr/>
                  </pic:nvPicPr>
                  <pic:blipFill>
                    <a:blip r:embed="rId9"/>
                    <a:stretch>
                      <a:fillRect/>
                    </a:stretch>
                  </pic:blipFill>
                  <pic:spPr>
                    <a:xfrm>
                      <a:off x="0" y="0"/>
                      <a:ext cx="5486400" cy="3335020"/>
                    </a:xfrm>
                    <a:prstGeom prst="rect">
                      <a:avLst/>
                    </a:prstGeom>
                  </pic:spPr>
                </pic:pic>
              </a:graphicData>
            </a:graphic>
          </wp:inline>
        </w:drawing>
      </w:r>
    </w:p>
    <w:p w14:paraId="0AABF189" w14:textId="015DBFC8" w:rsidR="00F35BFD" w:rsidRDefault="00F35BFD" w:rsidP="005E0AFE">
      <w:pPr>
        <w:rPr>
          <w:rFonts w:asciiTheme="majorHAnsi" w:hAnsiTheme="majorHAnsi" w:cstheme="majorHAnsi"/>
        </w:rPr>
      </w:pPr>
    </w:p>
    <w:p w14:paraId="0493192D" w14:textId="22D3C3B7" w:rsidR="00F35BFD" w:rsidRDefault="00F35BFD" w:rsidP="005E0AFE">
      <w:pPr>
        <w:rPr>
          <w:rFonts w:asciiTheme="majorHAnsi" w:hAnsiTheme="majorHAnsi" w:cstheme="majorHAnsi"/>
        </w:rPr>
      </w:pPr>
      <w:r w:rsidRPr="00AE2765">
        <w:rPr>
          <w:rFonts w:asciiTheme="majorHAnsi" w:hAnsiTheme="majorHAnsi" w:cstheme="majorHAnsi"/>
          <w:b/>
          <w:bCs/>
        </w:rPr>
        <w:lastRenderedPageBreak/>
        <w:t>Fig</w:t>
      </w:r>
      <w:r w:rsidR="00AE2765" w:rsidRPr="00AE2765">
        <w:rPr>
          <w:rFonts w:asciiTheme="majorHAnsi" w:hAnsiTheme="majorHAnsi" w:cstheme="majorHAnsi"/>
          <w:b/>
          <w:bCs/>
        </w:rPr>
        <w:t>.</w:t>
      </w:r>
      <w:r w:rsidRPr="00AE2765">
        <w:rPr>
          <w:rFonts w:asciiTheme="majorHAnsi" w:hAnsiTheme="majorHAnsi" w:cstheme="majorHAnsi"/>
          <w:b/>
          <w:bCs/>
        </w:rPr>
        <w:t xml:space="preserve"> 3</w:t>
      </w:r>
      <w:r>
        <w:rPr>
          <w:rFonts w:asciiTheme="majorHAnsi" w:hAnsiTheme="majorHAnsi" w:cstheme="majorHAnsi"/>
        </w:rPr>
        <w:t xml:space="preserve"> rebound plot</w:t>
      </w:r>
      <w:r w:rsidRPr="00F35BFD">
        <w:rPr>
          <w:rFonts w:asciiTheme="majorHAnsi" w:hAnsiTheme="majorHAnsi" w:cstheme="majorHAnsi"/>
        </w:rPr>
        <w:drawing>
          <wp:inline distT="0" distB="0" distL="0" distR="0" wp14:anchorId="46B2A1DC" wp14:editId="54530387">
            <wp:extent cx="5486400" cy="3335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335020"/>
                    </a:xfrm>
                    <a:prstGeom prst="rect">
                      <a:avLst/>
                    </a:prstGeom>
                  </pic:spPr>
                </pic:pic>
              </a:graphicData>
            </a:graphic>
          </wp:inline>
        </w:drawing>
      </w:r>
    </w:p>
    <w:p w14:paraId="201C0E6E" w14:textId="38F478D7" w:rsidR="00AE2765" w:rsidRDefault="009A7CFF" w:rsidP="005E0AFE">
      <w:pPr>
        <w:rPr>
          <w:rFonts w:asciiTheme="majorHAnsi" w:hAnsiTheme="majorHAnsi" w:cstheme="majorHAnsi"/>
        </w:rPr>
      </w:pPr>
      <w:r w:rsidRPr="00441679">
        <w:rPr>
          <w:rFonts w:asciiTheme="majorHAnsi" w:hAnsiTheme="majorHAnsi" w:cstheme="majorHAnsi"/>
        </w:rPr>
        <w:t xml:space="preserve">(B) Corresponding absolute mutant </w:t>
      </w:r>
      <w:proofErr w:type="gramStart"/>
      <w:r w:rsidRPr="00441679">
        <w:rPr>
          <w:rFonts w:asciiTheme="majorHAnsi" w:hAnsiTheme="majorHAnsi" w:cstheme="majorHAnsi"/>
        </w:rPr>
        <w:t>head-count</w:t>
      </w:r>
      <w:proofErr w:type="gramEnd"/>
    </w:p>
    <w:p w14:paraId="70E8214C" w14:textId="5438BF9F" w:rsidR="006773A0" w:rsidRPr="00441679" w:rsidRDefault="00AE2765" w:rsidP="005E0AFE">
      <w:pPr>
        <w:rPr>
          <w:rFonts w:asciiTheme="majorHAnsi" w:hAnsiTheme="majorHAnsi" w:cstheme="majorHAnsi"/>
        </w:rPr>
      </w:pPr>
      <w:r>
        <w:rPr>
          <w:rFonts w:asciiTheme="majorHAnsi" w:hAnsiTheme="majorHAnsi" w:cstheme="majorHAnsi"/>
          <w:noProof/>
        </w:rPr>
        <w:drawing>
          <wp:inline distT="0" distB="0" distL="0" distR="0" wp14:anchorId="3D89B079" wp14:editId="6643DB16">
            <wp:extent cx="4613945" cy="34604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2B_headcount.png"/>
                    <pic:cNvPicPr/>
                  </pic:nvPicPr>
                  <pic:blipFill>
                    <a:blip r:embed="rId11"/>
                    <a:stretch>
                      <a:fillRect/>
                    </a:stretch>
                  </pic:blipFill>
                  <pic:spPr>
                    <a:xfrm>
                      <a:off x="0" y="0"/>
                      <a:ext cx="4616731" cy="3462548"/>
                    </a:xfrm>
                    <a:prstGeom prst="rect">
                      <a:avLst/>
                    </a:prstGeom>
                  </pic:spPr>
                </pic:pic>
              </a:graphicData>
            </a:graphic>
          </wp:inline>
        </w:drawing>
      </w:r>
      <w:r w:rsidR="009A7CFF" w:rsidRPr="00441679">
        <w:rPr>
          <w:rFonts w:asciiTheme="majorHAnsi" w:hAnsiTheme="majorHAnsi" w:cstheme="majorHAnsi"/>
        </w:rPr>
        <w:t>.</w:t>
      </w:r>
    </w:p>
    <w:p w14:paraId="2054B3DC" w14:textId="5981315E" w:rsidR="009A7CFF" w:rsidRPr="00441679" w:rsidRDefault="009A7CFF" w:rsidP="005E0AFE">
      <w:pPr>
        <w:rPr>
          <w:rFonts w:asciiTheme="majorHAnsi" w:hAnsiTheme="majorHAnsi" w:cstheme="majorHAnsi"/>
        </w:rPr>
      </w:pPr>
    </w:p>
    <w:p w14:paraId="647ED78F" w14:textId="0FBB3A46" w:rsidR="005E0AFE" w:rsidRPr="00441679" w:rsidRDefault="005E0AFE">
      <w:pPr>
        <w:rPr>
          <w:rFonts w:asciiTheme="majorHAnsi" w:hAnsiTheme="majorHAnsi" w:cstheme="majorHAnsi"/>
        </w:rPr>
      </w:pPr>
    </w:p>
    <w:sectPr w:rsidR="005E0AFE" w:rsidRPr="004416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32043"/>
    <w:multiLevelType w:val="multilevel"/>
    <w:tmpl w:val="D4B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24840"/>
    <w:multiLevelType w:val="multilevel"/>
    <w:tmpl w:val="183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67"/>
    <w:rsid w:val="00034616"/>
    <w:rsid w:val="00045F10"/>
    <w:rsid w:val="0006063C"/>
    <w:rsid w:val="0015074B"/>
    <w:rsid w:val="0029639D"/>
    <w:rsid w:val="00321876"/>
    <w:rsid w:val="00326F90"/>
    <w:rsid w:val="00441679"/>
    <w:rsid w:val="005E0AFE"/>
    <w:rsid w:val="00612BC2"/>
    <w:rsid w:val="00673FAF"/>
    <w:rsid w:val="006773A0"/>
    <w:rsid w:val="006E6548"/>
    <w:rsid w:val="007219B5"/>
    <w:rsid w:val="00804FA7"/>
    <w:rsid w:val="00975065"/>
    <w:rsid w:val="009A7CFF"/>
    <w:rsid w:val="00A4058E"/>
    <w:rsid w:val="00AA1D8D"/>
    <w:rsid w:val="00AE2765"/>
    <w:rsid w:val="00B47730"/>
    <w:rsid w:val="00CB0664"/>
    <w:rsid w:val="00D65830"/>
    <w:rsid w:val="00EE0AF0"/>
    <w:rsid w:val="00F35BFD"/>
    <w:rsid w:val="00FA6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197F0"/>
  <w14:defaultImageDpi w14:val="300"/>
  <w15:docId w15:val="{481A0205-C126-C642-B87E-AA15BE76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8792045">
      <w:bodyDiv w:val="1"/>
      <w:marLeft w:val="0"/>
      <w:marRight w:val="0"/>
      <w:marTop w:val="0"/>
      <w:marBottom w:val="0"/>
      <w:divBdr>
        <w:top w:val="none" w:sz="0" w:space="0" w:color="auto"/>
        <w:left w:val="none" w:sz="0" w:space="0" w:color="auto"/>
        <w:bottom w:val="none" w:sz="0" w:space="0" w:color="auto"/>
        <w:right w:val="none" w:sz="0" w:space="0" w:color="auto"/>
      </w:divBdr>
    </w:div>
    <w:div w:id="1603295141">
      <w:bodyDiv w:val="1"/>
      <w:marLeft w:val="0"/>
      <w:marRight w:val="0"/>
      <w:marTop w:val="0"/>
      <w:marBottom w:val="0"/>
      <w:divBdr>
        <w:top w:val="none" w:sz="0" w:space="0" w:color="auto"/>
        <w:left w:val="none" w:sz="0" w:space="0" w:color="auto"/>
        <w:bottom w:val="none" w:sz="0" w:space="0" w:color="auto"/>
        <w:right w:val="none" w:sz="0" w:space="0" w:color="auto"/>
      </w:divBdr>
      <w:divsChild>
        <w:div w:id="383717146">
          <w:marLeft w:val="0"/>
          <w:marRight w:val="0"/>
          <w:marTop w:val="0"/>
          <w:marBottom w:val="0"/>
          <w:divBdr>
            <w:top w:val="none" w:sz="0" w:space="0" w:color="auto"/>
            <w:left w:val="none" w:sz="0" w:space="0" w:color="auto"/>
            <w:bottom w:val="none" w:sz="0" w:space="0" w:color="auto"/>
            <w:right w:val="none" w:sz="0" w:space="0" w:color="auto"/>
          </w:divBdr>
          <w:divsChild>
            <w:div w:id="489833884">
              <w:marLeft w:val="0"/>
              <w:marRight w:val="0"/>
              <w:marTop w:val="0"/>
              <w:marBottom w:val="0"/>
              <w:divBdr>
                <w:top w:val="none" w:sz="0" w:space="0" w:color="auto"/>
                <w:left w:val="none" w:sz="0" w:space="0" w:color="auto"/>
                <w:bottom w:val="none" w:sz="0" w:space="0" w:color="auto"/>
                <w:right w:val="none" w:sz="0" w:space="0" w:color="auto"/>
              </w:divBdr>
              <w:divsChild>
                <w:div w:id="466356092">
                  <w:marLeft w:val="0"/>
                  <w:marRight w:val="0"/>
                  <w:marTop w:val="0"/>
                  <w:marBottom w:val="0"/>
                  <w:divBdr>
                    <w:top w:val="none" w:sz="0" w:space="0" w:color="auto"/>
                    <w:left w:val="none" w:sz="0" w:space="0" w:color="auto"/>
                    <w:bottom w:val="none" w:sz="0" w:space="0" w:color="auto"/>
                    <w:right w:val="none" w:sz="0" w:space="0" w:color="auto"/>
                  </w:divBdr>
                  <w:divsChild>
                    <w:div w:id="1889684944">
                      <w:marLeft w:val="0"/>
                      <w:marRight w:val="0"/>
                      <w:marTop w:val="0"/>
                      <w:marBottom w:val="0"/>
                      <w:divBdr>
                        <w:top w:val="none" w:sz="0" w:space="0" w:color="auto"/>
                        <w:left w:val="none" w:sz="0" w:space="0" w:color="auto"/>
                        <w:bottom w:val="none" w:sz="0" w:space="0" w:color="auto"/>
                        <w:right w:val="none" w:sz="0" w:space="0" w:color="auto"/>
                      </w:divBdr>
                    </w:div>
                    <w:div w:id="1192303354">
                      <w:marLeft w:val="0"/>
                      <w:marRight w:val="0"/>
                      <w:marTop w:val="0"/>
                      <w:marBottom w:val="0"/>
                      <w:divBdr>
                        <w:top w:val="none" w:sz="0" w:space="0" w:color="auto"/>
                        <w:left w:val="none" w:sz="0" w:space="0" w:color="auto"/>
                        <w:bottom w:val="none" w:sz="0" w:space="0" w:color="auto"/>
                        <w:right w:val="none" w:sz="0" w:space="0" w:color="auto"/>
                      </w:divBdr>
                    </w:div>
                    <w:div w:id="116654251">
                      <w:marLeft w:val="0"/>
                      <w:marRight w:val="0"/>
                      <w:marTop w:val="0"/>
                      <w:marBottom w:val="0"/>
                      <w:divBdr>
                        <w:top w:val="none" w:sz="0" w:space="0" w:color="auto"/>
                        <w:left w:val="none" w:sz="0" w:space="0" w:color="auto"/>
                        <w:bottom w:val="none" w:sz="0" w:space="0" w:color="auto"/>
                        <w:right w:val="none" w:sz="0" w:space="0" w:color="auto"/>
                      </w:divBdr>
                    </w:div>
                    <w:div w:id="541597872">
                      <w:marLeft w:val="0"/>
                      <w:marRight w:val="0"/>
                      <w:marTop w:val="0"/>
                      <w:marBottom w:val="0"/>
                      <w:divBdr>
                        <w:top w:val="none" w:sz="0" w:space="0" w:color="auto"/>
                        <w:left w:val="none" w:sz="0" w:space="0" w:color="auto"/>
                        <w:bottom w:val="none" w:sz="0" w:space="0" w:color="auto"/>
                        <w:right w:val="none" w:sz="0" w:space="0" w:color="auto"/>
                      </w:divBdr>
                    </w:div>
                    <w:div w:id="535313558">
                      <w:marLeft w:val="0"/>
                      <w:marRight w:val="0"/>
                      <w:marTop w:val="0"/>
                      <w:marBottom w:val="0"/>
                      <w:divBdr>
                        <w:top w:val="none" w:sz="0" w:space="0" w:color="auto"/>
                        <w:left w:val="none" w:sz="0" w:space="0" w:color="auto"/>
                        <w:bottom w:val="none" w:sz="0" w:space="0" w:color="auto"/>
                        <w:right w:val="none" w:sz="0" w:space="0" w:color="auto"/>
                      </w:divBdr>
                    </w:div>
                    <w:div w:id="1936329427">
                      <w:marLeft w:val="0"/>
                      <w:marRight w:val="0"/>
                      <w:marTop w:val="0"/>
                      <w:marBottom w:val="0"/>
                      <w:divBdr>
                        <w:top w:val="none" w:sz="0" w:space="0" w:color="auto"/>
                        <w:left w:val="none" w:sz="0" w:space="0" w:color="auto"/>
                        <w:bottom w:val="none" w:sz="0" w:space="0" w:color="auto"/>
                        <w:right w:val="none" w:sz="0" w:space="0" w:color="auto"/>
                      </w:divBdr>
                    </w:div>
                    <w:div w:id="1110971271">
                      <w:marLeft w:val="0"/>
                      <w:marRight w:val="0"/>
                      <w:marTop w:val="0"/>
                      <w:marBottom w:val="0"/>
                      <w:divBdr>
                        <w:top w:val="none" w:sz="0" w:space="0" w:color="auto"/>
                        <w:left w:val="none" w:sz="0" w:space="0" w:color="auto"/>
                        <w:bottom w:val="none" w:sz="0" w:space="0" w:color="auto"/>
                        <w:right w:val="none" w:sz="0" w:space="0" w:color="auto"/>
                      </w:divBdr>
                    </w:div>
                    <w:div w:id="915937310">
                      <w:marLeft w:val="0"/>
                      <w:marRight w:val="0"/>
                      <w:marTop w:val="0"/>
                      <w:marBottom w:val="0"/>
                      <w:divBdr>
                        <w:top w:val="none" w:sz="0" w:space="0" w:color="auto"/>
                        <w:left w:val="none" w:sz="0" w:space="0" w:color="auto"/>
                        <w:bottom w:val="none" w:sz="0" w:space="0" w:color="auto"/>
                        <w:right w:val="none" w:sz="0" w:space="0" w:color="auto"/>
                      </w:divBdr>
                    </w:div>
                    <w:div w:id="954096331">
                      <w:marLeft w:val="0"/>
                      <w:marRight w:val="0"/>
                      <w:marTop w:val="0"/>
                      <w:marBottom w:val="0"/>
                      <w:divBdr>
                        <w:top w:val="none" w:sz="0" w:space="0" w:color="auto"/>
                        <w:left w:val="none" w:sz="0" w:space="0" w:color="auto"/>
                        <w:bottom w:val="none" w:sz="0" w:space="0" w:color="auto"/>
                        <w:right w:val="none" w:sz="0" w:space="0" w:color="auto"/>
                      </w:divBdr>
                    </w:div>
                    <w:div w:id="1049305389">
                      <w:marLeft w:val="0"/>
                      <w:marRight w:val="0"/>
                      <w:marTop w:val="0"/>
                      <w:marBottom w:val="0"/>
                      <w:divBdr>
                        <w:top w:val="none" w:sz="0" w:space="0" w:color="auto"/>
                        <w:left w:val="none" w:sz="0" w:space="0" w:color="auto"/>
                        <w:bottom w:val="none" w:sz="0" w:space="0" w:color="auto"/>
                        <w:right w:val="none" w:sz="0" w:space="0" w:color="auto"/>
                      </w:divBdr>
                    </w:div>
                    <w:div w:id="1424298828">
                      <w:marLeft w:val="0"/>
                      <w:marRight w:val="0"/>
                      <w:marTop w:val="0"/>
                      <w:marBottom w:val="0"/>
                      <w:divBdr>
                        <w:top w:val="none" w:sz="0" w:space="0" w:color="auto"/>
                        <w:left w:val="none" w:sz="0" w:space="0" w:color="auto"/>
                        <w:bottom w:val="none" w:sz="0" w:space="0" w:color="auto"/>
                        <w:right w:val="none" w:sz="0" w:space="0" w:color="auto"/>
                      </w:divBdr>
                    </w:div>
                    <w:div w:id="1412042364">
                      <w:marLeft w:val="0"/>
                      <w:marRight w:val="0"/>
                      <w:marTop w:val="0"/>
                      <w:marBottom w:val="0"/>
                      <w:divBdr>
                        <w:top w:val="none" w:sz="0" w:space="0" w:color="auto"/>
                        <w:left w:val="none" w:sz="0" w:space="0" w:color="auto"/>
                        <w:bottom w:val="none" w:sz="0" w:space="0" w:color="auto"/>
                        <w:right w:val="none" w:sz="0" w:space="0" w:color="auto"/>
                      </w:divBdr>
                    </w:div>
                    <w:div w:id="833909553">
                      <w:marLeft w:val="0"/>
                      <w:marRight w:val="0"/>
                      <w:marTop w:val="0"/>
                      <w:marBottom w:val="0"/>
                      <w:divBdr>
                        <w:top w:val="none" w:sz="0" w:space="0" w:color="auto"/>
                        <w:left w:val="none" w:sz="0" w:space="0" w:color="auto"/>
                        <w:bottom w:val="none" w:sz="0" w:space="0" w:color="auto"/>
                        <w:right w:val="none" w:sz="0" w:space="0" w:color="auto"/>
                      </w:divBdr>
                    </w:div>
                    <w:div w:id="1444038368">
                      <w:marLeft w:val="0"/>
                      <w:marRight w:val="0"/>
                      <w:marTop w:val="0"/>
                      <w:marBottom w:val="0"/>
                      <w:divBdr>
                        <w:top w:val="none" w:sz="0" w:space="0" w:color="auto"/>
                        <w:left w:val="none" w:sz="0" w:space="0" w:color="auto"/>
                        <w:bottom w:val="none" w:sz="0" w:space="0" w:color="auto"/>
                        <w:right w:val="none" w:sz="0" w:space="0" w:color="auto"/>
                      </w:divBdr>
                    </w:div>
                    <w:div w:id="189610884">
                      <w:marLeft w:val="0"/>
                      <w:marRight w:val="0"/>
                      <w:marTop w:val="0"/>
                      <w:marBottom w:val="0"/>
                      <w:divBdr>
                        <w:top w:val="none" w:sz="0" w:space="0" w:color="auto"/>
                        <w:left w:val="none" w:sz="0" w:space="0" w:color="auto"/>
                        <w:bottom w:val="none" w:sz="0" w:space="0" w:color="auto"/>
                        <w:right w:val="none" w:sz="0" w:space="0" w:color="auto"/>
                      </w:divBdr>
                    </w:div>
                    <w:div w:id="1365981033">
                      <w:marLeft w:val="0"/>
                      <w:marRight w:val="0"/>
                      <w:marTop w:val="0"/>
                      <w:marBottom w:val="0"/>
                      <w:divBdr>
                        <w:top w:val="none" w:sz="0" w:space="0" w:color="auto"/>
                        <w:left w:val="none" w:sz="0" w:space="0" w:color="auto"/>
                        <w:bottom w:val="none" w:sz="0" w:space="0" w:color="auto"/>
                        <w:right w:val="none" w:sz="0" w:space="0" w:color="auto"/>
                      </w:divBdr>
                    </w:div>
                    <w:div w:id="1318219916">
                      <w:marLeft w:val="0"/>
                      <w:marRight w:val="0"/>
                      <w:marTop w:val="0"/>
                      <w:marBottom w:val="0"/>
                      <w:divBdr>
                        <w:top w:val="none" w:sz="0" w:space="0" w:color="auto"/>
                        <w:left w:val="none" w:sz="0" w:space="0" w:color="auto"/>
                        <w:bottom w:val="none" w:sz="0" w:space="0" w:color="auto"/>
                        <w:right w:val="none" w:sz="0" w:space="0" w:color="auto"/>
                      </w:divBdr>
                    </w:div>
                    <w:div w:id="1714191739">
                      <w:marLeft w:val="0"/>
                      <w:marRight w:val="0"/>
                      <w:marTop w:val="0"/>
                      <w:marBottom w:val="0"/>
                      <w:divBdr>
                        <w:top w:val="none" w:sz="0" w:space="0" w:color="auto"/>
                        <w:left w:val="none" w:sz="0" w:space="0" w:color="auto"/>
                        <w:bottom w:val="none" w:sz="0" w:space="0" w:color="auto"/>
                        <w:right w:val="none" w:sz="0" w:space="0" w:color="auto"/>
                      </w:divBdr>
                    </w:div>
                    <w:div w:id="114444131">
                      <w:marLeft w:val="0"/>
                      <w:marRight w:val="0"/>
                      <w:marTop w:val="0"/>
                      <w:marBottom w:val="0"/>
                      <w:divBdr>
                        <w:top w:val="none" w:sz="0" w:space="0" w:color="auto"/>
                        <w:left w:val="none" w:sz="0" w:space="0" w:color="auto"/>
                        <w:bottom w:val="none" w:sz="0" w:space="0" w:color="auto"/>
                        <w:right w:val="none" w:sz="0" w:space="0" w:color="auto"/>
                      </w:divBdr>
                    </w:div>
                    <w:div w:id="1263298371">
                      <w:marLeft w:val="0"/>
                      <w:marRight w:val="0"/>
                      <w:marTop w:val="0"/>
                      <w:marBottom w:val="0"/>
                      <w:divBdr>
                        <w:top w:val="none" w:sz="0" w:space="0" w:color="auto"/>
                        <w:left w:val="none" w:sz="0" w:space="0" w:color="auto"/>
                        <w:bottom w:val="none" w:sz="0" w:space="0" w:color="auto"/>
                        <w:right w:val="none" w:sz="0" w:space="0" w:color="auto"/>
                      </w:divBdr>
                    </w:div>
                    <w:div w:id="450325798">
                      <w:marLeft w:val="0"/>
                      <w:marRight w:val="0"/>
                      <w:marTop w:val="0"/>
                      <w:marBottom w:val="0"/>
                      <w:divBdr>
                        <w:top w:val="none" w:sz="0" w:space="0" w:color="auto"/>
                        <w:left w:val="none" w:sz="0" w:space="0" w:color="auto"/>
                        <w:bottom w:val="none" w:sz="0" w:space="0" w:color="auto"/>
                        <w:right w:val="none" w:sz="0" w:space="0" w:color="auto"/>
                      </w:divBdr>
                    </w:div>
                    <w:div w:id="1806042373">
                      <w:marLeft w:val="0"/>
                      <w:marRight w:val="0"/>
                      <w:marTop w:val="0"/>
                      <w:marBottom w:val="0"/>
                      <w:divBdr>
                        <w:top w:val="none" w:sz="0" w:space="0" w:color="auto"/>
                        <w:left w:val="none" w:sz="0" w:space="0" w:color="auto"/>
                        <w:bottom w:val="none" w:sz="0" w:space="0" w:color="auto"/>
                        <w:right w:val="none" w:sz="0" w:space="0" w:color="auto"/>
                      </w:divBdr>
                    </w:div>
                    <w:div w:id="1054935344">
                      <w:marLeft w:val="0"/>
                      <w:marRight w:val="0"/>
                      <w:marTop w:val="0"/>
                      <w:marBottom w:val="0"/>
                      <w:divBdr>
                        <w:top w:val="none" w:sz="0" w:space="0" w:color="auto"/>
                        <w:left w:val="none" w:sz="0" w:space="0" w:color="auto"/>
                        <w:bottom w:val="none" w:sz="0" w:space="0" w:color="auto"/>
                        <w:right w:val="none" w:sz="0" w:space="0" w:color="auto"/>
                      </w:divBdr>
                    </w:div>
                    <w:div w:id="2085249972">
                      <w:marLeft w:val="0"/>
                      <w:marRight w:val="0"/>
                      <w:marTop w:val="0"/>
                      <w:marBottom w:val="0"/>
                      <w:divBdr>
                        <w:top w:val="none" w:sz="0" w:space="0" w:color="auto"/>
                        <w:left w:val="none" w:sz="0" w:space="0" w:color="auto"/>
                        <w:bottom w:val="none" w:sz="0" w:space="0" w:color="auto"/>
                        <w:right w:val="none" w:sz="0" w:space="0" w:color="auto"/>
                      </w:divBdr>
                    </w:div>
                    <w:div w:id="201745524">
                      <w:marLeft w:val="0"/>
                      <w:marRight w:val="0"/>
                      <w:marTop w:val="0"/>
                      <w:marBottom w:val="0"/>
                      <w:divBdr>
                        <w:top w:val="none" w:sz="0" w:space="0" w:color="auto"/>
                        <w:left w:val="none" w:sz="0" w:space="0" w:color="auto"/>
                        <w:bottom w:val="none" w:sz="0" w:space="0" w:color="auto"/>
                        <w:right w:val="none" w:sz="0" w:space="0" w:color="auto"/>
                      </w:divBdr>
                    </w:div>
                    <w:div w:id="1275015560">
                      <w:marLeft w:val="0"/>
                      <w:marRight w:val="0"/>
                      <w:marTop w:val="0"/>
                      <w:marBottom w:val="0"/>
                      <w:divBdr>
                        <w:top w:val="none" w:sz="0" w:space="0" w:color="auto"/>
                        <w:left w:val="none" w:sz="0" w:space="0" w:color="auto"/>
                        <w:bottom w:val="none" w:sz="0" w:space="0" w:color="auto"/>
                        <w:right w:val="none" w:sz="0" w:space="0" w:color="auto"/>
                      </w:divBdr>
                    </w:div>
                    <w:div w:id="1366831619">
                      <w:marLeft w:val="0"/>
                      <w:marRight w:val="0"/>
                      <w:marTop w:val="0"/>
                      <w:marBottom w:val="0"/>
                      <w:divBdr>
                        <w:top w:val="none" w:sz="0" w:space="0" w:color="auto"/>
                        <w:left w:val="none" w:sz="0" w:space="0" w:color="auto"/>
                        <w:bottom w:val="none" w:sz="0" w:space="0" w:color="auto"/>
                        <w:right w:val="none" w:sz="0" w:space="0" w:color="auto"/>
                      </w:divBdr>
                    </w:div>
                    <w:div w:id="920916668">
                      <w:marLeft w:val="0"/>
                      <w:marRight w:val="0"/>
                      <w:marTop w:val="0"/>
                      <w:marBottom w:val="0"/>
                      <w:divBdr>
                        <w:top w:val="none" w:sz="0" w:space="0" w:color="auto"/>
                        <w:left w:val="none" w:sz="0" w:space="0" w:color="auto"/>
                        <w:bottom w:val="none" w:sz="0" w:space="0" w:color="auto"/>
                        <w:right w:val="none" w:sz="0" w:space="0" w:color="auto"/>
                      </w:divBdr>
                    </w:div>
                    <w:div w:id="954941053">
                      <w:marLeft w:val="0"/>
                      <w:marRight w:val="0"/>
                      <w:marTop w:val="0"/>
                      <w:marBottom w:val="0"/>
                      <w:divBdr>
                        <w:top w:val="none" w:sz="0" w:space="0" w:color="auto"/>
                        <w:left w:val="none" w:sz="0" w:space="0" w:color="auto"/>
                        <w:bottom w:val="none" w:sz="0" w:space="0" w:color="auto"/>
                        <w:right w:val="none" w:sz="0" w:space="0" w:color="auto"/>
                      </w:divBdr>
                    </w:div>
                    <w:div w:id="1766612003">
                      <w:marLeft w:val="0"/>
                      <w:marRight w:val="0"/>
                      <w:marTop w:val="0"/>
                      <w:marBottom w:val="0"/>
                      <w:divBdr>
                        <w:top w:val="none" w:sz="0" w:space="0" w:color="auto"/>
                        <w:left w:val="none" w:sz="0" w:space="0" w:color="auto"/>
                        <w:bottom w:val="none" w:sz="0" w:space="0" w:color="auto"/>
                        <w:right w:val="none" w:sz="0" w:space="0" w:color="auto"/>
                      </w:divBdr>
                    </w:div>
                    <w:div w:id="1460876809">
                      <w:marLeft w:val="0"/>
                      <w:marRight w:val="0"/>
                      <w:marTop w:val="0"/>
                      <w:marBottom w:val="0"/>
                      <w:divBdr>
                        <w:top w:val="none" w:sz="0" w:space="0" w:color="auto"/>
                        <w:left w:val="none" w:sz="0" w:space="0" w:color="auto"/>
                        <w:bottom w:val="none" w:sz="0" w:space="0" w:color="auto"/>
                        <w:right w:val="none" w:sz="0" w:space="0" w:color="auto"/>
                      </w:divBdr>
                    </w:div>
                    <w:div w:id="126708066">
                      <w:marLeft w:val="0"/>
                      <w:marRight w:val="0"/>
                      <w:marTop w:val="0"/>
                      <w:marBottom w:val="0"/>
                      <w:divBdr>
                        <w:top w:val="none" w:sz="0" w:space="0" w:color="auto"/>
                        <w:left w:val="none" w:sz="0" w:space="0" w:color="auto"/>
                        <w:bottom w:val="none" w:sz="0" w:space="0" w:color="auto"/>
                        <w:right w:val="none" w:sz="0" w:space="0" w:color="auto"/>
                      </w:divBdr>
                    </w:div>
                    <w:div w:id="1968001007">
                      <w:marLeft w:val="0"/>
                      <w:marRight w:val="0"/>
                      <w:marTop w:val="0"/>
                      <w:marBottom w:val="0"/>
                      <w:divBdr>
                        <w:top w:val="none" w:sz="0" w:space="0" w:color="auto"/>
                        <w:left w:val="none" w:sz="0" w:space="0" w:color="auto"/>
                        <w:bottom w:val="none" w:sz="0" w:space="0" w:color="auto"/>
                        <w:right w:val="none" w:sz="0" w:space="0" w:color="auto"/>
                      </w:divBdr>
                    </w:div>
                    <w:div w:id="638999003">
                      <w:marLeft w:val="0"/>
                      <w:marRight w:val="0"/>
                      <w:marTop w:val="0"/>
                      <w:marBottom w:val="0"/>
                      <w:divBdr>
                        <w:top w:val="none" w:sz="0" w:space="0" w:color="auto"/>
                        <w:left w:val="none" w:sz="0" w:space="0" w:color="auto"/>
                        <w:bottom w:val="none" w:sz="0" w:space="0" w:color="auto"/>
                        <w:right w:val="none" w:sz="0" w:space="0" w:color="auto"/>
                      </w:divBdr>
                    </w:div>
                    <w:div w:id="952247903">
                      <w:marLeft w:val="0"/>
                      <w:marRight w:val="0"/>
                      <w:marTop w:val="0"/>
                      <w:marBottom w:val="0"/>
                      <w:divBdr>
                        <w:top w:val="none" w:sz="0" w:space="0" w:color="auto"/>
                        <w:left w:val="none" w:sz="0" w:space="0" w:color="auto"/>
                        <w:bottom w:val="none" w:sz="0" w:space="0" w:color="auto"/>
                        <w:right w:val="none" w:sz="0" w:space="0" w:color="auto"/>
                      </w:divBdr>
                    </w:div>
                    <w:div w:id="624119969">
                      <w:marLeft w:val="0"/>
                      <w:marRight w:val="0"/>
                      <w:marTop w:val="0"/>
                      <w:marBottom w:val="0"/>
                      <w:divBdr>
                        <w:top w:val="none" w:sz="0" w:space="0" w:color="auto"/>
                        <w:left w:val="none" w:sz="0" w:space="0" w:color="auto"/>
                        <w:bottom w:val="none" w:sz="0" w:space="0" w:color="auto"/>
                        <w:right w:val="none" w:sz="0" w:space="0" w:color="auto"/>
                      </w:divBdr>
                    </w:div>
                    <w:div w:id="1388534804">
                      <w:marLeft w:val="0"/>
                      <w:marRight w:val="0"/>
                      <w:marTop w:val="0"/>
                      <w:marBottom w:val="0"/>
                      <w:divBdr>
                        <w:top w:val="none" w:sz="0" w:space="0" w:color="auto"/>
                        <w:left w:val="none" w:sz="0" w:space="0" w:color="auto"/>
                        <w:bottom w:val="none" w:sz="0" w:space="0" w:color="auto"/>
                        <w:right w:val="none" w:sz="0" w:space="0" w:color="auto"/>
                      </w:divBdr>
                    </w:div>
                    <w:div w:id="556204265">
                      <w:marLeft w:val="0"/>
                      <w:marRight w:val="0"/>
                      <w:marTop w:val="0"/>
                      <w:marBottom w:val="0"/>
                      <w:divBdr>
                        <w:top w:val="none" w:sz="0" w:space="0" w:color="auto"/>
                        <w:left w:val="none" w:sz="0" w:space="0" w:color="auto"/>
                        <w:bottom w:val="none" w:sz="0" w:space="0" w:color="auto"/>
                        <w:right w:val="none" w:sz="0" w:space="0" w:color="auto"/>
                      </w:divBdr>
                    </w:div>
                    <w:div w:id="1775859516">
                      <w:marLeft w:val="0"/>
                      <w:marRight w:val="0"/>
                      <w:marTop w:val="0"/>
                      <w:marBottom w:val="0"/>
                      <w:divBdr>
                        <w:top w:val="none" w:sz="0" w:space="0" w:color="auto"/>
                        <w:left w:val="none" w:sz="0" w:space="0" w:color="auto"/>
                        <w:bottom w:val="none" w:sz="0" w:space="0" w:color="auto"/>
                        <w:right w:val="none" w:sz="0" w:space="0" w:color="auto"/>
                      </w:divBdr>
                    </w:div>
                    <w:div w:id="18687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E5221-A3B9-A54D-B75D-E5DBF7F20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Schuler, Zoe Pascale (STUDENTS)</cp:lastModifiedBy>
  <cp:revision>5</cp:revision>
  <dcterms:created xsi:type="dcterms:W3CDTF">2025-11-07T16:49:00Z</dcterms:created>
  <dcterms:modified xsi:type="dcterms:W3CDTF">2025-11-07T17:19:00Z</dcterms:modified>
  <cp:category/>
</cp:coreProperties>
</file>