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8FD2C4" w14:textId="21338AC7" w:rsidR="007F61FB" w:rsidRDefault="007A1135">
      <w:r w:rsidRPr="007A1135">
        <w:rPr>
          <w:rFonts w:hint="eastAsia"/>
        </w:rPr>
        <w:t>Global Entrepreneurship and Innovation</w:t>
      </w:r>
      <w:r>
        <w:rPr>
          <w:rFonts w:hint="eastAsia"/>
        </w:rPr>
        <w:t xml:space="preserve"> learning diary from [student ID]</w:t>
      </w:r>
    </w:p>
    <w:p w14:paraId="24F07855" w14:textId="77777777" w:rsidR="007A1135" w:rsidRDefault="007A1135"/>
    <w:p w14:paraId="3A634471"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color w:val="1A1D23"/>
        </w:rPr>
      </w:pPr>
      <w:r>
        <w:rPr>
          <w:rStyle w:val="af"/>
          <w:rFonts w:ascii="Hiragino Sans GB" w:eastAsia="Hiragino Sans GB" w:hAnsi="Hiragino Sans GB" w:hint="eastAsia"/>
          <w:color w:val="1A1D23"/>
        </w:rPr>
        <w:t>1. Venture Overview</w:t>
      </w:r>
    </w:p>
    <w:p w14:paraId="0D457075"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hint="eastAsia"/>
          <w:color w:val="1A1D23"/>
        </w:rPr>
      </w:pPr>
      <w:r>
        <w:rPr>
          <w:rFonts w:ascii="Hiragino Sans GB" w:eastAsia="Hiragino Sans GB" w:hAnsi="Hiragino Sans GB" w:hint="eastAsia"/>
          <w:color w:val="1A1D23"/>
        </w:rPr>
        <w:t xml:space="preserve">SELCO India is a for-profit social enterprise founded by Harish Hande in Bangalore in 1995 (Ramon Magsaysay Award Foundation, 2011), and Hande is an Ashoka Fellow (Ashoka, n.d.). In 2011, nearly half of Indian households had no electricity, and many poor rural families relied on kerosene lamps and candles. It was widely believed that the poor could neither afford nor maintain modern technology (Ramon Magsaysay Award Foundation, 2011). In 1994, before founding SELCO, Hande visited villages without electricity to understand what people really needed (Goyal, Sergi and Kapoor, 2017, p. 100). SELCO provides small, </w:t>
      </w:r>
      <w:proofErr w:type="spellStart"/>
      <w:r>
        <w:rPr>
          <w:rFonts w:ascii="Hiragino Sans GB" w:eastAsia="Hiragino Sans GB" w:hAnsi="Hiragino Sans GB" w:hint="eastAsia"/>
          <w:color w:val="1A1D23"/>
        </w:rPr>
        <w:t>decentralised</w:t>
      </w:r>
      <w:proofErr w:type="spellEnd"/>
      <w:r>
        <w:rPr>
          <w:rFonts w:ascii="Hiragino Sans GB" w:eastAsia="Hiragino Sans GB" w:hAnsi="Hiragino Sans GB" w:hint="eastAsia"/>
          <w:color w:val="1A1D23"/>
        </w:rPr>
        <w:t xml:space="preserve"> solar systems, such as lights, water heaters and equipment that supports livelihoods. Each system is tailored to the household, and SELCO installs and repairs it (Ramon Magsaysay Award Foundation, 2011). To make the systems affordable, SELCO persuaded rural banks to offer small loans with instalments matched to customers' income and cash flow (Goyal, Sergi and Kapoor, 2017, p. 105). Its main partners are rural banks, microfinance institutions, self-help groups and NGOs (Ramon Magsaysay Award Foundation, 2011). By 2015, SELCO had </w:t>
      </w:r>
      <w:r>
        <w:rPr>
          <w:rFonts w:ascii="Hiragino Sans GB" w:eastAsia="Hiragino Sans GB" w:hAnsi="Hiragino Sans GB" w:hint="eastAsia"/>
          <w:color w:val="1A1D23"/>
        </w:rPr>
        <w:lastRenderedPageBreak/>
        <w:t>installed more than 200,000 home solar lighting systems, reaching over one million people (Goyal, Sergi and Kapoor, 2017, p. 101).</w:t>
      </w:r>
    </w:p>
    <w:p w14:paraId="791BD476"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color w:val="1A1D23"/>
        </w:rPr>
      </w:pPr>
      <w:r>
        <w:rPr>
          <w:rStyle w:val="af"/>
          <w:rFonts w:ascii="Hiragino Sans GB" w:eastAsia="Hiragino Sans GB" w:hAnsi="Hiragino Sans GB" w:hint="eastAsia"/>
          <w:color w:val="1A1D23"/>
        </w:rPr>
        <w:t>2. Entrepreneurial Classification</w:t>
      </w:r>
    </w:p>
    <w:p w14:paraId="3BB29EB1"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hint="eastAsia"/>
          <w:color w:val="1A1D23"/>
        </w:rPr>
      </w:pPr>
      <w:r>
        <w:rPr>
          <w:rFonts w:ascii="Hiragino Sans GB" w:eastAsia="Hiragino Sans GB" w:hAnsi="Hiragino Sans GB" w:hint="eastAsia"/>
          <w:color w:val="1A1D23"/>
        </w:rPr>
        <w:t>SELCO is best classified as social entrepreneurship, because its primary goal is to improve the quality of life of poor households. In social entrepreneurship, social improvement takes priority over profit (Dees, 2001). SELCO treats the rural poor "as customers rather than treating them as beneficiaries" and limits itself to single-digit profit margins (Goyal, Sergi and Kapoor, 2017, p. 101). It does not depend on donations, because customers pay for its products and services.</w:t>
      </w:r>
    </w:p>
    <w:p w14:paraId="4E7EAE76"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hint="eastAsia"/>
          <w:color w:val="1A1D23"/>
        </w:rPr>
      </w:pPr>
      <w:r>
        <w:rPr>
          <w:rFonts w:ascii="Hiragino Sans GB" w:eastAsia="Hiragino Sans GB" w:hAnsi="Hiragino Sans GB" w:hint="eastAsia"/>
          <w:color w:val="1A1D23"/>
        </w:rPr>
        <w:t xml:space="preserve">It is not </w:t>
      </w:r>
      <w:proofErr w:type="spellStart"/>
      <w:r>
        <w:rPr>
          <w:rFonts w:ascii="Hiragino Sans GB" w:eastAsia="Hiragino Sans GB" w:hAnsi="Hiragino Sans GB" w:hint="eastAsia"/>
          <w:color w:val="1A1D23"/>
        </w:rPr>
        <w:t>ecopreneurship</w:t>
      </w:r>
      <w:proofErr w:type="spellEnd"/>
      <w:r>
        <w:rPr>
          <w:rFonts w:ascii="Hiragino Sans GB" w:eastAsia="Hiragino Sans GB" w:hAnsi="Hiragino Sans GB" w:hint="eastAsia"/>
          <w:color w:val="1A1D23"/>
        </w:rPr>
        <w:t xml:space="preserve">. Although solar energy is environmentally friendly, SELCO's mission is "enhancing the quality of life for underserved households through sustainable energy solutions and services" (Goyal, Sergi and Kapoor, 2017, p. 100): quality of life is the </w:t>
      </w:r>
      <w:proofErr w:type="gramStart"/>
      <w:r>
        <w:rPr>
          <w:rFonts w:ascii="Hiragino Sans GB" w:eastAsia="Hiragino Sans GB" w:hAnsi="Hiragino Sans GB" w:hint="eastAsia"/>
          <w:color w:val="1A1D23"/>
        </w:rPr>
        <w:t>goal</w:t>
      </w:r>
      <w:proofErr w:type="gramEnd"/>
      <w:r>
        <w:rPr>
          <w:rFonts w:ascii="Hiragino Sans GB" w:eastAsia="Hiragino Sans GB" w:hAnsi="Hiragino Sans GB" w:hint="eastAsia"/>
          <w:color w:val="1A1D23"/>
        </w:rPr>
        <w:t xml:space="preserve"> and solar energy is the means.</w:t>
      </w:r>
    </w:p>
    <w:p w14:paraId="6CF7CD9D"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hint="eastAsia"/>
          <w:color w:val="1A1D23"/>
        </w:rPr>
      </w:pPr>
      <w:r>
        <w:rPr>
          <w:rFonts w:ascii="Hiragino Sans GB" w:eastAsia="Hiragino Sans GB" w:hAnsi="Hiragino Sans GB" w:hint="eastAsia"/>
          <w:color w:val="1A1D23"/>
        </w:rPr>
        <w:t xml:space="preserve">It is not intrapreneurship, which takes place within an existing </w:t>
      </w:r>
      <w:proofErr w:type="spellStart"/>
      <w:r>
        <w:rPr>
          <w:rFonts w:ascii="Hiragino Sans GB" w:eastAsia="Hiragino Sans GB" w:hAnsi="Hiragino Sans GB" w:hint="eastAsia"/>
          <w:color w:val="1A1D23"/>
        </w:rPr>
        <w:t>organisation</w:t>
      </w:r>
      <w:proofErr w:type="spellEnd"/>
      <w:r>
        <w:rPr>
          <w:rFonts w:ascii="Hiragino Sans GB" w:eastAsia="Hiragino Sans GB" w:hAnsi="Hiragino Sans GB" w:hint="eastAsia"/>
          <w:color w:val="1A1D23"/>
        </w:rPr>
        <w:t xml:space="preserve"> (</w:t>
      </w:r>
      <w:proofErr w:type="spellStart"/>
      <w:r>
        <w:rPr>
          <w:rFonts w:ascii="Hiragino Sans GB" w:eastAsia="Hiragino Sans GB" w:hAnsi="Hiragino Sans GB" w:hint="eastAsia"/>
          <w:color w:val="1A1D23"/>
        </w:rPr>
        <w:t>Antoncic</w:t>
      </w:r>
      <w:proofErr w:type="spellEnd"/>
      <w:r>
        <w:rPr>
          <w:rFonts w:ascii="Hiragino Sans GB" w:eastAsia="Hiragino Sans GB" w:hAnsi="Hiragino Sans GB" w:hint="eastAsia"/>
          <w:color w:val="1A1D23"/>
        </w:rPr>
        <w:t xml:space="preserve"> and Hisrich, 2003), because Hande founded SELCO as a new, independent company in 1995.</w:t>
      </w:r>
    </w:p>
    <w:p w14:paraId="7997FDB0"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hint="eastAsia"/>
          <w:color w:val="1A1D23"/>
        </w:rPr>
      </w:pPr>
      <w:r>
        <w:rPr>
          <w:rFonts w:ascii="Hiragino Sans GB" w:eastAsia="Hiragino Sans GB" w:hAnsi="Hiragino Sans GB" w:hint="eastAsia"/>
          <w:color w:val="1A1D23"/>
        </w:rPr>
        <w:t xml:space="preserve">It is not international entrepreneurship, which involves discovering and exploiting opportunities across national borders (Oviatt and McDougall, 2005). SELCO India operates mainly in India; its model </w:t>
      </w:r>
      <w:r>
        <w:rPr>
          <w:rFonts w:ascii="Hiragino Sans GB" w:eastAsia="Hiragino Sans GB" w:hAnsi="Hiragino Sans GB" w:hint="eastAsia"/>
          <w:color w:val="1A1D23"/>
        </w:rPr>
        <w:lastRenderedPageBreak/>
        <w:t>has been replicated in Africa and Southeast Asia by a separate non-profit, SELCO Foundation, through knowledge sharing and local partners (Skoll Foundation, n.d.).</w:t>
      </w:r>
    </w:p>
    <w:p w14:paraId="56EC3A4E"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hint="eastAsia"/>
          <w:color w:val="1A1D23"/>
        </w:rPr>
      </w:pPr>
      <w:r>
        <w:rPr>
          <w:rFonts w:ascii="Hiragino Sans GB" w:eastAsia="Hiragino Sans GB" w:hAnsi="Hiragino Sans GB" w:hint="eastAsia"/>
          <w:color w:val="1A1D23"/>
        </w:rPr>
        <w:t>In the 15 October tutorial on Singapore's ageing population, my group defined our users as people over 70 who live without family and feel lonely, and we quickly proposed a "visiting team" as the solution. Looking back, we should have done field research before choosing a solution, which is what Hande did when he visited villages before founding SELCO.</w:t>
      </w:r>
    </w:p>
    <w:p w14:paraId="114E0853"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color w:val="1A1D23"/>
        </w:rPr>
      </w:pPr>
      <w:r>
        <w:rPr>
          <w:rStyle w:val="af"/>
          <w:rFonts w:ascii="Hiragino Sans GB" w:eastAsia="Hiragino Sans GB" w:hAnsi="Hiragino Sans GB" w:hint="eastAsia"/>
          <w:color w:val="1A1D23"/>
        </w:rPr>
        <w:t>3. Innovation Analysis</w:t>
      </w:r>
    </w:p>
    <w:p w14:paraId="79A20DB9"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hint="eastAsia"/>
          <w:color w:val="1A1D23"/>
        </w:rPr>
      </w:pPr>
      <w:r>
        <w:rPr>
          <w:rFonts w:ascii="Hiragino Sans GB" w:eastAsia="Hiragino Sans GB" w:hAnsi="Hiragino Sans GB" w:hint="eastAsia"/>
          <w:color w:val="1A1D23"/>
        </w:rPr>
        <w:t>Before SELCO, poor rural households could not pay for a solar system in one go, and banks were unwilling to lend to them. SELCO's answer was doorstep financing. Staff visit each household to assess its needs, cash flow and ability to pay, and then combine the equipment with a loan from a regional rural bank and after-sales support, which addresses accessibility and affordability (Goyal, Sergi and Kapoor, 2017, p. 104). Customers repay daily, monthly or quarterly, in line with their income cycle, at minimal interest rates (Goyal, Sergi and Kapoor, 2017, p. 105).</w:t>
      </w:r>
    </w:p>
    <w:p w14:paraId="58F56D8A"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hint="eastAsia"/>
          <w:color w:val="1A1D23"/>
        </w:rPr>
      </w:pPr>
      <w:r>
        <w:rPr>
          <w:rFonts w:ascii="Hiragino Sans GB" w:eastAsia="Hiragino Sans GB" w:hAnsi="Hiragino Sans GB" w:hint="eastAsia"/>
          <w:color w:val="1A1D23"/>
        </w:rPr>
        <w:t xml:space="preserve">I classify this as business model innovation, because it changes how value is delivered and captured. SELCO's management explains that </w:t>
      </w:r>
      <w:r>
        <w:rPr>
          <w:rFonts w:ascii="Hiragino Sans GB" w:eastAsia="Hiragino Sans GB" w:hAnsi="Hiragino Sans GB" w:hint="eastAsia"/>
          <w:color w:val="1A1D23"/>
        </w:rPr>
        <w:lastRenderedPageBreak/>
        <w:t xml:space="preserve">its "business model involves providing energy solutions by integrating technology support and financing with product offerings" (Goyal, Sergi and Kapoor, 2017, p. 105). On the business model canvas, it changed three blocks: revenue streams, customer relationships and key partners. It is not product innovation, because solar lights already existed and innovation is not the same as invention (Schumpeter, 1947). It is not </w:t>
      </w:r>
      <w:proofErr w:type="gramStart"/>
      <w:r>
        <w:rPr>
          <w:rFonts w:ascii="Hiragino Sans GB" w:eastAsia="Hiragino Sans GB" w:hAnsi="Hiragino Sans GB" w:hint="eastAsia"/>
          <w:color w:val="1A1D23"/>
        </w:rPr>
        <w:t>process</w:t>
      </w:r>
      <w:proofErr w:type="gramEnd"/>
      <w:r>
        <w:rPr>
          <w:rFonts w:ascii="Hiragino Sans GB" w:eastAsia="Hiragino Sans GB" w:hAnsi="Hiragino Sans GB" w:hint="eastAsia"/>
          <w:color w:val="1A1D23"/>
        </w:rPr>
        <w:t xml:space="preserve"> innovation, because it did not improve internal production. SELCO describes its innovation as covering "products, financing and services" (Goyal, Sergi and Kapoor, 2017, p. 102); installation and repair are services, but doorstep financing changes who pays and how, so it is mainly business model innovation.</w:t>
      </w:r>
    </w:p>
    <w:p w14:paraId="5A782039"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hint="eastAsia"/>
          <w:color w:val="1A1D23"/>
        </w:rPr>
      </w:pPr>
      <w:r>
        <w:rPr>
          <w:rFonts w:ascii="Hiragino Sans GB" w:eastAsia="Hiragino Sans GB" w:hAnsi="Hiragino Sans GB" w:hint="eastAsia"/>
          <w:color w:val="1A1D23"/>
        </w:rPr>
        <w:t>Instalment payments and microcredit already existed, so the idea is not new to the world, but it was new to the region: it was the first time solar energy was sold in this way in rural India. It was a radical rather than incremental change, because it was an entirely new way of selling solar energy in rural India, not a small improvement to existing sales methods. Because it turns non-consumers, people who previously could not buy at all, into customers, it shows features of new-market disruption (Christensen, Raynor and McDonald, 2015, p. 47).</w:t>
      </w:r>
    </w:p>
    <w:p w14:paraId="4D79036C"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hint="eastAsia"/>
          <w:color w:val="1A1D23"/>
        </w:rPr>
      </w:pPr>
      <w:r>
        <w:rPr>
          <w:rFonts w:ascii="Hiragino Sans GB" w:eastAsia="Hiragino Sans GB" w:hAnsi="Hiragino Sans GB" w:hint="eastAsia"/>
          <w:color w:val="1A1D23"/>
        </w:rPr>
        <w:lastRenderedPageBreak/>
        <w:t xml:space="preserve">In the 1 October tutorial, my group used the business model canvas to </w:t>
      </w:r>
      <w:proofErr w:type="spellStart"/>
      <w:r>
        <w:rPr>
          <w:rFonts w:ascii="Hiragino Sans GB" w:eastAsia="Hiragino Sans GB" w:hAnsi="Hiragino Sans GB" w:hint="eastAsia"/>
          <w:color w:val="1A1D23"/>
        </w:rPr>
        <w:t>analyse</w:t>
      </w:r>
      <w:proofErr w:type="spellEnd"/>
      <w:r>
        <w:rPr>
          <w:rFonts w:ascii="Hiragino Sans GB" w:eastAsia="Hiragino Sans GB" w:hAnsi="Hiragino Sans GB" w:hint="eastAsia"/>
          <w:color w:val="1A1D23"/>
        </w:rPr>
        <w:t xml:space="preserve"> Pure Gym. We concluded that its innovation lay in customer segments and cost structure: it divided customers by usage (peak, off-peak, all-day and any-gym access) and offered different membership plans based on their willingness to pay.</w:t>
      </w:r>
    </w:p>
    <w:p w14:paraId="37316328"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color w:val="1A1D23"/>
        </w:rPr>
      </w:pPr>
      <w:r>
        <w:rPr>
          <w:rStyle w:val="af"/>
          <w:rFonts w:ascii="Hiragino Sans GB" w:eastAsia="Hiragino Sans GB" w:hAnsi="Hiragino Sans GB" w:hint="eastAsia"/>
          <w:color w:val="1A1D23"/>
        </w:rPr>
        <w:t>4. Cross-Border Transfer Reflection</w:t>
      </w:r>
    </w:p>
    <w:p w14:paraId="7CB5CDA5"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hint="eastAsia"/>
          <w:color w:val="1A1D23"/>
        </w:rPr>
      </w:pPr>
      <w:r>
        <w:rPr>
          <w:rFonts w:ascii="Hiragino Sans GB" w:eastAsia="Hiragino Sans GB" w:hAnsi="Hiragino Sans GB" w:hint="eastAsia"/>
          <w:color w:val="1A1D23"/>
        </w:rPr>
        <w:t xml:space="preserve">Transferring SELCO's model to Indonesia would require careful targeting. Although Indonesia's national electrification ratio is 99.83% according to the Ministry of Energy and Mineral Resources, about 658,000 families still have no electricity and another 1.17 million households rely on diesel generators (Madani </w:t>
      </w:r>
      <w:proofErr w:type="spellStart"/>
      <w:r>
        <w:rPr>
          <w:rFonts w:ascii="Hiragino Sans GB" w:eastAsia="Hiragino Sans GB" w:hAnsi="Hiragino Sans GB" w:hint="eastAsia"/>
          <w:color w:val="1A1D23"/>
        </w:rPr>
        <w:t>Berkelanjutan</w:t>
      </w:r>
      <w:proofErr w:type="spellEnd"/>
      <w:r>
        <w:rPr>
          <w:rFonts w:ascii="Hiragino Sans GB" w:eastAsia="Hiragino Sans GB" w:hAnsi="Hiragino Sans GB" w:hint="eastAsia"/>
          <w:color w:val="1A1D23"/>
        </w:rPr>
        <w:t xml:space="preserve">, 2026). The gap is concentrated </w:t>
      </w:r>
      <w:proofErr w:type="gramStart"/>
      <w:r>
        <w:rPr>
          <w:rFonts w:ascii="Hiragino Sans GB" w:eastAsia="Hiragino Sans GB" w:hAnsi="Hiragino Sans GB" w:hint="eastAsia"/>
          <w:color w:val="1A1D23"/>
        </w:rPr>
        <w:t>in</w:t>
      </w:r>
      <w:proofErr w:type="gramEnd"/>
      <w:r>
        <w:rPr>
          <w:rFonts w:ascii="Hiragino Sans GB" w:eastAsia="Hiragino Sans GB" w:hAnsi="Hiragino Sans GB" w:hint="eastAsia"/>
          <w:color w:val="1A1D23"/>
        </w:rPr>
        <w:t xml:space="preserve"> the remote eastern islands, such as West Papua (89.80%) and East Nusa Tenggara (89.22%) (Madani </w:t>
      </w:r>
      <w:proofErr w:type="spellStart"/>
      <w:r>
        <w:rPr>
          <w:rFonts w:ascii="Hiragino Sans GB" w:eastAsia="Hiragino Sans GB" w:hAnsi="Hiragino Sans GB" w:hint="eastAsia"/>
          <w:color w:val="1A1D23"/>
        </w:rPr>
        <w:t>Berkelanjutan</w:t>
      </w:r>
      <w:proofErr w:type="spellEnd"/>
      <w:r>
        <w:rPr>
          <w:rFonts w:ascii="Hiragino Sans GB" w:eastAsia="Hiragino Sans GB" w:hAnsi="Hiragino Sans GB" w:hint="eastAsia"/>
          <w:color w:val="1A1D23"/>
        </w:rPr>
        <w:t>, 2026). However, this market is smaller than India's and spread across many islands, which raises logistics costs.</w:t>
      </w:r>
    </w:p>
    <w:p w14:paraId="659F2428"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hint="eastAsia"/>
          <w:color w:val="1A1D23"/>
        </w:rPr>
      </w:pPr>
      <w:r>
        <w:rPr>
          <w:rFonts w:ascii="Hiragino Sans GB" w:eastAsia="Hiragino Sans GB" w:hAnsi="Hiragino Sans GB" w:hint="eastAsia"/>
          <w:color w:val="1A1D23"/>
        </w:rPr>
        <w:t>SELCO's own experience shows that rural banking infrastructure is "an integral part to the success of our business model" (Goyal, Sergi and Kapoor, 2017, p. 102). The first step would therefore be to find local banks or microfinance institutions willing to lend to rural households. SELCO should also expand slowly and make sure that its partners share its mission.</w:t>
      </w:r>
    </w:p>
    <w:p w14:paraId="253AFE0E"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hint="eastAsia"/>
          <w:color w:val="1A1D23"/>
        </w:rPr>
      </w:pPr>
      <w:r>
        <w:rPr>
          <w:rFonts w:ascii="Hiragino Sans GB" w:eastAsia="Hiragino Sans GB" w:hAnsi="Hiragino Sans GB" w:hint="eastAsia"/>
          <w:color w:val="1A1D23"/>
        </w:rPr>
        <w:lastRenderedPageBreak/>
        <w:t>I would enter through a joint venture, setting up a new company with a local partner. A wholly owned subsidiary requires heavy investment, which a social enterprise cannot easily afford. Franchising is also unsuitable, because SELCO's early dealer network almost caused the company to fail and pulled it away from its mission (Ramon Magsaysay Award Foundation, 2011). The local partner would help to train local people as technicians and micro-entrepreneurs, work with local logistics firms and suppliers, and promote the products in the local language.</w:t>
      </w:r>
    </w:p>
    <w:p w14:paraId="63312BA9"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hint="eastAsia"/>
          <w:color w:val="1A1D23"/>
        </w:rPr>
      </w:pPr>
      <w:r>
        <w:rPr>
          <w:rFonts w:ascii="Hiragino Sans GB" w:eastAsia="Hiragino Sans GB" w:hAnsi="Hiragino Sans GB" w:hint="eastAsia"/>
          <w:color w:val="1A1D23"/>
        </w:rPr>
        <w:t>Following the Uppsala model, which suggests that firms increase their commitment step by step as they learn about a new market (Vahlne and Johanson, 2017), SELCO should start with a pilot in a few locations before expanding. SELCO Foundation's projects in the Philippines, another archipelago, suggest that the model can work in island countries (Skoll Foundation, n.d.).</w:t>
      </w:r>
    </w:p>
    <w:p w14:paraId="3CE8FD19"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color w:val="1A1D23"/>
        </w:rPr>
      </w:pPr>
      <w:r>
        <w:rPr>
          <w:rStyle w:val="af"/>
          <w:rFonts w:ascii="Hiragino Sans GB" w:eastAsia="Hiragino Sans GB" w:hAnsi="Hiragino Sans GB" w:hint="eastAsia"/>
          <w:color w:val="1A1D23"/>
        </w:rPr>
        <w:t>5. Learning Reflection</w:t>
      </w:r>
    </w:p>
    <w:p w14:paraId="51428165" w14:textId="77777777" w:rsidR="007A1135" w:rsidRDefault="007A1135" w:rsidP="007A1135">
      <w:pPr>
        <w:pStyle w:val="ae"/>
        <w:shd w:val="clear" w:color="auto" w:fill="FFFFFF"/>
        <w:spacing w:before="0" w:beforeAutospacing="0" w:after="192" w:afterAutospacing="0"/>
        <w:rPr>
          <w:rFonts w:ascii="Hiragino Sans GB" w:eastAsia="Hiragino Sans GB" w:hAnsi="Hiragino Sans GB" w:hint="eastAsia"/>
          <w:color w:val="1A1D23"/>
        </w:rPr>
      </w:pPr>
      <w:r>
        <w:rPr>
          <w:rFonts w:ascii="Hiragino Sans GB" w:eastAsia="Hiragino Sans GB" w:hAnsi="Hiragino Sans GB" w:hint="eastAsia"/>
          <w:color w:val="1A1D23"/>
        </w:rPr>
        <w:t xml:space="preserve">This analysis changed my understanding of two key concepts. Before, I saw social entrepreneurship mainly as entrepreneurship, with "social" only describing the target customers. SELCO showed me that the social mission comes first and the business model is the tool to achieve it. I also used to think that innovation meant creating </w:t>
      </w:r>
      <w:r>
        <w:rPr>
          <w:rFonts w:ascii="Hiragino Sans GB" w:eastAsia="Hiragino Sans GB" w:hAnsi="Hiragino Sans GB" w:hint="eastAsia"/>
          <w:color w:val="1A1D23"/>
        </w:rPr>
        <w:lastRenderedPageBreak/>
        <w:t>something completely new. SELCO did not invent a new technology; its main innovation was changing who pays and how, which illustrates that innovation is not the same as invention (Schumpeter, 1947). At the same time, I found that disruptive innovation theory does not fully fit SELCO: it explains well why SELCO serves non-consumers, but I do not think SELCO could replace existing competitors, because it only serves people who cannot afford mainstream products. The tutorial that influenced me most was the ageing exercise, which showed me the importance of real field research before designing a solution.</w:t>
      </w:r>
    </w:p>
    <w:p w14:paraId="4CAEAD99" w14:textId="77777777" w:rsidR="007A1135" w:rsidRDefault="007A1135"/>
    <w:p w14:paraId="15E67257" w14:textId="04AA6F74" w:rsidR="007A1135" w:rsidRPr="007A1135" w:rsidRDefault="007A1135" w:rsidP="007A1135">
      <w:pPr>
        <w:widowControl/>
        <w:shd w:val="clear" w:color="auto" w:fill="FFFFFF"/>
        <w:spacing w:after="120" w:line="240" w:lineRule="auto"/>
        <w:outlineLvl w:val="2"/>
        <w:rPr>
          <w:rFonts w:ascii="Hiragino Sans GB" w:eastAsia="Hiragino Sans GB" w:hAnsi="Hiragino Sans GB" w:cs="Times New Roman" w:hint="eastAsia"/>
          <w:b/>
          <w:bCs/>
          <w:color w:val="1A1D23"/>
          <w:kern w:val="0"/>
          <w:sz w:val="27"/>
          <w:szCs w:val="27"/>
          <w14:ligatures w14:val="none"/>
        </w:rPr>
      </w:pPr>
      <w:r w:rsidRPr="007A1135">
        <w:rPr>
          <w:rFonts w:ascii="Hiragino Sans GB" w:eastAsia="Hiragino Sans GB" w:hAnsi="Hiragino Sans GB" w:cs="Times New Roman"/>
          <w:b/>
          <w:bCs/>
          <w:color w:val="1A1D23"/>
          <w:kern w:val="0"/>
          <w:sz w:val="27"/>
          <w:szCs w:val="27"/>
          <w14:ligatures w14:val="none"/>
        </w:rPr>
        <w:t>References</w:t>
      </w:r>
    </w:p>
    <w:p w14:paraId="44BD21C3" w14:textId="77777777" w:rsidR="007A1135" w:rsidRPr="007A1135" w:rsidRDefault="007A1135" w:rsidP="007A1135">
      <w:pPr>
        <w:widowControl/>
        <w:numPr>
          <w:ilvl w:val="0"/>
          <w:numId w:val="1"/>
        </w:numPr>
        <w:shd w:val="clear" w:color="auto" w:fill="FFFFFF"/>
        <w:spacing w:before="48" w:after="48" w:line="240" w:lineRule="auto"/>
        <w:rPr>
          <w:rFonts w:ascii="Hiragino Sans GB" w:eastAsia="Hiragino Sans GB" w:hAnsi="Hiragino Sans GB" w:cs="Times New Roman"/>
          <w:color w:val="1A1D23"/>
          <w:kern w:val="0"/>
          <w:sz w:val="24"/>
          <w14:ligatures w14:val="none"/>
        </w:rPr>
      </w:pPr>
      <w:proofErr w:type="spellStart"/>
      <w:r w:rsidRPr="007A1135">
        <w:rPr>
          <w:rFonts w:ascii="Hiragino Sans GB" w:eastAsia="Hiragino Sans GB" w:hAnsi="Hiragino Sans GB" w:cs="Times New Roman"/>
          <w:color w:val="1A1D23"/>
          <w:kern w:val="0"/>
          <w:sz w:val="24"/>
          <w14:ligatures w14:val="none"/>
        </w:rPr>
        <w:t>Antoncic</w:t>
      </w:r>
      <w:proofErr w:type="spellEnd"/>
      <w:r w:rsidRPr="007A1135">
        <w:rPr>
          <w:rFonts w:ascii="Hiragino Sans GB" w:eastAsia="Hiragino Sans GB" w:hAnsi="Hiragino Sans GB" w:cs="Times New Roman"/>
          <w:color w:val="1A1D23"/>
          <w:kern w:val="0"/>
          <w:sz w:val="24"/>
          <w14:ligatures w14:val="none"/>
        </w:rPr>
        <w:t>, B. and Hisrich, R.D. (2003) 'Clarifying the intrapreneurship concept', </w:t>
      </w:r>
      <w:r w:rsidRPr="007A1135">
        <w:rPr>
          <w:rFonts w:ascii="Hiragino Sans GB" w:eastAsia="Hiragino Sans GB" w:hAnsi="Hiragino Sans GB" w:cs="Times New Roman"/>
          <w:i/>
          <w:iCs/>
          <w:color w:val="1A1D23"/>
          <w:kern w:val="0"/>
          <w:sz w:val="24"/>
          <w14:ligatures w14:val="none"/>
        </w:rPr>
        <w:t>Journal of Small Business and Enterprise Development</w:t>
      </w:r>
      <w:r w:rsidRPr="007A1135">
        <w:rPr>
          <w:rFonts w:ascii="Hiragino Sans GB" w:eastAsia="Hiragino Sans GB" w:hAnsi="Hiragino Sans GB" w:cs="Times New Roman"/>
          <w:color w:val="1A1D23"/>
          <w:kern w:val="0"/>
          <w:sz w:val="24"/>
          <w14:ligatures w14:val="none"/>
        </w:rPr>
        <w:t>, 10(1), pp. 7–24. doi:10.1108/14626000310461187.</w:t>
      </w:r>
    </w:p>
    <w:p w14:paraId="26C50B7C" w14:textId="77777777" w:rsidR="007A1135" w:rsidRPr="007A1135" w:rsidRDefault="007A1135" w:rsidP="007A1135">
      <w:pPr>
        <w:widowControl/>
        <w:numPr>
          <w:ilvl w:val="0"/>
          <w:numId w:val="1"/>
        </w:numPr>
        <w:shd w:val="clear" w:color="auto" w:fill="FFFFFF"/>
        <w:spacing w:before="48" w:after="48" w:line="240" w:lineRule="auto"/>
        <w:rPr>
          <w:rFonts w:ascii="Hiragino Sans GB" w:eastAsia="Hiragino Sans GB" w:hAnsi="Hiragino Sans GB" w:cs="Times New Roman"/>
          <w:color w:val="1A1D23"/>
          <w:kern w:val="0"/>
          <w:sz w:val="24"/>
          <w14:ligatures w14:val="none"/>
        </w:rPr>
      </w:pPr>
      <w:r w:rsidRPr="007A1135">
        <w:rPr>
          <w:rFonts w:ascii="Hiragino Sans GB" w:eastAsia="Hiragino Sans GB" w:hAnsi="Hiragino Sans GB" w:cs="Times New Roman"/>
          <w:color w:val="1A1D23"/>
          <w:kern w:val="0"/>
          <w:sz w:val="24"/>
          <w14:ligatures w14:val="none"/>
        </w:rPr>
        <w:t>Ashoka (n.d.) </w:t>
      </w:r>
      <w:r w:rsidRPr="007A1135">
        <w:rPr>
          <w:rFonts w:ascii="Hiragino Sans GB" w:eastAsia="Hiragino Sans GB" w:hAnsi="Hiragino Sans GB" w:cs="Times New Roman"/>
          <w:i/>
          <w:iCs/>
          <w:color w:val="1A1D23"/>
          <w:kern w:val="0"/>
          <w:sz w:val="24"/>
          <w14:ligatures w14:val="none"/>
        </w:rPr>
        <w:t>Harish Hande</w:t>
      </w:r>
      <w:r w:rsidRPr="007A1135">
        <w:rPr>
          <w:rFonts w:ascii="Hiragino Sans GB" w:eastAsia="Hiragino Sans GB" w:hAnsi="Hiragino Sans GB" w:cs="Times New Roman"/>
          <w:color w:val="1A1D23"/>
          <w:kern w:val="0"/>
          <w:sz w:val="24"/>
          <w14:ligatures w14:val="none"/>
        </w:rPr>
        <w:t>. Available at: </w:t>
      </w:r>
      <w:hyperlink r:id="rId5" w:history="1">
        <w:r w:rsidRPr="007A1135">
          <w:rPr>
            <w:rFonts w:ascii="Hiragino Sans GB" w:eastAsia="Hiragino Sans GB" w:hAnsi="Hiragino Sans GB" w:cs="Times New Roman"/>
            <w:color w:val="0000FF"/>
            <w:kern w:val="0"/>
            <w:sz w:val="24"/>
            <w:u w:val="single"/>
            <w14:ligatures w14:val="none"/>
          </w:rPr>
          <w:t>https://www.ashoka.org/en-sg/fellow/harish-hande</w:t>
        </w:r>
      </w:hyperlink>
      <w:r w:rsidRPr="007A1135">
        <w:rPr>
          <w:rFonts w:ascii="Hiragino Sans GB" w:eastAsia="Hiragino Sans GB" w:hAnsi="Hiragino Sans GB" w:cs="Times New Roman"/>
          <w:color w:val="1A1D23"/>
          <w:kern w:val="0"/>
          <w:sz w:val="24"/>
          <w14:ligatures w14:val="none"/>
        </w:rPr>
        <w:t>(Accessed: 16 October 2026).</w:t>
      </w:r>
    </w:p>
    <w:p w14:paraId="70565F1F" w14:textId="77777777" w:rsidR="007A1135" w:rsidRPr="007A1135" w:rsidRDefault="007A1135" w:rsidP="007A1135">
      <w:pPr>
        <w:widowControl/>
        <w:numPr>
          <w:ilvl w:val="0"/>
          <w:numId w:val="1"/>
        </w:numPr>
        <w:shd w:val="clear" w:color="auto" w:fill="FFFFFF"/>
        <w:spacing w:before="48" w:after="48" w:line="240" w:lineRule="auto"/>
        <w:rPr>
          <w:rFonts w:ascii="Hiragino Sans GB" w:eastAsia="Hiragino Sans GB" w:hAnsi="Hiragino Sans GB" w:cs="Times New Roman"/>
          <w:color w:val="1A1D23"/>
          <w:kern w:val="0"/>
          <w:sz w:val="24"/>
          <w14:ligatures w14:val="none"/>
        </w:rPr>
      </w:pPr>
      <w:r w:rsidRPr="007A1135">
        <w:rPr>
          <w:rFonts w:ascii="Hiragino Sans GB" w:eastAsia="Hiragino Sans GB" w:hAnsi="Hiragino Sans GB" w:cs="Times New Roman"/>
          <w:color w:val="1A1D23"/>
          <w:kern w:val="0"/>
          <w:sz w:val="24"/>
          <w14:ligatures w14:val="none"/>
        </w:rPr>
        <w:t>Christensen, C.M., Raynor, M.E. and McDonald, R. (2015) 'What is disruptive innovation?', </w:t>
      </w:r>
      <w:r w:rsidRPr="007A1135">
        <w:rPr>
          <w:rFonts w:ascii="Hiragino Sans GB" w:eastAsia="Hiragino Sans GB" w:hAnsi="Hiragino Sans GB" w:cs="Times New Roman"/>
          <w:i/>
          <w:iCs/>
          <w:color w:val="1A1D23"/>
          <w:kern w:val="0"/>
          <w:sz w:val="24"/>
          <w14:ligatures w14:val="none"/>
        </w:rPr>
        <w:t>Harvard Business Review</w:t>
      </w:r>
      <w:r w:rsidRPr="007A1135">
        <w:rPr>
          <w:rFonts w:ascii="Hiragino Sans GB" w:eastAsia="Hiragino Sans GB" w:hAnsi="Hiragino Sans GB" w:cs="Times New Roman"/>
          <w:color w:val="1A1D23"/>
          <w:kern w:val="0"/>
          <w:sz w:val="24"/>
          <w14:ligatures w14:val="none"/>
        </w:rPr>
        <w:t>, 93(12), pp. 44–53.</w:t>
      </w:r>
    </w:p>
    <w:p w14:paraId="3C8C289D" w14:textId="77777777" w:rsidR="007A1135" w:rsidRPr="007A1135" w:rsidRDefault="007A1135" w:rsidP="007A1135">
      <w:pPr>
        <w:widowControl/>
        <w:numPr>
          <w:ilvl w:val="0"/>
          <w:numId w:val="1"/>
        </w:numPr>
        <w:shd w:val="clear" w:color="auto" w:fill="FFFFFF"/>
        <w:spacing w:before="48" w:after="48" w:line="240" w:lineRule="auto"/>
        <w:rPr>
          <w:rFonts w:ascii="Hiragino Sans GB" w:eastAsia="Hiragino Sans GB" w:hAnsi="Hiragino Sans GB" w:cs="Times New Roman"/>
          <w:color w:val="1A1D23"/>
          <w:kern w:val="0"/>
          <w:sz w:val="24"/>
          <w14:ligatures w14:val="none"/>
        </w:rPr>
      </w:pPr>
      <w:r w:rsidRPr="007A1135">
        <w:rPr>
          <w:rFonts w:ascii="Hiragino Sans GB" w:eastAsia="Hiragino Sans GB" w:hAnsi="Hiragino Sans GB" w:cs="Times New Roman"/>
          <w:color w:val="1A1D23"/>
          <w:kern w:val="0"/>
          <w:sz w:val="24"/>
          <w14:ligatures w14:val="none"/>
        </w:rPr>
        <w:lastRenderedPageBreak/>
        <w:t>Dees, J.G. (2001) </w:t>
      </w:r>
      <w:r w:rsidRPr="007A1135">
        <w:rPr>
          <w:rFonts w:ascii="Hiragino Sans GB" w:eastAsia="Hiragino Sans GB" w:hAnsi="Hiragino Sans GB" w:cs="Times New Roman"/>
          <w:i/>
          <w:iCs/>
          <w:color w:val="1A1D23"/>
          <w:kern w:val="0"/>
          <w:sz w:val="24"/>
          <w14:ligatures w14:val="none"/>
        </w:rPr>
        <w:t>The meaning of social entrepreneurship</w:t>
      </w:r>
      <w:r w:rsidRPr="007A1135">
        <w:rPr>
          <w:rFonts w:ascii="Hiragino Sans GB" w:eastAsia="Hiragino Sans GB" w:hAnsi="Hiragino Sans GB" w:cs="Times New Roman"/>
          <w:color w:val="1A1D23"/>
          <w:kern w:val="0"/>
          <w:sz w:val="24"/>
          <w14:ligatures w14:val="none"/>
        </w:rPr>
        <w:t>. Original draft 1998, revised May 2001. Available at: </w:t>
      </w:r>
      <w:hyperlink r:id="rId6" w:history="1">
        <w:r w:rsidRPr="007A1135">
          <w:rPr>
            <w:rFonts w:ascii="Hiragino Sans GB" w:eastAsia="Hiragino Sans GB" w:hAnsi="Hiragino Sans GB" w:cs="Times New Roman"/>
            <w:color w:val="0000FF"/>
            <w:kern w:val="0"/>
            <w:sz w:val="24"/>
            <w:u w:val="single"/>
            <w14:ligatures w14:val="none"/>
          </w:rPr>
          <w:t>https://case.fuqua.duke.edu/wp-content/uploads/2025/03/Article_Dees_MeaningofSocialEntrepreneurship_2001.pdf</w:t>
        </w:r>
      </w:hyperlink>
      <w:r w:rsidRPr="007A1135">
        <w:rPr>
          <w:rFonts w:ascii="Hiragino Sans GB" w:eastAsia="Hiragino Sans GB" w:hAnsi="Hiragino Sans GB" w:cs="Times New Roman"/>
          <w:color w:val="1A1D23"/>
          <w:kern w:val="0"/>
          <w:sz w:val="24"/>
          <w14:ligatures w14:val="none"/>
        </w:rPr>
        <w:t>(Accessed: 21 October 2026).</w:t>
      </w:r>
    </w:p>
    <w:p w14:paraId="67FEEEB7" w14:textId="77777777" w:rsidR="007A1135" w:rsidRPr="007A1135" w:rsidRDefault="007A1135" w:rsidP="007A1135">
      <w:pPr>
        <w:widowControl/>
        <w:numPr>
          <w:ilvl w:val="0"/>
          <w:numId w:val="1"/>
        </w:numPr>
        <w:shd w:val="clear" w:color="auto" w:fill="FFFFFF"/>
        <w:spacing w:before="48" w:after="48" w:line="240" w:lineRule="auto"/>
        <w:rPr>
          <w:rFonts w:ascii="Hiragino Sans GB" w:eastAsia="Hiragino Sans GB" w:hAnsi="Hiragino Sans GB" w:cs="Times New Roman"/>
          <w:color w:val="1A1D23"/>
          <w:kern w:val="0"/>
          <w:sz w:val="24"/>
          <w14:ligatures w14:val="none"/>
        </w:rPr>
      </w:pPr>
      <w:r w:rsidRPr="007A1135">
        <w:rPr>
          <w:rFonts w:ascii="Hiragino Sans GB" w:eastAsia="Hiragino Sans GB" w:hAnsi="Hiragino Sans GB" w:cs="Times New Roman"/>
          <w:color w:val="1A1D23"/>
          <w:kern w:val="0"/>
          <w:sz w:val="24"/>
          <w14:ligatures w14:val="none"/>
        </w:rPr>
        <w:t xml:space="preserve">Goyal, S., Sergi, B.S. and Kapoor, A. (2017) 'Emerging role of for-profit social enterprises at the base of the pyramid: the case of </w:t>
      </w:r>
      <w:proofErr w:type="spellStart"/>
      <w:r w:rsidRPr="007A1135">
        <w:rPr>
          <w:rFonts w:ascii="Hiragino Sans GB" w:eastAsia="Hiragino Sans GB" w:hAnsi="Hiragino Sans GB" w:cs="Times New Roman"/>
          <w:color w:val="1A1D23"/>
          <w:kern w:val="0"/>
          <w:sz w:val="24"/>
          <w14:ligatures w14:val="none"/>
        </w:rPr>
        <w:t>Selco</w:t>
      </w:r>
      <w:proofErr w:type="spellEnd"/>
      <w:r w:rsidRPr="007A1135">
        <w:rPr>
          <w:rFonts w:ascii="Hiragino Sans GB" w:eastAsia="Hiragino Sans GB" w:hAnsi="Hiragino Sans GB" w:cs="Times New Roman"/>
          <w:color w:val="1A1D23"/>
          <w:kern w:val="0"/>
          <w:sz w:val="24"/>
          <w14:ligatures w14:val="none"/>
        </w:rPr>
        <w:t>', </w:t>
      </w:r>
      <w:r w:rsidRPr="007A1135">
        <w:rPr>
          <w:rFonts w:ascii="Hiragino Sans GB" w:eastAsia="Hiragino Sans GB" w:hAnsi="Hiragino Sans GB" w:cs="Times New Roman"/>
          <w:i/>
          <w:iCs/>
          <w:color w:val="1A1D23"/>
          <w:kern w:val="0"/>
          <w:sz w:val="24"/>
          <w14:ligatures w14:val="none"/>
        </w:rPr>
        <w:t>Journal of Management Development</w:t>
      </w:r>
      <w:r w:rsidRPr="007A1135">
        <w:rPr>
          <w:rFonts w:ascii="Hiragino Sans GB" w:eastAsia="Hiragino Sans GB" w:hAnsi="Hiragino Sans GB" w:cs="Times New Roman"/>
          <w:color w:val="1A1D23"/>
          <w:kern w:val="0"/>
          <w:sz w:val="24"/>
          <w14:ligatures w14:val="none"/>
        </w:rPr>
        <w:t>, 36(1), pp. 97–108. doi:10.1108/JMD-05-2015-0070.</w:t>
      </w:r>
    </w:p>
    <w:p w14:paraId="3A18E0F6" w14:textId="77777777" w:rsidR="007A1135" w:rsidRPr="007A1135" w:rsidRDefault="007A1135" w:rsidP="007A1135">
      <w:pPr>
        <w:widowControl/>
        <w:numPr>
          <w:ilvl w:val="0"/>
          <w:numId w:val="1"/>
        </w:numPr>
        <w:shd w:val="clear" w:color="auto" w:fill="FFFFFF"/>
        <w:spacing w:before="48" w:after="48" w:line="240" w:lineRule="auto"/>
        <w:rPr>
          <w:rFonts w:ascii="Hiragino Sans GB" w:eastAsia="Hiragino Sans GB" w:hAnsi="Hiragino Sans GB" w:cs="Times New Roman"/>
          <w:color w:val="1A1D23"/>
          <w:kern w:val="0"/>
          <w:sz w:val="24"/>
          <w14:ligatures w14:val="none"/>
        </w:rPr>
      </w:pPr>
      <w:r w:rsidRPr="007A1135">
        <w:rPr>
          <w:rFonts w:ascii="Hiragino Sans GB" w:eastAsia="Hiragino Sans GB" w:hAnsi="Hiragino Sans GB" w:cs="Times New Roman"/>
          <w:color w:val="1A1D23"/>
          <w:kern w:val="0"/>
          <w:sz w:val="24"/>
          <w14:ligatures w14:val="none"/>
        </w:rPr>
        <w:t xml:space="preserve">Madani </w:t>
      </w:r>
      <w:proofErr w:type="spellStart"/>
      <w:r w:rsidRPr="007A1135">
        <w:rPr>
          <w:rFonts w:ascii="Hiragino Sans GB" w:eastAsia="Hiragino Sans GB" w:hAnsi="Hiragino Sans GB" w:cs="Times New Roman"/>
          <w:color w:val="1A1D23"/>
          <w:kern w:val="0"/>
          <w:sz w:val="24"/>
          <w14:ligatures w14:val="none"/>
        </w:rPr>
        <w:t>Berkelanjutan</w:t>
      </w:r>
      <w:proofErr w:type="spellEnd"/>
      <w:r w:rsidRPr="007A1135">
        <w:rPr>
          <w:rFonts w:ascii="Hiragino Sans GB" w:eastAsia="Hiragino Sans GB" w:hAnsi="Hiragino Sans GB" w:cs="Times New Roman"/>
          <w:color w:val="1A1D23"/>
          <w:kern w:val="0"/>
          <w:sz w:val="24"/>
          <w14:ligatures w14:val="none"/>
        </w:rPr>
        <w:t xml:space="preserve"> (2026) </w:t>
      </w:r>
      <w:r w:rsidRPr="007A1135">
        <w:rPr>
          <w:rFonts w:ascii="Hiragino Sans GB" w:eastAsia="Hiragino Sans GB" w:hAnsi="Hiragino Sans GB" w:cs="Times New Roman"/>
          <w:i/>
          <w:iCs/>
          <w:color w:val="1A1D23"/>
          <w:kern w:val="0"/>
          <w:sz w:val="24"/>
          <w14:ligatures w14:val="none"/>
        </w:rPr>
        <w:t>658,000 Families Without Electricity: Why Community-Based Energy Transition is Indonesia's Answer</w:t>
      </w:r>
      <w:r w:rsidRPr="007A1135">
        <w:rPr>
          <w:rFonts w:ascii="Hiragino Sans GB" w:eastAsia="Hiragino Sans GB" w:hAnsi="Hiragino Sans GB" w:cs="Times New Roman"/>
          <w:color w:val="1A1D23"/>
          <w:kern w:val="0"/>
          <w:sz w:val="24"/>
          <w14:ligatures w14:val="none"/>
        </w:rPr>
        <w:t>. Available at: </w:t>
      </w:r>
      <w:hyperlink r:id="rId7" w:history="1">
        <w:r w:rsidRPr="007A1135">
          <w:rPr>
            <w:rFonts w:ascii="Hiragino Sans GB" w:eastAsia="Hiragino Sans GB" w:hAnsi="Hiragino Sans GB" w:cs="Times New Roman"/>
            <w:color w:val="0000FF"/>
            <w:kern w:val="0"/>
            <w:sz w:val="24"/>
            <w:u w:val="single"/>
            <w14:ligatures w14:val="none"/>
          </w:rPr>
          <w:t>https://madaniberkelanjutan.id/news-event/658-000-families-without-electricity-why-community-based-energy-transition-is-indonesia-s-answer</w:t>
        </w:r>
      </w:hyperlink>
      <w:r w:rsidRPr="007A1135">
        <w:rPr>
          <w:rFonts w:ascii="Hiragino Sans GB" w:eastAsia="Hiragino Sans GB" w:hAnsi="Hiragino Sans GB" w:cs="Times New Roman"/>
          <w:color w:val="1A1D23"/>
          <w:kern w:val="0"/>
          <w:sz w:val="24"/>
          <w14:ligatures w14:val="none"/>
        </w:rPr>
        <w:t> (Accessed: 19 October 2026).</w:t>
      </w:r>
    </w:p>
    <w:p w14:paraId="677B0838" w14:textId="77777777" w:rsidR="007A1135" w:rsidRPr="007A1135" w:rsidRDefault="007A1135" w:rsidP="007A1135">
      <w:pPr>
        <w:widowControl/>
        <w:numPr>
          <w:ilvl w:val="0"/>
          <w:numId w:val="1"/>
        </w:numPr>
        <w:shd w:val="clear" w:color="auto" w:fill="FFFFFF"/>
        <w:spacing w:before="48" w:after="48" w:line="240" w:lineRule="auto"/>
        <w:rPr>
          <w:rFonts w:ascii="Hiragino Sans GB" w:eastAsia="Hiragino Sans GB" w:hAnsi="Hiragino Sans GB" w:cs="Times New Roman"/>
          <w:color w:val="1A1D23"/>
          <w:kern w:val="0"/>
          <w:sz w:val="24"/>
          <w14:ligatures w14:val="none"/>
        </w:rPr>
      </w:pPr>
      <w:r w:rsidRPr="007A1135">
        <w:rPr>
          <w:rFonts w:ascii="Hiragino Sans GB" w:eastAsia="Hiragino Sans GB" w:hAnsi="Hiragino Sans GB" w:cs="Times New Roman"/>
          <w:color w:val="1A1D23"/>
          <w:kern w:val="0"/>
          <w:sz w:val="24"/>
          <w14:ligatures w14:val="none"/>
        </w:rPr>
        <w:t>Oviatt, B.M. and McDougall, P.P. (2005) 'Defining international entrepreneurship and modeling the speed of internationalization', </w:t>
      </w:r>
      <w:r w:rsidRPr="007A1135">
        <w:rPr>
          <w:rFonts w:ascii="Hiragino Sans GB" w:eastAsia="Hiragino Sans GB" w:hAnsi="Hiragino Sans GB" w:cs="Times New Roman"/>
          <w:i/>
          <w:iCs/>
          <w:color w:val="1A1D23"/>
          <w:kern w:val="0"/>
          <w:sz w:val="24"/>
          <w14:ligatures w14:val="none"/>
        </w:rPr>
        <w:t>Entrepreneurship Theory and Practice</w:t>
      </w:r>
      <w:r w:rsidRPr="007A1135">
        <w:rPr>
          <w:rFonts w:ascii="Hiragino Sans GB" w:eastAsia="Hiragino Sans GB" w:hAnsi="Hiragino Sans GB" w:cs="Times New Roman"/>
          <w:color w:val="1A1D23"/>
          <w:kern w:val="0"/>
          <w:sz w:val="24"/>
          <w14:ligatures w14:val="none"/>
        </w:rPr>
        <w:t>, 29(5), pp. 537–553. doi:10.1111/j.1540-6520.2005.</w:t>
      </w:r>
      <w:proofErr w:type="gramStart"/>
      <w:r w:rsidRPr="007A1135">
        <w:rPr>
          <w:rFonts w:ascii="Hiragino Sans GB" w:eastAsia="Hiragino Sans GB" w:hAnsi="Hiragino Sans GB" w:cs="Times New Roman"/>
          <w:color w:val="1A1D23"/>
          <w:kern w:val="0"/>
          <w:sz w:val="24"/>
          <w14:ligatures w14:val="none"/>
        </w:rPr>
        <w:t>00097.x.</w:t>
      </w:r>
      <w:proofErr w:type="gramEnd"/>
    </w:p>
    <w:p w14:paraId="75F737CA" w14:textId="77777777" w:rsidR="007A1135" w:rsidRPr="007A1135" w:rsidRDefault="007A1135" w:rsidP="007A1135">
      <w:pPr>
        <w:widowControl/>
        <w:numPr>
          <w:ilvl w:val="0"/>
          <w:numId w:val="1"/>
        </w:numPr>
        <w:shd w:val="clear" w:color="auto" w:fill="FFFFFF"/>
        <w:spacing w:before="48" w:after="48" w:line="240" w:lineRule="auto"/>
        <w:rPr>
          <w:rFonts w:ascii="Hiragino Sans GB" w:eastAsia="Hiragino Sans GB" w:hAnsi="Hiragino Sans GB" w:cs="Times New Roman"/>
          <w:color w:val="1A1D23"/>
          <w:kern w:val="0"/>
          <w:sz w:val="24"/>
          <w14:ligatures w14:val="none"/>
        </w:rPr>
      </w:pPr>
      <w:r w:rsidRPr="007A1135">
        <w:rPr>
          <w:rFonts w:ascii="Hiragino Sans GB" w:eastAsia="Hiragino Sans GB" w:hAnsi="Hiragino Sans GB" w:cs="Times New Roman"/>
          <w:color w:val="1A1D23"/>
          <w:kern w:val="0"/>
          <w:sz w:val="24"/>
          <w14:ligatures w14:val="none"/>
        </w:rPr>
        <w:t>Ramon Magsaysay Award Foundation (2011) </w:t>
      </w:r>
      <w:r w:rsidRPr="007A1135">
        <w:rPr>
          <w:rFonts w:ascii="Hiragino Sans GB" w:eastAsia="Hiragino Sans GB" w:hAnsi="Hiragino Sans GB" w:cs="Times New Roman"/>
          <w:i/>
          <w:iCs/>
          <w:color w:val="1A1D23"/>
          <w:kern w:val="0"/>
          <w:sz w:val="24"/>
          <w14:ligatures w14:val="none"/>
        </w:rPr>
        <w:t>Hande, Harish</w:t>
      </w:r>
      <w:r w:rsidRPr="007A1135">
        <w:rPr>
          <w:rFonts w:ascii="Hiragino Sans GB" w:eastAsia="Hiragino Sans GB" w:hAnsi="Hiragino Sans GB" w:cs="Times New Roman"/>
          <w:color w:val="1A1D23"/>
          <w:kern w:val="0"/>
          <w:sz w:val="24"/>
          <w14:ligatures w14:val="none"/>
        </w:rPr>
        <w:t>. Available at: </w:t>
      </w:r>
      <w:hyperlink r:id="rId8" w:history="1">
        <w:r w:rsidRPr="007A1135">
          <w:rPr>
            <w:rFonts w:ascii="Hiragino Sans GB" w:eastAsia="Hiragino Sans GB" w:hAnsi="Hiragino Sans GB" w:cs="Times New Roman"/>
            <w:color w:val="0000FF"/>
            <w:kern w:val="0"/>
            <w:sz w:val="24"/>
            <w:u w:val="single"/>
            <w14:ligatures w14:val="none"/>
          </w:rPr>
          <w:t>https://rmaward.asia/rmawardees/hande-harish/</w:t>
        </w:r>
      </w:hyperlink>
      <w:r w:rsidRPr="007A1135">
        <w:rPr>
          <w:rFonts w:ascii="Hiragino Sans GB" w:eastAsia="Hiragino Sans GB" w:hAnsi="Hiragino Sans GB" w:cs="Times New Roman"/>
          <w:color w:val="1A1D23"/>
          <w:kern w:val="0"/>
          <w:sz w:val="24"/>
          <w14:ligatures w14:val="none"/>
        </w:rPr>
        <w:t> (Accessed: 16 October 2026).</w:t>
      </w:r>
    </w:p>
    <w:p w14:paraId="28242C5B" w14:textId="77777777" w:rsidR="007A1135" w:rsidRPr="007A1135" w:rsidRDefault="007A1135" w:rsidP="007A1135">
      <w:pPr>
        <w:widowControl/>
        <w:numPr>
          <w:ilvl w:val="0"/>
          <w:numId w:val="1"/>
        </w:numPr>
        <w:shd w:val="clear" w:color="auto" w:fill="FFFFFF"/>
        <w:spacing w:before="48" w:after="48" w:line="240" w:lineRule="auto"/>
        <w:rPr>
          <w:rFonts w:ascii="Hiragino Sans GB" w:eastAsia="Hiragino Sans GB" w:hAnsi="Hiragino Sans GB" w:cs="Times New Roman"/>
          <w:color w:val="1A1D23"/>
          <w:kern w:val="0"/>
          <w:sz w:val="24"/>
          <w14:ligatures w14:val="none"/>
        </w:rPr>
      </w:pPr>
      <w:r w:rsidRPr="007A1135">
        <w:rPr>
          <w:rFonts w:ascii="Hiragino Sans GB" w:eastAsia="Hiragino Sans GB" w:hAnsi="Hiragino Sans GB" w:cs="Times New Roman"/>
          <w:color w:val="1A1D23"/>
          <w:kern w:val="0"/>
          <w:sz w:val="24"/>
          <w14:ligatures w14:val="none"/>
        </w:rPr>
        <w:lastRenderedPageBreak/>
        <w:t>Schumpeter, J.A. (1947) 'The creative response in economic history', </w:t>
      </w:r>
      <w:r w:rsidRPr="007A1135">
        <w:rPr>
          <w:rFonts w:ascii="Hiragino Sans GB" w:eastAsia="Hiragino Sans GB" w:hAnsi="Hiragino Sans GB" w:cs="Times New Roman"/>
          <w:i/>
          <w:iCs/>
          <w:color w:val="1A1D23"/>
          <w:kern w:val="0"/>
          <w:sz w:val="24"/>
          <w14:ligatures w14:val="none"/>
        </w:rPr>
        <w:t>The Journal of Economic History</w:t>
      </w:r>
      <w:r w:rsidRPr="007A1135">
        <w:rPr>
          <w:rFonts w:ascii="Hiragino Sans GB" w:eastAsia="Hiragino Sans GB" w:hAnsi="Hiragino Sans GB" w:cs="Times New Roman"/>
          <w:color w:val="1A1D23"/>
          <w:kern w:val="0"/>
          <w:sz w:val="24"/>
          <w14:ligatures w14:val="none"/>
        </w:rPr>
        <w:t>, 7(2), pp. 149–159. doi:10.1017/S0022050700054279.</w:t>
      </w:r>
    </w:p>
    <w:p w14:paraId="0EC66F29" w14:textId="77777777" w:rsidR="007A1135" w:rsidRPr="007A1135" w:rsidRDefault="007A1135" w:rsidP="007A1135">
      <w:pPr>
        <w:widowControl/>
        <w:numPr>
          <w:ilvl w:val="0"/>
          <w:numId w:val="1"/>
        </w:numPr>
        <w:shd w:val="clear" w:color="auto" w:fill="FFFFFF"/>
        <w:spacing w:before="48" w:after="48" w:line="240" w:lineRule="auto"/>
        <w:rPr>
          <w:rFonts w:ascii="Hiragino Sans GB" w:eastAsia="Hiragino Sans GB" w:hAnsi="Hiragino Sans GB" w:cs="Times New Roman"/>
          <w:color w:val="1A1D23"/>
          <w:kern w:val="0"/>
          <w:sz w:val="24"/>
          <w14:ligatures w14:val="none"/>
        </w:rPr>
      </w:pPr>
      <w:r w:rsidRPr="007A1135">
        <w:rPr>
          <w:rFonts w:ascii="Hiragino Sans GB" w:eastAsia="Hiragino Sans GB" w:hAnsi="Hiragino Sans GB" w:cs="Times New Roman"/>
          <w:color w:val="1A1D23"/>
          <w:kern w:val="0"/>
          <w:sz w:val="24"/>
          <w14:ligatures w14:val="none"/>
        </w:rPr>
        <w:t>Skoll Foundation (n.d.) </w:t>
      </w:r>
      <w:r w:rsidRPr="007A1135">
        <w:rPr>
          <w:rFonts w:ascii="Hiragino Sans GB" w:eastAsia="Hiragino Sans GB" w:hAnsi="Hiragino Sans GB" w:cs="Times New Roman"/>
          <w:i/>
          <w:iCs/>
          <w:color w:val="1A1D23"/>
          <w:kern w:val="0"/>
          <w:sz w:val="24"/>
          <w14:ligatures w14:val="none"/>
        </w:rPr>
        <w:t>SELCO Foundation</w:t>
      </w:r>
      <w:r w:rsidRPr="007A1135">
        <w:rPr>
          <w:rFonts w:ascii="Hiragino Sans GB" w:eastAsia="Hiragino Sans GB" w:hAnsi="Hiragino Sans GB" w:cs="Times New Roman"/>
          <w:color w:val="1A1D23"/>
          <w:kern w:val="0"/>
          <w:sz w:val="24"/>
          <w14:ligatures w14:val="none"/>
        </w:rPr>
        <w:t>. Available at: </w:t>
      </w:r>
      <w:hyperlink r:id="rId9" w:history="1">
        <w:r w:rsidRPr="007A1135">
          <w:rPr>
            <w:rFonts w:ascii="Hiragino Sans GB" w:eastAsia="Hiragino Sans GB" w:hAnsi="Hiragino Sans GB" w:cs="Times New Roman"/>
            <w:color w:val="0000FF"/>
            <w:kern w:val="0"/>
            <w:sz w:val="24"/>
            <w:u w:val="single"/>
            <w14:ligatures w14:val="none"/>
          </w:rPr>
          <w:t>https://skoll.org/organization/selco-foundation/</w:t>
        </w:r>
      </w:hyperlink>
      <w:r w:rsidRPr="007A1135">
        <w:rPr>
          <w:rFonts w:ascii="Hiragino Sans GB" w:eastAsia="Hiragino Sans GB" w:hAnsi="Hiragino Sans GB" w:cs="Times New Roman"/>
          <w:color w:val="1A1D23"/>
          <w:kern w:val="0"/>
          <w:sz w:val="24"/>
          <w14:ligatures w14:val="none"/>
        </w:rPr>
        <w:t> (Accessed: 16 October 2026).</w:t>
      </w:r>
    </w:p>
    <w:p w14:paraId="6DA33209" w14:textId="77777777" w:rsidR="007A1135" w:rsidRPr="007A1135" w:rsidRDefault="007A1135" w:rsidP="007A1135">
      <w:pPr>
        <w:widowControl/>
        <w:numPr>
          <w:ilvl w:val="0"/>
          <w:numId w:val="1"/>
        </w:numPr>
        <w:shd w:val="clear" w:color="auto" w:fill="FFFFFF"/>
        <w:spacing w:before="48" w:after="48" w:line="240" w:lineRule="auto"/>
        <w:rPr>
          <w:rFonts w:ascii="Hiragino Sans GB" w:eastAsia="Hiragino Sans GB" w:hAnsi="Hiragino Sans GB" w:cs="Times New Roman"/>
          <w:color w:val="1A1D23"/>
          <w:kern w:val="0"/>
          <w:sz w:val="24"/>
          <w14:ligatures w14:val="none"/>
        </w:rPr>
      </w:pPr>
      <w:r w:rsidRPr="007A1135">
        <w:rPr>
          <w:rFonts w:ascii="Hiragino Sans GB" w:eastAsia="Hiragino Sans GB" w:hAnsi="Hiragino Sans GB" w:cs="Times New Roman"/>
          <w:color w:val="1A1D23"/>
          <w:kern w:val="0"/>
          <w:sz w:val="24"/>
          <w14:ligatures w14:val="none"/>
        </w:rPr>
        <w:t>Vahlne, J.-E. and Johanson, J. (2017) 'From internationalization to evolution: the Uppsala model at 40 years', </w:t>
      </w:r>
      <w:r w:rsidRPr="007A1135">
        <w:rPr>
          <w:rFonts w:ascii="Hiragino Sans GB" w:eastAsia="Hiragino Sans GB" w:hAnsi="Hiragino Sans GB" w:cs="Times New Roman"/>
          <w:i/>
          <w:iCs/>
          <w:color w:val="1A1D23"/>
          <w:kern w:val="0"/>
          <w:sz w:val="24"/>
          <w14:ligatures w14:val="none"/>
        </w:rPr>
        <w:t>Journal of International Business Studies</w:t>
      </w:r>
      <w:r w:rsidRPr="007A1135">
        <w:rPr>
          <w:rFonts w:ascii="Hiragino Sans GB" w:eastAsia="Hiragino Sans GB" w:hAnsi="Hiragino Sans GB" w:cs="Times New Roman"/>
          <w:color w:val="1A1D23"/>
          <w:kern w:val="0"/>
          <w:sz w:val="24"/>
          <w14:ligatures w14:val="none"/>
        </w:rPr>
        <w:t>, 48(9), pp. 1087–1102. doi:10.1057/s41267-017-0107-7.</w:t>
      </w:r>
    </w:p>
    <w:p w14:paraId="5F86B7C4" w14:textId="77777777" w:rsidR="007A1135" w:rsidRPr="007A1135" w:rsidRDefault="007A1135">
      <w:pPr>
        <w:rPr>
          <w:rFonts w:hint="eastAsia"/>
        </w:rPr>
      </w:pPr>
    </w:p>
    <w:p w14:paraId="06EF251B" w14:textId="1F6F2C2A" w:rsidR="007A1135" w:rsidRPr="007A1135" w:rsidRDefault="007A1135" w:rsidP="007A1135">
      <w:pPr>
        <w:tabs>
          <w:tab w:val="left" w:pos="5205"/>
        </w:tabs>
      </w:pPr>
      <w:r>
        <w:tab/>
      </w:r>
    </w:p>
    <w:sectPr w:rsidR="007A1135" w:rsidRPr="007A11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Hiragino Sans GB">
    <w:panose1 w:val="020B0300000000000000"/>
    <w:charset w:val="80"/>
    <w:family w:val="swiss"/>
    <w:pitch w:val="variable"/>
    <w:sig w:usb0="A00002BF" w:usb1="1ACF7CFA" w:usb2="00000016" w:usb3="00000000" w:csb0="000600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271EDB"/>
    <w:multiLevelType w:val="multilevel"/>
    <w:tmpl w:val="E67A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13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135"/>
    <w:rsid w:val="005D2CF0"/>
    <w:rsid w:val="007A1135"/>
    <w:rsid w:val="007F61FB"/>
    <w:rsid w:val="00860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34E06F5"/>
  <w15:chartTrackingRefBased/>
  <w15:docId w15:val="{DFC7D082-5B96-9947-9714-73A433C86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A11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11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A11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11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113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A113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113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113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A113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11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11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A11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1135"/>
    <w:rPr>
      <w:rFonts w:cstheme="majorBidi"/>
      <w:color w:val="0F4761" w:themeColor="accent1" w:themeShade="BF"/>
      <w:sz w:val="28"/>
      <w:szCs w:val="28"/>
    </w:rPr>
  </w:style>
  <w:style w:type="character" w:customStyle="1" w:styleId="50">
    <w:name w:val="标题 5 字符"/>
    <w:basedOn w:val="a0"/>
    <w:link w:val="5"/>
    <w:uiPriority w:val="9"/>
    <w:semiHidden/>
    <w:rsid w:val="007A1135"/>
    <w:rPr>
      <w:rFonts w:cstheme="majorBidi"/>
      <w:color w:val="0F4761" w:themeColor="accent1" w:themeShade="BF"/>
      <w:sz w:val="24"/>
    </w:rPr>
  </w:style>
  <w:style w:type="character" w:customStyle="1" w:styleId="60">
    <w:name w:val="标题 6 字符"/>
    <w:basedOn w:val="a0"/>
    <w:link w:val="6"/>
    <w:uiPriority w:val="9"/>
    <w:semiHidden/>
    <w:rsid w:val="007A1135"/>
    <w:rPr>
      <w:rFonts w:cstheme="majorBidi"/>
      <w:b/>
      <w:bCs/>
      <w:color w:val="0F4761" w:themeColor="accent1" w:themeShade="BF"/>
    </w:rPr>
  </w:style>
  <w:style w:type="character" w:customStyle="1" w:styleId="70">
    <w:name w:val="标题 7 字符"/>
    <w:basedOn w:val="a0"/>
    <w:link w:val="7"/>
    <w:uiPriority w:val="9"/>
    <w:semiHidden/>
    <w:rsid w:val="007A1135"/>
    <w:rPr>
      <w:rFonts w:cstheme="majorBidi"/>
      <w:b/>
      <w:bCs/>
      <w:color w:val="595959" w:themeColor="text1" w:themeTint="A6"/>
    </w:rPr>
  </w:style>
  <w:style w:type="character" w:customStyle="1" w:styleId="80">
    <w:name w:val="标题 8 字符"/>
    <w:basedOn w:val="a0"/>
    <w:link w:val="8"/>
    <w:uiPriority w:val="9"/>
    <w:semiHidden/>
    <w:rsid w:val="007A1135"/>
    <w:rPr>
      <w:rFonts w:cstheme="majorBidi"/>
      <w:color w:val="595959" w:themeColor="text1" w:themeTint="A6"/>
    </w:rPr>
  </w:style>
  <w:style w:type="character" w:customStyle="1" w:styleId="90">
    <w:name w:val="标题 9 字符"/>
    <w:basedOn w:val="a0"/>
    <w:link w:val="9"/>
    <w:uiPriority w:val="9"/>
    <w:semiHidden/>
    <w:rsid w:val="007A1135"/>
    <w:rPr>
      <w:rFonts w:eastAsiaTheme="majorEastAsia" w:cstheme="majorBidi"/>
      <w:color w:val="595959" w:themeColor="text1" w:themeTint="A6"/>
    </w:rPr>
  </w:style>
  <w:style w:type="paragraph" w:styleId="a3">
    <w:name w:val="Title"/>
    <w:basedOn w:val="a"/>
    <w:next w:val="a"/>
    <w:link w:val="a4"/>
    <w:uiPriority w:val="10"/>
    <w:qFormat/>
    <w:rsid w:val="007A11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11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11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11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1135"/>
    <w:pPr>
      <w:spacing w:before="160"/>
      <w:jc w:val="center"/>
    </w:pPr>
    <w:rPr>
      <w:i/>
      <w:iCs/>
      <w:color w:val="404040" w:themeColor="text1" w:themeTint="BF"/>
    </w:rPr>
  </w:style>
  <w:style w:type="character" w:customStyle="1" w:styleId="a8">
    <w:name w:val="引用 字符"/>
    <w:basedOn w:val="a0"/>
    <w:link w:val="a7"/>
    <w:uiPriority w:val="29"/>
    <w:rsid w:val="007A1135"/>
    <w:rPr>
      <w:i/>
      <w:iCs/>
      <w:color w:val="404040" w:themeColor="text1" w:themeTint="BF"/>
    </w:rPr>
  </w:style>
  <w:style w:type="paragraph" w:styleId="a9">
    <w:name w:val="List Paragraph"/>
    <w:basedOn w:val="a"/>
    <w:uiPriority w:val="34"/>
    <w:qFormat/>
    <w:rsid w:val="007A1135"/>
    <w:pPr>
      <w:ind w:left="720"/>
      <w:contextualSpacing/>
    </w:pPr>
  </w:style>
  <w:style w:type="character" w:styleId="aa">
    <w:name w:val="Intense Emphasis"/>
    <w:basedOn w:val="a0"/>
    <w:uiPriority w:val="21"/>
    <w:qFormat/>
    <w:rsid w:val="007A1135"/>
    <w:rPr>
      <w:i/>
      <w:iCs/>
      <w:color w:val="0F4761" w:themeColor="accent1" w:themeShade="BF"/>
    </w:rPr>
  </w:style>
  <w:style w:type="paragraph" w:styleId="ab">
    <w:name w:val="Intense Quote"/>
    <w:basedOn w:val="a"/>
    <w:next w:val="a"/>
    <w:link w:val="ac"/>
    <w:uiPriority w:val="30"/>
    <w:qFormat/>
    <w:rsid w:val="007A1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1135"/>
    <w:rPr>
      <w:i/>
      <w:iCs/>
      <w:color w:val="0F4761" w:themeColor="accent1" w:themeShade="BF"/>
    </w:rPr>
  </w:style>
  <w:style w:type="character" w:styleId="ad">
    <w:name w:val="Intense Reference"/>
    <w:basedOn w:val="a0"/>
    <w:uiPriority w:val="32"/>
    <w:qFormat/>
    <w:rsid w:val="007A1135"/>
    <w:rPr>
      <w:b/>
      <w:bCs/>
      <w:smallCaps/>
      <w:color w:val="0F4761" w:themeColor="accent1" w:themeShade="BF"/>
      <w:spacing w:val="5"/>
    </w:rPr>
  </w:style>
  <w:style w:type="paragraph" w:styleId="ae">
    <w:name w:val="Normal (Web)"/>
    <w:basedOn w:val="a"/>
    <w:uiPriority w:val="99"/>
    <w:semiHidden/>
    <w:unhideWhenUsed/>
    <w:rsid w:val="007A1135"/>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af">
    <w:name w:val="Strong"/>
    <w:basedOn w:val="a0"/>
    <w:uiPriority w:val="22"/>
    <w:qFormat/>
    <w:rsid w:val="007A1135"/>
    <w:rPr>
      <w:b/>
      <w:bCs/>
    </w:rPr>
  </w:style>
  <w:style w:type="character" w:customStyle="1" w:styleId="apple-converted-space">
    <w:name w:val="apple-converted-space"/>
    <w:basedOn w:val="a0"/>
    <w:rsid w:val="007A1135"/>
  </w:style>
  <w:style w:type="character" w:styleId="af0">
    <w:name w:val="Emphasis"/>
    <w:basedOn w:val="a0"/>
    <w:uiPriority w:val="20"/>
    <w:qFormat/>
    <w:rsid w:val="007A1135"/>
    <w:rPr>
      <w:i/>
      <w:iCs/>
    </w:rPr>
  </w:style>
  <w:style w:type="character" w:styleId="af1">
    <w:name w:val="Hyperlink"/>
    <w:basedOn w:val="a0"/>
    <w:uiPriority w:val="99"/>
    <w:semiHidden/>
    <w:unhideWhenUsed/>
    <w:rsid w:val="007A11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maward.asia/rmawardees/hande-harish/" TargetMode="External"/><Relationship Id="rId3" Type="http://schemas.openxmlformats.org/officeDocument/2006/relationships/settings" Target="settings.xml"/><Relationship Id="rId7" Type="http://schemas.openxmlformats.org/officeDocument/2006/relationships/hyperlink" Target="https://madaniberkelanjutan.id/news-event/658-000-families-without-electricity-why-community-based-energy-transition-is-indonesia-s-answ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se.fuqua.duke.edu/wp-content/uploads/2025/03/Article_Dees_MeaningofSocialEntrepreneurship_2001.pdf" TargetMode="External"/><Relationship Id="rId11" Type="http://schemas.openxmlformats.org/officeDocument/2006/relationships/theme" Target="theme/theme1.xml"/><Relationship Id="rId5" Type="http://schemas.openxmlformats.org/officeDocument/2006/relationships/hyperlink" Target="https://www.ashoka.org/en-sg/fellow/harish-hand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koll.org/organization/selco-foundatio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1623</Words>
  <Characters>9252</Characters>
  <Application>Microsoft Office Word</Application>
  <DocSecurity>0</DocSecurity>
  <Lines>77</Lines>
  <Paragraphs>21</Paragraphs>
  <ScaleCrop>false</ScaleCrop>
  <Company/>
  <LinksUpToDate>false</LinksUpToDate>
  <CharactersWithSpaces>10854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2026-10-21T03:38:00Z</dcterms:created>
  <dcterms:modified xsi:type="dcterms:W3CDTF">2026-10-21T03:44:00Z</dcterms:modified>
</cp:coreProperties>
</file>