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8FD2C4" w14:textId="21338AC7" w:rsidR="007F61FB" w:rsidRPr="0023729B" w:rsidRDefault="007A1135">
      <w:pPr>
        <w:rPr>
          <w:rFonts w:ascii="Arial" w:hAnsi="Arial" w:cs="Arial"/>
          <w:sz w:val="24"/>
        </w:rPr>
      </w:pPr>
      <w:r w:rsidRPr="0023729B">
        <w:rPr>
          <w:rFonts w:ascii="Arial" w:hAnsi="Arial" w:cs="Arial"/>
          <w:sz w:val="24"/>
        </w:rPr>
        <w:t>Global Entrepreneurship and Innovation learning diary from [student ID]</w:t>
      </w:r>
    </w:p>
    <w:p w14:paraId="24F07855" w14:textId="77777777" w:rsidR="007A1135" w:rsidRPr="0023729B" w:rsidRDefault="007A1135">
      <w:pPr>
        <w:rPr>
          <w:rFonts w:ascii="Arial" w:hAnsi="Arial" w:cs="Arial"/>
          <w:sz w:val="24"/>
        </w:rPr>
      </w:pPr>
    </w:p>
    <w:p w14:paraId="3A63447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1. Venture Overview</w:t>
      </w:r>
    </w:p>
    <w:p w14:paraId="0D45707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SELCO India is a for-profit social enterprise founded by Harish Hande in Bangalore in 1995 (Ramon Magsaysay Award Foundation, 2011), and Hande is an Ashoka Fellow (Ashoka, n.d.). In 2011, nearly half of Indian households had no electricity, and many poor rural families relied on kerosene lamps and candles. It was widely believed that the poor could neither afford nor maintain modern technology (Ramon Magsaysay Award Foundation, 2011). In 1994, before founding SELCO, Hande visited villages without electricity to understand what people really needed (Goyal, Sergi and Kapoor, 2017, p. 100). SELCO provides small, </w:t>
      </w:r>
      <w:proofErr w:type="spellStart"/>
      <w:r w:rsidRPr="0023729B">
        <w:rPr>
          <w:rFonts w:ascii="Arial" w:eastAsia="Hiragino Sans GB" w:hAnsi="Arial" w:cs="Arial"/>
          <w:color w:val="1A1D23"/>
        </w:rPr>
        <w:t>decentralised</w:t>
      </w:r>
      <w:proofErr w:type="spellEnd"/>
      <w:r w:rsidRPr="0023729B">
        <w:rPr>
          <w:rFonts w:ascii="Arial" w:eastAsia="Hiragino Sans GB" w:hAnsi="Arial" w:cs="Arial"/>
          <w:color w:val="1A1D23"/>
        </w:rPr>
        <w:t xml:space="preserve"> solar systems, such as lights, water heaters and equipment that supports livelihoods. Each system is tailored to the household, and SELCO installs and repairs it (Ramon Magsaysay Award Foundation, 2011). To make the systems affordable, SELCO persuaded rural banks to offer small loans with instalments matched to customers' income and cash flow (Goyal, Sergi and Kapoor, 2017, p. 105). Its main partners are rural banks, microfinance institutions, self-help groups and NGOs (Ramon Magsaysay Award Foundation, 2011). By 2015, SELCO had installed more than 200,000 home solar lighting systems, reaching over one million people (Goyal, Sergi and Kapoor, 2017, p. 101).</w:t>
      </w:r>
    </w:p>
    <w:p w14:paraId="791BD4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2. Entrepreneurial Classification</w:t>
      </w:r>
    </w:p>
    <w:p w14:paraId="3BB29EB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 for its products and services.</w:t>
      </w:r>
    </w:p>
    <w:p w14:paraId="4E7EAE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w:t>
      </w:r>
      <w:proofErr w:type="spellStart"/>
      <w:r w:rsidRPr="0023729B">
        <w:rPr>
          <w:rFonts w:ascii="Arial" w:eastAsia="Hiragino Sans GB" w:hAnsi="Arial" w:cs="Arial"/>
          <w:color w:val="1A1D23"/>
        </w:rPr>
        <w:t>ecopreneurship</w:t>
      </w:r>
      <w:proofErr w:type="spellEnd"/>
      <w:r w:rsidRPr="0023729B">
        <w:rPr>
          <w:rFonts w:ascii="Arial" w:eastAsia="Hiragino Sans GB" w:hAnsi="Arial" w:cs="Arial"/>
          <w:color w:val="1A1D23"/>
        </w:rPr>
        <w:t xml:space="preserve">. Although solar energy is environmentally friendly, SELCO's mission is "enhancing the quality of life for underserved households through sustainable energy solutions and services" (Goyal, Sergi and Kapoor, 2017, p. 100): quality of life is the </w:t>
      </w:r>
      <w:proofErr w:type="gramStart"/>
      <w:r w:rsidRPr="0023729B">
        <w:rPr>
          <w:rFonts w:ascii="Arial" w:eastAsia="Hiragino Sans GB" w:hAnsi="Arial" w:cs="Arial"/>
          <w:color w:val="1A1D23"/>
        </w:rPr>
        <w:t>goal</w:t>
      </w:r>
      <w:proofErr w:type="gramEnd"/>
      <w:r w:rsidRPr="0023729B">
        <w:rPr>
          <w:rFonts w:ascii="Arial" w:eastAsia="Hiragino Sans GB" w:hAnsi="Arial" w:cs="Arial"/>
          <w:color w:val="1A1D23"/>
        </w:rPr>
        <w:t xml:space="preserve"> and solar energy is the means.</w:t>
      </w:r>
    </w:p>
    <w:p w14:paraId="6CF7CD9D"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intrapreneurship, which takes place within an existing </w:t>
      </w:r>
      <w:proofErr w:type="spellStart"/>
      <w:r w:rsidRPr="0023729B">
        <w:rPr>
          <w:rFonts w:ascii="Arial" w:eastAsia="Hiragino Sans GB" w:hAnsi="Arial" w:cs="Arial"/>
          <w:color w:val="1A1D23"/>
        </w:rPr>
        <w:t>organisation</w:t>
      </w:r>
      <w:proofErr w:type="spellEnd"/>
      <w:r w:rsidRPr="0023729B">
        <w:rPr>
          <w:rFonts w:ascii="Arial" w:eastAsia="Hiragino Sans GB" w:hAnsi="Arial" w:cs="Arial"/>
          <w:color w:val="1A1D23"/>
        </w:rPr>
        <w:t xml:space="preserve"> (</w:t>
      </w:r>
      <w:proofErr w:type="spellStart"/>
      <w:r w:rsidRPr="0023729B">
        <w:rPr>
          <w:rFonts w:ascii="Arial" w:eastAsia="Hiragino Sans GB" w:hAnsi="Arial" w:cs="Arial"/>
          <w:color w:val="1A1D23"/>
        </w:rPr>
        <w:t>Antoncic</w:t>
      </w:r>
      <w:proofErr w:type="spellEnd"/>
      <w:r w:rsidRPr="0023729B">
        <w:rPr>
          <w:rFonts w:ascii="Arial" w:eastAsia="Hiragino Sans GB" w:hAnsi="Arial" w:cs="Arial"/>
          <w:color w:val="1A1D23"/>
        </w:rPr>
        <w:t xml:space="preserve"> and Hisrich, 2003), because Hande founded SELCO as a new, independent company in 1995.</w:t>
      </w:r>
    </w:p>
    <w:p w14:paraId="7997FDB0"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international entrepreneurship, which involves discovering and exploiting opportunities across national borders (Oviatt and McDougall, 2005). SELCO India operates mainly in India; its model has been replicated in Africa </w:t>
      </w:r>
      <w:r w:rsidRPr="0023729B">
        <w:rPr>
          <w:rFonts w:ascii="Arial" w:eastAsia="Hiragino Sans GB" w:hAnsi="Arial" w:cs="Arial"/>
          <w:color w:val="1A1D23"/>
        </w:rPr>
        <w:lastRenderedPageBreak/>
        <w:t>and Southeast Asia by a separate non-profit, SELCO Foundation, through knowledge sharing and local partners (Skoll Foundation, n.d.).</w:t>
      </w:r>
    </w:p>
    <w:p w14:paraId="56EC3A4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 the 15 October tutorial on Singapore's ageing population, my group defined our users as people over 70 who live without family and feel lonely, and we quickly proposed a "visiting team" as the solution. Looking back, we should have done field research before choosing a solution, which is what Hande did when he visited villages before founding SELCO.</w:t>
      </w:r>
    </w:p>
    <w:p w14:paraId="114E0853"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3. Innovation Analysis</w:t>
      </w:r>
    </w:p>
    <w:p w14:paraId="79A20DB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Before SELCO, poor rural households could not pay for a solar system in one go, and banks were unwilling to lend to them. SELCO's answer was doorstep financing. Staff visit each household to assess its needs, cash flow and ability to pay, and then combine the equipment with a loan from a regional rural bank and after-sales support, which addresses accessibility and affordability (Goyal, Sergi and Kapoor, 2017, p. 104). Customers repay daily, monthly or quarterly, in line with their income cycle, at minimal interest rates (Goyal, Sergi and Kapoor, 2017, p. 105).</w:t>
      </w:r>
    </w:p>
    <w:p w14:paraId="58F56D8A"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and innovation is not the same as invention (Schumpeter, 1947). It is not </w:t>
      </w:r>
      <w:proofErr w:type="gramStart"/>
      <w:r w:rsidRPr="0023729B">
        <w:rPr>
          <w:rFonts w:ascii="Arial" w:eastAsia="Hiragino Sans GB" w:hAnsi="Arial" w:cs="Arial"/>
          <w:color w:val="1A1D23"/>
        </w:rPr>
        <w:t>process</w:t>
      </w:r>
      <w:proofErr w:type="gramEnd"/>
      <w:r w:rsidRPr="0023729B">
        <w:rPr>
          <w:rFonts w:ascii="Arial" w:eastAsia="Hiragino Sans GB" w:hAnsi="Arial" w:cs="Arial"/>
          <w:color w:val="1A1D23"/>
        </w:rPr>
        <w:t xml:space="preserve"> innovation, because it did not improve internal production. SELCO describes its innovation as covering "products, financing and services" (Goyal, Sergi and Kapoor, 2017, p. 102); installation and repair are services, but doorstep financing changes who pays and how, so it is mainly business model innovation.</w:t>
      </w:r>
    </w:p>
    <w:p w14:paraId="5A78203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Instalment payments and microcredit already existed, so the idea is not new to the world, but it was new to the region: it was the first time solar energy was sold in this way in rural India. It was a radical rather than incremental change, because it was an entirely new way of selling solar energy in rural India, not a small improvement to existing sales methods. Because it turns non-consumers, people who previously could not buy at all, into customers, it shows features of new-market disruption (Christensen, Raynor and McDonald, 2015, p. 47).</w:t>
      </w:r>
    </w:p>
    <w:p w14:paraId="4D79036C"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In the 1 October tutorial, my group used the business model canvas to </w:t>
      </w:r>
      <w:proofErr w:type="spellStart"/>
      <w:r w:rsidRPr="0023729B">
        <w:rPr>
          <w:rFonts w:ascii="Arial" w:eastAsia="Hiragino Sans GB" w:hAnsi="Arial" w:cs="Arial"/>
          <w:color w:val="1A1D23"/>
        </w:rPr>
        <w:t>analyse</w:t>
      </w:r>
      <w:proofErr w:type="spellEnd"/>
      <w:r w:rsidRPr="0023729B">
        <w:rPr>
          <w:rFonts w:ascii="Arial" w:eastAsia="Hiragino Sans GB" w:hAnsi="Arial" w:cs="Arial"/>
          <w:color w:val="1A1D23"/>
        </w:rPr>
        <w:t xml:space="preserve"> Pure Gym. We concluded that its innovation lay in customer segments and cost structure: it divided customers by usage (peak, off-peak, all-day and any-gym access) and offered different membership plans based on their willingness to pay.</w:t>
      </w:r>
    </w:p>
    <w:p w14:paraId="373163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lastRenderedPageBreak/>
        <w:t>4. Cross-Border Transfer Reflection</w:t>
      </w:r>
    </w:p>
    <w:p w14:paraId="7CB5CDA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Transferring SELCO's model to Indonesia would require careful targeting. Although Indonesia's national electrification ratio is 99.83% according to the Ministry of Energy and Mineral Resources, about 658,000 families still have no electricity and another 1.17 million households rely on diesel generators (Madani </w:t>
      </w:r>
      <w:proofErr w:type="spellStart"/>
      <w:r w:rsidRPr="0023729B">
        <w:rPr>
          <w:rFonts w:ascii="Arial" w:eastAsia="Hiragino Sans GB" w:hAnsi="Arial" w:cs="Arial"/>
          <w:color w:val="1A1D23"/>
        </w:rPr>
        <w:t>Berkelanjutan</w:t>
      </w:r>
      <w:proofErr w:type="spellEnd"/>
      <w:r w:rsidRPr="0023729B">
        <w:rPr>
          <w:rFonts w:ascii="Arial" w:eastAsia="Hiragino Sans GB" w:hAnsi="Arial" w:cs="Arial"/>
          <w:color w:val="1A1D23"/>
        </w:rPr>
        <w:t xml:space="preserve">, 2026). The gap is concentrated </w:t>
      </w:r>
      <w:proofErr w:type="gramStart"/>
      <w:r w:rsidRPr="0023729B">
        <w:rPr>
          <w:rFonts w:ascii="Arial" w:eastAsia="Hiragino Sans GB" w:hAnsi="Arial" w:cs="Arial"/>
          <w:color w:val="1A1D23"/>
        </w:rPr>
        <w:t>in</w:t>
      </w:r>
      <w:proofErr w:type="gramEnd"/>
      <w:r w:rsidRPr="0023729B">
        <w:rPr>
          <w:rFonts w:ascii="Arial" w:eastAsia="Hiragino Sans GB" w:hAnsi="Arial" w:cs="Arial"/>
          <w:color w:val="1A1D23"/>
        </w:rPr>
        <w:t xml:space="preserve"> the remote eastern islands, such as West Papua (89.80%) and East Nusa Tenggara (89.22%) (Madani </w:t>
      </w:r>
      <w:proofErr w:type="spellStart"/>
      <w:r w:rsidRPr="0023729B">
        <w:rPr>
          <w:rFonts w:ascii="Arial" w:eastAsia="Hiragino Sans GB" w:hAnsi="Arial" w:cs="Arial"/>
          <w:color w:val="1A1D23"/>
        </w:rPr>
        <w:t>Berkelanjutan</w:t>
      </w:r>
      <w:proofErr w:type="spellEnd"/>
      <w:r w:rsidRPr="0023729B">
        <w:rPr>
          <w:rFonts w:ascii="Arial" w:eastAsia="Hiragino Sans GB" w:hAnsi="Arial" w:cs="Arial"/>
          <w:color w:val="1A1D23"/>
        </w:rPr>
        <w:t>, 2026). However, this market is smaller than India's and spread across many islands, which raises logistics costs.</w:t>
      </w:r>
    </w:p>
    <w:p w14:paraId="659F24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SELCO's own experience shows that rural banking infrastructure is "an integral part to the success of our business model" (Goyal, Sergi and Kapoor, 2017, p. 102). The first step would therefore be to find local banks or microfinance institutions willing to lend to rural households. SELCO should also expand slowly and make sure that its partners share its mission.</w:t>
      </w:r>
    </w:p>
    <w:p w14:paraId="253AFE0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 would enter through a joint venture, setting up a new company with a local partner. A wholly owned subsidiary requires heavy investment, which a social enterprise cannot easily afford. Franchising is also unsuitable, because SELCO's early dealer network almost caused the company to fail and pulled it away from its mission (Ramon Magsaysay Award Foundation, 2011). The local partner would help to train local people as technicians and micro-entrepreneurs, work with local logistics firms and suppliers, and promote the products in the local language.</w:t>
      </w:r>
    </w:p>
    <w:p w14:paraId="63312BA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14:paraId="3CE8FD1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5. Learning Reflection</w:t>
      </w:r>
    </w:p>
    <w:p w14:paraId="5142816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 At the same time, I found that disruptive innovation theory does not fully fit SELCO: it explains well why SELCO serves non-consumers, but I do not think SELCO could replace existing competitors, because it only serves people who cannot afford mainstream products. The </w:t>
      </w:r>
      <w:r w:rsidRPr="0023729B">
        <w:rPr>
          <w:rFonts w:ascii="Arial" w:eastAsia="Hiragino Sans GB" w:hAnsi="Arial" w:cs="Arial"/>
          <w:color w:val="1A1D23"/>
        </w:rPr>
        <w:lastRenderedPageBreak/>
        <w:t>tutorial that influenced me most was the ageing exercise, which showed me the importance of real field research before designing a solution.</w:t>
      </w:r>
    </w:p>
    <w:p w14:paraId="4CAEAD99" w14:textId="77777777" w:rsidR="007A1135" w:rsidRPr="0023729B" w:rsidRDefault="007A1135">
      <w:pPr>
        <w:rPr>
          <w:rFonts w:ascii="Arial" w:hAnsi="Arial" w:cs="Arial"/>
          <w:sz w:val="24"/>
        </w:rPr>
      </w:pPr>
    </w:p>
    <w:p w14:paraId="15E67257" w14:textId="04AA6F74" w:rsidR="007A1135" w:rsidRPr="0023729B" w:rsidRDefault="007A1135" w:rsidP="007A1135">
      <w:pPr>
        <w:widowControl/>
        <w:shd w:val="clear" w:color="auto" w:fill="FFFFFF"/>
        <w:spacing w:after="120" w:line="240" w:lineRule="auto"/>
        <w:outlineLvl w:val="2"/>
        <w:rPr>
          <w:rFonts w:ascii="Arial" w:eastAsia="Hiragino Sans GB" w:hAnsi="Arial" w:cs="Arial"/>
          <w:b/>
          <w:bCs/>
          <w:color w:val="1A1D23"/>
          <w:kern w:val="0"/>
          <w:sz w:val="24"/>
          <w14:ligatures w14:val="none"/>
        </w:rPr>
      </w:pPr>
      <w:r w:rsidRPr="0023729B">
        <w:rPr>
          <w:rFonts w:ascii="Arial" w:eastAsia="Hiragino Sans GB" w:hAnsi="Arial" w:cs="Arial"/>
          <w:b/>
          <w:bCs/>
          <w:color w:val="1A1D23"/>
          <w:kern w:val="0"/>
          <w:sz w:val="24"/>
          <w14:ligatures w14:val="none"/>
        </w:rPr>
        <w:t>References</w:t>
      </w:r>
    </w:p>
    <w:p w14:paraId="44BD21C3"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proofErr w:type="spellStart"/>
      <w:r w:rsidRPr="0023729B">
        <w:rPr>
          <w:rFonts w:ascii="Arial" w:eastAsia="Hiragino Sans GB" w:hAnsi="Arial" w:cs="Arial"/>
          <w:color w:val="1A1D23"/>
          <w:kern w:val="0"/>
          <w:sz w:val="24"/>
          <w14:ligatures w14:val="none"/>
        </w:rPr>
        <w:t>Antoncic</w:t>
      </w:r>
      <w:proofErr w:type="spellEnd"/>
      <w:r w:rsidRPr="0023729B">
        <w:rPr>
          <w:rFonts w:ascii="Arial" w:eastAsia="Hiragino Sans GB" w:hAnsi="Arial" w:cs="Arial"/>
          <w:color w:val="1A1D23"/>
          <w:kern w:val="0"/>
          <w:sz w:val="24"/>
          <w14:ligatures w14:val="none"/>
        </w:rPr>
        <w:t>, B. and Hisrich, R.D. (2003) 'Clarifying the intrapreneurship concept', </w:t>
      </w:r>
      <w:r w:rsidRPr="0023729B">
        <w:rPr>
          <w:rFonts w:ascii="Arial" w:eastAsia="Hiragino Sans GB" w:hAnsi="Arial" w:cs="Arial"/>
          <w:i/>
          <w:iCs/>
          <w:color w:val="1A1D23"/>
          <w:kern w:val="0"/>
          <w:sz w:val="24"/>
          <w14:ligatures w14:val="none"/>
        </w:rPr>
        <w:t>Journal of Small Business and Enterprise Development</w:t>
      </w:r>
      <w:r w:rsidRPr="0023729B">
        <w:rPr>
          <w:rFonts w:ascii="Arial" w:eastAsia="Hiragino Sans GB" w:hAnsi="Arial" w:cs="Arial"/>
          <w:color w:val="1A1D23"/>
          <w:kern w:val="0"/>
          <w:sz w:val="24"/>
          <w14:ligatures w14:val="none"/>
        </w:rPr>
        <w:t>, 10(1), pp. 7–24. doi:10.1108/14626000310461187.</w:t>
      </w:r>
    </w:p>
    <w:p w14:paraId="26C50B7C" w14:textId="71A5BE3D"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Ashoka (n.d.) </w:t>
      </w:r>
      <w:r w:rsidRPr="0023729B">
        <w:rPr>
          <w:rFonts w:ascii="Arial" w:eastAsia="Hiragino Sans GB" w:hAnsi="Arial" w:cs="Arial"/>
          <w:i/>
          <w:iCs/>
          <w:color w:val="1A1D23"/>
          <w:kern w:val="0"/>
          <w:sz w:val="24"/>
          <w14:ligatures w14:val="none"/>
        </w:rPr>
        <w:t>Harish Hande</w:t>
      </w:r>
      <w:r w:rsidRPr="0023729B">
        <w:rPr>
          <w:rFonts w:ascii="Arial" w:eastAsia="Hiragino Sans GB" w:hAnsi="Arial" w:cs="Arial"/>
          <w:color w:val="1A1D23"/>
          <w:kern w:val="0"/>
          <w:sz w:val="24"/>
          <w14:ligatures w14:val="none"/>
        </w:rPr>
        <w:t>. Available at: </w:t>
      </w:r>
      <w:hyperlink r:id="rId5" w:history="1">
        <w:r w:rsidRPr="0023729B">
          <w:rPr>
            <w:rFonts w:ascii="Arial" w:eastAsia="Hiragino Sans GB" w:hAnsi="Arial" w:cs="Arial"/>
            <w:color w:val="0000FF"/>
            <w:kern w:val="0"/>
            <w:sz w:val="24"/>
            <w:u w:val="single"/>
            <w14:ligatures w14:val="none"/>
          </w:rPr>
          <w:t>https://www.ashoka.org/en-sg/fellow/harish-hande</w:t>
        </w:r>
      </w:hyperlink>
      <w:r w:rsidRPr="0023729B">
        <w:rPr>
          <w:rFonts w:ascii="Arial" w:eastAsia="Hiragino Sans GB" w:hAnsi="Arial" w:cs="Arial"/>
          <w:color w:val="1A1D23"/>
          <w:kern w:val="0"/>
          <w:sz w:val="24"/>
          <w14:ligatures w14:val="none"/>
        </w:rPr>
        <w:t>(Accessed: 16 October 2026).</w:t>
      </w:r>
    </w:p>
    <w:p w14:paraId="70565F1F"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Christensen, C.M., Raynor, M.E. and McDonald, R. (2015) 'What is disruptive innovation?', </w:t>
      </w:r>
      <w:r w:rsidRPr="0023729B">
        <w:rPr>
          <w:rFonts w:ascii="Arial" w:eastAsia="Hiragino Sans GB" w:hAnsi="Arial" w:cs="Arial"/>
          <w:i/>
          <w:iCs/>
          <w:color w:val="1A1D23"/>
          <w:kern w:val="0"/>
          <w:sz w:val="24"/>
          <w14:ligatures w14:val="none"/>
        </w:rPr>
        <w:t>Harvard Business Review</w:t>
      </w:r>
      <w:r w:rsidRPr="0023729B">
        <w:rPr>
          <w:rFonts w:ascii="Arial" w:eastAsia="Hiragino Sans GB" w:hAnsi="Arial" w:cs="Arial"/>
          <w:color w:val="1A1D23"/>
          <w:kern w:val="0"/>
          <w:sz w:val="24"/>
          <w14:ligatures w14:val="none"/>
        </w:rPr>
        <w:t>, 93(12), pp. 44–53.</w:t>
      </w:r>
    </w:p>
    <w:p w14:paraId="3C8C289D"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Dees, J.G. (2001) </w:t>
      </w:r>
      <w:r w:rsidRPr="0023729B">
        <w:rPr>
          <w:rFonts w:ascii="Arial" w:eastAsia="Hiragino Sans GB" w:hAnsi="Arial" w:cs="Arial"/>
          <w:i/>
          <w:iCs/>
          <w:color w:val="1A1D23"/>
          <w:kern w:val="0"/>
          <w:sz w:val="24"/>
          <w14:ligatures w14:val="none"/>
        </w:rPr>
        <w:t>The meaning of social entrepreneurship</w:t>
      </w:r>
      <w:r w:rsidRPr="0023729B">
        <w:rPr>
          <w:rFonts w:ascii="Arial" w:eastAsia="Hiragino Sans GB" w:hAnsi="Arial" w:cs="Arial"/>
          <w:color w:val="1A1D23"/>
          <w:kern w:val="0"/>
          <w:sz w:val="24"/>
          <w14:ligatures w14:val="none"/>
        </w:rPr>
        <w:t>. Original draft 1998, revised May 2001. Available at: </w:t>
      </w:r>
      <w:hyperlink r:id="rId6" w:history="1">
        <w:r w:rsidRPr="0023729B">
          <w:rPr>
            <w:rFonts w:ascii="Arial" w:eastAsia="Hiragino Sans GB" w:hAnsi="Arial" w:cs="Arial"/>
            <w:color w:val="0000FF"/>
            <w:kern w:val="0"/>
            <w:sz w:val="24"/>
            <w:u w:val="single"/>
            <w14:ligatures w14:val="none"/>
          </w:rPr>
          <w:t>https://case.fuqua.duke.edu/wp-content/uploads/2025/03/Article_Dees_MeaningofSocialEntrepreneurship_2001.pdf</w:t>
        </w:r>
      </w:hyperlink>
      <w:r w:rsidRPr="0023729B">
        <w:rPr>
          <w:rFonts w:ascii="Arial" w:eastAsia="Hiragino Sans GB" w:hAnsi="Arial" w:cs="Arial"/>
          <w:color w:val="1A1D23"/>
          <w:kern w:val="0"/>
          <w:sz w:val="24"/>
          <w14:ligatures w14:val="none"/>
        </w:rPr>
        <w:t>(Accessed: 21 October 2026).</w:t>
      </w:r>
    </w:p>
    <w:p w14:paraId="67FEEEB7"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Goyal, S., Sergi, B.S. and Kapoor, A. (2017) 'Emerging role of for-profit social enterprises at the base of the pyramid: the case of </w:t>
      </w:r>
      <w:proofErr w:type="spellStart"/>
      <w:r w:rsidRPr="0023729B">
        <w:rPr>
          <w:rFonts w:ascii="Arial" w:eastAsia="Hiragino Sans GB" w:hAnsi="Arial" w:cs="Arial"/>
          <w:color w:val="1A1D23"/>
          <w:kern w:val="0"/>
          <w:sz w:val="24"/>
          <w14:ligatures w14:val="none"/>
        </w:rPr>
        <w:t>Selco</w:t>
      </w:r>
      <w:proofErr w:type="spellEnd"/>
      <w:r w:rsidRPr="0023729B">
        <w:rPr>
          <w:rFonts w:ascii="Arial" w:eastAsia="Hiragino Sans GB" w:hAnsi="Arial" w:cs="Arial"/>
          <w:color w:val="1A1D23"/>
          <w:kern w:val="0"/>
          <w:sz w:val="24"/>
          <w14:ligatures w14:val="none"/>
        </w:rPr>
        <w:t>', </w:t>
      </w:r>
      <w:r w:rsidRPr="0023729B">
        <w:rPr>
          <w:rFonts w:ascii="Arial" w:eastAsia="Hiragino Sans GB" w:hAnsi="Arial" w:cs="Arial"/>
          <w:i/>
          <w:iCs/>
          <w:color w:val="1A1D23"/>
          <w:kern w:val="0"/>
          <w:sz w:val="24"/>
          <w14:ligatures w14:val="none"/>
        </w:rPr>
        <w:t>Journal of Management Development</w:t>
      </w:r>
      <w:r w:rsidRPr="0023729B">
        <w:rPr>
          <w:rFonts w:ascii="Arial" w:eastAsia="Hiragino Sans GB" w:hAnsi="Arial" w:cs="Arial"/>
          <w:color w:val="1A1D23"/>
          <w:kern w:val="0"/>
          <w:sz w:val="24"/>
          <w14:ligatures w14:val="none"/>
        </w:rPr>
        <w:t>, 36(1), pp. 97–108. doi:10.1108/JMD-05-2015-0070.</w:t>
      </w:r>
    </w:p>
    <w:p w14:paraId="3A18E0F6"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Madani </w:t>
      </w:r>
      <w:proofErr w:type="spellStart"/>
      <w:r w:rsidRPr="0023729B">
        <w:rPr>
          <w:rFonts w:ascii="Arial" w:eastAsia="Hiragino Sans GB" w:hAnsi="Arial" w:cs="Arial"/>
          <w:color w:val="1A1D23"/>
          <w:kern w:val="0"/>
          <w:sz w:val="24"/>
          <w14:ligatures w14:val="none"/>
        </w:rPr>
        <w:t>Berkelanjutan</w:t>
      </w:r>
      <w:proofErr w:type="spellEnd"/>
      <w:r w:rsidRPr="0023729B">
        <w:rPr>
          <w:rFonts w:ascii="Arial" w:eastAsia="Hiragino Sans GB" w:hAnsi="Arial" w:cs="Arial"/>
          <w:color w:val="1A1D23"/>
          <w:kern w:val="0"/>
          <w:sz w:val="24"/>
          <w14:ligatures w14:val="none"/>
        </w:rPr>
        <w:t xml:space="preserve"> (2026) </w:t>
      </w:r>
      <w:r w:rsidRPr="0023729B">
        <w:rPr>
          <w:rFonts w:ascii="Arial" w:eastAsia="Hiragino Sans GB" w:hAnsi="Arial" w:cs="Arial"/>
          <w:i/>
          <w:iCs/>
          <w:color w:val="1A1D23"/>
          <w:kern w:val="0"/>
          <w:sz w:val="24"/>
          <w14:ligatures w14:val="none"/>
        </w:rPr>
        <w:t>658,000 Families Without Electricity: Why Community-Based Energy Transition is Indonesia's Answer</w:t>
      </w:r>
      <w:r w:rsidRPr="0023729B">
        <w:rPr>
          <w:rFonts w:ascii="Arial" w:eastAsia="Hiragino Sans GB" w:hAnsi="Arial" w:cs="Arial"/>
          <w:color w:val="1A1D23"/>
          <w:kern w:val="0"/>
          <w:sz w:val="24"/>
          <w14:ligatures w14:val="none"/>
        </w:rPr>
        <w:t>. Available at: </w:t>
      </w:r>
      <w:hyperlink r:id="rId7" w:history="1">
        <w:r w:rsidRPr="0023729B">
          <w:rPr>
            <w:rFonts w:ascii="Arial" w:eastAsia="Hiragino Sans GB" w:hAnsi="Arial" w:cs="Arial"/>
            <w:color w:val="0000FF"/>
            <w:kern w:val="0"/>
            <w:sz w:val="24"/>
            <w:u w:val="single"/>
            <w14:ligatures w14:val="none"/>
          </w:rPr>
          <w:t>https://madaniberkelanjutan.id/news-event/658-000-families-without-electricity-why-community-based-energy-transition-is-indonesia-s-answer</w:t>
        </w:r>
      </w:hyperlink>
      <w:r w:rsidRPr="0023729B">
        <w:rPr>
          <w:rFonts w:ascii="Arial" w:eastAsia="Hiragino Sans GB" w:hAnsi="Arial" w:cs="Arial"/>
          <w:color w:val="1A1D23"/>
          <w:kern w:val="0"/>
          <w:sz w:val="24"/>
          <w14:ligatures w14:val="none"/>
        </w:rPr>
        <w:t> (Accessed: 19 October 2026).</w:t>
      </w:r>
    </w:p>
    <w:p w14:paraId="677B0838"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Oviatt, B.M. and McDougall, P.P. (2005) 'Defining international entrepreneurship and modeling the speed of internationalization', </w:t>
      </w:r>
      <w:r w:rsidRPr="0023729B">
        <w:rPr>
          <w:rFonts w:ascii="Arial" w:eastAsia="Hiragino Sans GB" w:hAnsi="Arial" w:cs="Arial"/>
          <w:i/>
          <w:iCs/>
          <w:color w:val="1A1D23"/>
          <w:kern w:val="0"/>
          <w:sz w:val="24"/>
          <w14:ligatures w14:val="none"/>
        </w:rPr>
        <w:t>Entrepreneurship Theory and Practice</w:t>
      </w:r>
      <w:r w:rsidRPr="0023729B">
        <w:rPr>
          <w:rFonts w:ascii="Arial" w:eastAsia="Hiragino Sans GB" w:hAnsi="Arial" w:cs="Arial"/>
          <w:color w:val="1A1D23"/>
          <w:kern w:val="0"/>
          <w:sz w:val="24"/>
          <w14:ligatures w14:val="none"/>
        </w:rPr>
        <w:t>, 29(5), pp. 537–553. doi:10.1111/j.1540-6520.2005.</w:t>
      </w:r>
      <w:proofErr w:type="gramStart"/>
      <w:r w:rsidRPr="0023729B">
        <w:rPr>
          <w:rFonts w:ascii="Arial" w:eastAsia="Hiragino Sans GB" w:hAnsi="Arial" w:cs="Arial"/>
          <w:color w:val="1A1D23"/>
          <w:kern w:val="0"/>
          <w:sz w:val="24"/>
          <w14:ligatures w14:val="none"/>
        </w:rPr>
        <w:t>00097.x.</w:t>
      </w:r>
      <w:proofErr w:type="gramEnd"/>
    </w:p>
    <w:p w14:paraId="75F737CA"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Ramon Magsaysay Award Foundation (2011) </w:t>
      </w:r>
      <w:r w:rsidRPr="0023729B">
        <w:rPr>
          <w:rFonts w:ascii="Arial" w:eastAsia="Hiragino Sans GB" w:hAnsi="Arial" w:cs="Arial"/>
          <w:i/>
          <w:iCs/>
          <w:color w:val="1A1D23"/>
          <w:kern w:val="0"/>
          <w:sz w:val="24"/>
          <w14:ligatures w14:val="none"/>
        </w:rPr>
        <w:t>Hande, Harish</w:t>
      </w:r>
      <w:r w:rsidRPr="0023729B">
        <w:rPr>
          <w:rFonts w:ascii="Arial" w:eastAsia="Hiragino Sans GB" w:hAnsi="Arial" w:cs="Arial"/>
          <w:color w:val="1A1D23"/>
          <w:kern w:val="0"/>
          <w:sz w:val="24"/>
          <w14:ligatures w14:val="none"/>
        </w:rPr>
        <w:t>. Available at: </w:t>
      </w:r>
      <w:hyperlink r:id="rId8" w:history="1">
        <w:r w:rsidRPr="0023729B">
          <w:rPr>
            <w:rFonts w:ascii="Arial" w:eastAsia="Hiragino Sans GB" w:hAnsi="Arial" w:cs="Arial"/>
            <w:color w:val="0000FF"/>
            <w:kern w:val="0"/>
            <w:sz w:val="24"/>
            <w:u w:val="single"/>
            <w14:ligatures w14:val="none"/>
          </w:rPr>
          <w:t>https://rmaward.asia/rmawardees/hande-harish/</w:t>
        </w:r>
      </w:hyperlink>
      <w:r w:rsidRPr="0023729B">
        <w:rPr>
          <w:rFonts w:ascii="Arial" w:eastAsia="Hiragino Sans GB" w:hAnsi="Arial" w:cs="Arial"/>
          <w:color w:val="1A1D23"/>
          <w:kern w:val="0"/>
          <w:sz w:val="24"/>
          <w14:ligatures w14:val="none"/>
        </w:rPr>
        <w:t> (Accessed: 16 October 2026).</w:t>
      </w:r>
    </w:p>
    <w:p w14:paraId="28242C5B"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Schumpeter, J.A. (1947) 'The creative response in economic history', </w:t>
      </w:r>
      <w:r w:rsidRPr="0023729B">
        <w:rPr>
          <w:rFonts w:ascii="Arial" w:eastAsia="Hiragino Sans GB" w:hAnsi="Arial" w:cs="Arial"/>
          <w:i/>
          <w:iCs/>
          <w:color w:val="1A1D23"/>
          <w:kern w:val="0"/>
          <w:sz w:val="24"/>
          <w14:ligatures w14:val="none"/>
        </w:rPr>
        <w:t>The Journal of Economic History</w:t>
      </w:r>
      <w:r w:rsidRPr="0023729B">
        <w:rPr>
          <w:rFonts w:ascii="Arial" w:eastAsia="Hiragino Sans GB" w:hAnsi="Arial" w:cs="Arial"/>
          <w:color w:val="1A1D23"/>
          <w:kern w:val="0"/>
          <w:sz w:val="24"/>
          <w14:ligatures w14:val="none"/>
        </w:rPr>
        <w:t>, 7(2), pp. 149–159. doi:10.1017/S0022050700054279.</w:t>
      </w:r>
    </w:p>
    <w:p w14:paraId="0EC66F2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Skoll Foundation (n.d.) </w:t>
      </w:r>
      <w:r w:rsidRPr="0023729B">
        <w:rPr>
          <w:rFonts w:ascii="Arial" w:eastAsia="Hiragino Sans GB" w:hAnsi="Arial" w:cs="Arial"/>
          <w:i/>
          <w:iCs/>
          <w:color w:val="1A1D23"/>
          <w:kern w:val="0"/>
          <w:sz w:val="24"/>
          <w14:ligatures w14:val="none"/>
        </w:rPr>
        <w:t>SELCO Foundation</w:t>
      </w:r>
      <w:r w:rsidRPr="0023729B">
        <w:rPr>
          <w:rFonts w:ascii="Arial" w:eastAsia="Hiragino Sans GB" w:hAnsi="Arial" w:cs="Arial"/>
          <w:color w:val="1A1D23"/>
          <w:kern w:val="0"/>
          <w:sz w:val="24"/>
          <w14:ligatures w14:val="none"/>
        </w:rPr>
        <w:t>. Available at: </w:t>
      </w:r>
      <w:hyperlink r:id="rId9" w:history="1">
        <w:r w:rsidRPr="0023729B">
          <w:rPr>
            <w:rFonts w:ascii="Arial" w:eastAsia="Hiragino Sans GB" w:hAnsi="Arial" w:cs="Arial"/>
            <w:color w:val="0000FF"/>
            <w:kern w:val="0"/>
            <w:sz w:val="24"/>
            <w:u w:val="single"/>
            <w14:ligatures w14:val="none"/>
          </w:rPr>
          <w:t>https://skoll.org/organization/selco-foundation/</w:t>
        </w:r>
      </w:hyperlink>
      <w:r w:rsidRPr="0023729B">
        <w:rPr>
          <w:rFonts w:ascii="Arial" w:eastAsia="Hiragino Sans GB" w:hAnsi="Arial" w:cs="Arial"/>
          <w:color w:val="1A1D23"/>
          <w:kern w:val="0"/>
          <w:sz w:val="24"/>
          <w14:ligatures w14:val="none"/>
        </w:rPr>
        <w:t> (Accessed: 16 October 2026).</w:t>
      </w:r>
    </w:p>
    <w:p w14:paraId="6DA3320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Vahlne, J.-E. and Johanson, J. (2017) 'From internationalization to evolution: the Uppsala model at 40 years', </w:t>
      </w:r>
      <w:r w:rsidRPr="0023729B">
        <w:rPr>
          <w:rFonts w:ascii="Arial" w:eastAsia="Hiragino Sans GB" w:hAnsi="Arial" w:cs="Arial"/>
          <w:i/>
          <w:iCs/>
          <w:color w:val="1A1D23"/>
          <w:kern w:val="0"/>
          <w:sz w:val="24"/>
          <w14:ligatures w14:val="none"/>
        </w:rPr>
        <w:t xml:space="preserve">Journal of International </w:t>
      </w:r>
      <w:r w:rsidRPr="0023729B">
        <w:rPr>
          <w:rFonts w:ascii="Arial" w:eastAsia="Hiragino Sans GB" w:hAnsi="Arial" w:cs="Arial"/>
          <w:i/>
          <w:iCs/>
          <w:color w:val="1A1D23"/>
          <w:kern w:val="0"/>
          <w:sz w:val="24"/>
          <w14:ligatures w14:val="none"/>
        </w:rPr>
        <w:lastRenderedPageBreak/>
        <w:t>Business Studies</w:t>
      </w:r>
      <w:r w:rsidRPr="0023729B">
        <w:rPr>
          <w:rFonts w:ascii="Arial" w:eastAsia="Hiragino Sans GB" w:hAnsi="Arial" w:cs="Arial"/>
          <w:color w:val="1A1D23"/>
          <w:kern w:val="0"/>
          <w:sz w:val="24"/>
          <w14:ligatures w14:val="none"/>
        </w:rPr>
        <w:t>, 48(9), pp. 1087–1102. doi:10.1057/s41267-017-0107-7.</w:t>
      </w:r>
    </w:p>
    <w:p w14:paraId="5F86B7C4" w14:textId="77777777" w:rsidR="007A1135" w:rsidRPr="0023729B" w:rsidRDefault="007A1135">
      <w:pPr>
        <w:rPr>
          <w:rFonts w:ascii="Arial" w:hAnsi="Arial" w:cs="Arial"/>
          <w:sz w:val="24"/>
        </w:rPr>
      </w:pPr>
    </w:p>
    <w:p w14:paraId="06EF251B" w14:textId="1F6F2C2A" w:rsidR="007A1135" w:rsidRPr="0023729B" w:rsidRDefault="007A1135" w:rsidP="007A1135">
      <w:pPr>
        <w:tabs>
          <w:tab w:val="left" w:pos="5205"/>
        </w:tabs>
        <w:rPr>
          <w:rFonts w:ascii="Arial" w:hAnsi="Arial" w:cs="Arial"/>
          <w:sz w:val="24"/>
        </w:rPr>
      </w:pPr>
      <w:r w:rsidRPr="0023729B">
        <w:rPr>
          <w:rFonts w:ascii="Arial" w:hAnsi="Arial" w:cs="Arial"/>
          <w:sz w:val="24"/>
        </w:rPr>
        <w:tab/>
      </w:r>
    </w:p>
    <w:sectPr w:rsidR="007A1135" w:rsidRPr="0023729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Hiragino Sans GB">
    <w:panose1 w:val="020B0300000000000000"/>
    <w:charset w:val="80"/>
    <w:family w:val="swiss"/>
    <w:pitch w:val="variable"/>
    <w:sig w:usb0="A00002BF" w:usb1="1ACF7CFA"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71EDB"/>
    <w:multiLevelType w:val="multilevel"/>
    <w:tmpl w:val="E67A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313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135"/>
    <w:rsid w:val="0023729B"/>
    <w:rsid w:val="005D2CF0"/>
    <w:rsid w:val="007A1135"/>
    <w:rsid w:val="007F61FB"/>
    <w:rsid w:val="00860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4E06F5"/>
  <w15:chartTrackingRefBased/>
  <w15:docId w15:val="{DFC7D082-5B96-9947-9714-73A433C8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113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113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113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113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113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113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113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113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113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113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113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113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1135"/>
    <w:rPr>
      <w:rFonts w:cstheme="majorBidi"/>
      <w:color w:val="0F4761" w:themeColor="accent1" w:themeShade="BF"/>
      <w:sz w:val="28"/>
      <w:szCs w:val="28"/>
    </w:rPr>
  </w:style>
  <w:style w:type="character" w:customStyle="1" w:styleId="50">
    <w:name w:val="标题 5 字符"/>
    <w:basedOn w:val="a0"/>
    <w:link w:val="5"/>
    <w:uiPriority w:val="9"/>
    <w:semiHidden/>
    <w:rsid w:val="007A1135"/>
    <w:rPr>
      <w:rFonts w:cstheme="majorBidi"/>
      <w:color w:val="0F4761" w:themeColor="accent1" w:themeShade="BF"/>
      <w:sz w:val="24"/>
    </w:rPr>
  </w:style>
  <w:style w:type="character" w:customStyle="1" w:styleId="60">
    <w:name w:val="标题 6 字符"/>
    <w:basedOn w:val="a0"/>
    <w:link w:val="6"/>
    <w:uiPriority w:val="9"/>
    <w:semiHidden/>
    <w:rsid w:val="007A1135"/>
    <w:rPr>
      <w:rFonts w:cstheme="majorBidi"/>
      <w:b/>
      <w:bCs/>
      <w:color w:val="0F4761" w:themeColor="accent1" w:themeShade="BF"/>
    </w:rPr>
  </w:style>
  <w:style w:type="character" w:customStyle="1" w:styleId="70">
    <w:name w:val="标题 7 字符"/>
    <w:basedOn w:val="a0"/>
    <w:link w:val="7"/>
    <w:uiPriority w:val="9"/>
    <w:semiHidden/>
    <w:rsid w:val="007A1135"/>
    <w:rPr>
      <w:rFonts w:cstheme="majorBidi"/>
      <w:b/>
      <w:bCs/>
      <w:color w:val="595959" w:themeColor="text1" w:themeTint="A6"/>
    </w:rPr>
  </w:style>
  <w:style w:type="character" w:customStyle="1" w:styleId="80">
    <w:name w:val="标题 8 字符"/>
    <w:basedOn w:val="a0"/>
    <w:link w:val="8"/>
    <w:uiPriority w:val="9"/>
    <w:semiHidden/>
    <w:rsid w:val="007A1135"/>
    <w:rPr>
      <w:rFonts w:cstheme="majorBidi"/>
      <w:color w:val="595959" w:themeColor="text1" w:themeTint="A6"/>
    </w:rPr>
  </w:style>
  <w:style w:type="character" w:customStyle="1" w:styleId="90">
    <w:name w:val="标题 9 字符"/>
    <w:basedOn w:val="a0"/>
    <w:link w:val="9"/>
    <w:uiPriority w:val="9"/>
    <w:semiHidden/>
    <w:rsid w:val="007A1135"/>
    <w:rPr>
      <w:rFonts w:eastAsiaTheme="majorEastAsia" w:cstheme="majorBidi"/>
      <w:color w:val="595959" w:themeColor="text1" w:themeTint="A6"/>
    </w:rPr>
  </w:style>
  <w:style w:type="paragraph" w:styleId="a3">
    <w:name w:val="Title"/>
    <w:basedOn w:val="a"/>
    <w:next w:val="a"/>
    <w:link w:val="a4"/>
    <w:uiPriority w:val="10"/>
    <w:qFormat/>
    <w:rsid w:val="007A113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113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113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113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1135"/>
    <w:pPr>
      <w:spacing w:before="160"/>
      <w:jc w:val="center"/>
    </w:pPr>
    <w:rPr>
      <w:i/>
      <w:iCs/>
      <w:color w:val="404040" w:themeColor="text1" w:themeTint="BF"/>
    </w:rPr>
  </w:style>
  <w:style w:type="character" w:customStyle="1" w:styleId="a8">
    <w:name w:val="引用 字符"/>
    <w:basedOn w:val="a0"/>
    <w:link w:val="a7"/>
    <w:uiPriority w:val="29"/>
    <w:rsid w:val="007A1135"/>
    <w:rPr>
      <w:i/>
      <w:iCs/>
      <w:color w:val="404040" w:themeColor="text1" w:themeTint="BF"/>
    </w:rPr>
  </w:style>
  <w:style w:type="paragraph" w:styleId="a9">
    <w:name w:val="List Paragraph"/>
    <w:basedOn w:val="a"/>
    <w:uiPriority w:val="34"/>
    <w:qFormat/>
    <w:rsid w:val="007A1135"/>
    <w:pPr>
      <w:ind w:left="720"/>
      <w:contextualSpacing/>
    </w:pPr>
  </w:style>
  <w:style w:type="character" w:styleId="aa">
    <w:name w:val="Intense Emphasis"/>
    <w:basedOn w:val="a0"/>
    <w:uiPriority w:val="21"/>
    <w:qFormat/>
    <w:rsid w:val="007A1135"/>
    <w:rPr>
      <w:i/>
      <w:iCs/>
      <w:color w:val="0F4761" w:themeColor="accent1" w:themeShade="BF"/>
    </w:rPr>
  </w:style>
  <w:style w:type="paragraph" w:styleId="ab">
    <w:name w:val="Intense Quote"/>
    <w:basedOn w:val="a"/>
    <w:next w:val="a"/>
    <w:link w:val="ac"/>
    <w:uiPriority w:val="30"/>
    <w:qFormat/>
    <w:rsid w:val="007A11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1135"/>
    <w:rPr>
      <w:i/>
      <w:iCs/>
      <w:color w:val="0F4761" w:themeColor="accent1" w:themeShade="BF"/>
    </w:rPr>
  </w:style>
  <w:style w:type="character" w:styleId="ad">
    <w:name w:val="Intense Reference"/>
    <w:basedOn w:val="a0"/>
    <w:uiPriority w:val="32"/>
    <w:qFormat/>
    <w:rsid w:val="007A1135"/>
    <w:rPr>
      <w:b/>
      <w:bCs/>
      <w:smallCaps/>
      <w:color w:val="0F4761" w:themeColor="accent1" w:themeShade="BF"/>
      <w:spacing w:val="5"/>
    </w:rPr>
  </w:style>
  <w:style w:type="paragraph" w:styleId="ae">
    <w:name w:val="Normal (Web)"/>
    <w:basedOn w:val="a"/>
    <w:uiPriority w:val="99"/>
    <w:semiHidden/>
    <w:unhideWhenUsed/>
    <w:rsid w:val="007A1135"/>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7A1135"/>
    <w:rPr>
      <w:b/>
      <w:bCs/>
    </w:rPr>
  </w:style>
  <w:style w:type="character" w:customStyle="1" w:styleId="apple-converted-space">
    <w:name w:val="apple-converted-space"/>
    <w:basedOn w:val="a0"/>
    <w:rsid w:val="007A1135"/>
  </w:style>
  <w:style w:type="character" w:styleId="af0">
    <w:name w:val="Emphasis"/>
    <w:basedOn w:val="a0"/>
    <w:uiPriority w:val="20"/>
    <w:qFormat/>
    <w:rsid w:val="007A1135"/>
    <w:rPr>
      <w:i/>
      <w:iCs/>
    </w:rPr>
  </w:style>
  <w:style w:type="character" w:styleId="af1">
    <w:name w:val="Hyperlink"/>
    <w:basedOn w:val="a0"/>
    <w:uiPriority w:val="99"/>
    <w:semiHidden/>
    <w:unhideWhenUsed/>
    <w:rsid w:val="007A113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maward.asia/rmawardees/hande-harish/" TargetMode="External"/><Relationship Id="rId3" Type="http://schemas.openxmlformats.org/officeDocument/2006/relationships/settings" Target="settings.xml"/><Relationship Id="rId7" Type="http://schemas.openxmlformats.org/officeDocument/2006/relationships/hyperlink" Target="https://madaniberkelanjutan.id/news-event/658-000-families-without-electricity-why-community-based-energy-transition-is-indonesia-s-answ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se.fuqua.duke.edu/wp-content/uploads/2025/03/Article_Dees_MeaningofSocialEntrepreneurship_2001.pdf" TargetMode="External"/><Relationship Id="rId11" Type="http://schemas.openxmlformats.org/officeDocument/2006/relationships/theme" Target="theme/theme1.xml"/><Relationship Id="rId5" Type="http://schemas.openxmlformats.org/officeDocument/2006/relationships/hyperlink" Target="https://www.ashoka.org/en-sg/fellow/harish-hand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koll.org/organization/selco-foundatio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1623</Words>
  <Characters>9252</Characters>
  <Application>Microsoft Office Word</Application>
  <DocSecurity>0</DocSecurity>
  <Lines>77</Lines>
  <Paragraphs>21</Paragraphs>
  <ScaleCrop>false</ScaleCrop>
  <Company/>
  <LinksUpToDate>false</LinksUpToDate>
  <CharactersWithSpaces>10854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2026-10-21T03:38:00Z</dcterms:created>
  <dcterms:modified xsi:type="dcterms:W3CDTF">2026-10-21T03:58:00Z</dcterms:modified>
</cp:coreProperties>
</file>