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8FD2C4" w14:textId="21338AC7" w:rsidR="007F61FB" w:rsidRPr="0023729B" w:rsidRDefault="007A1135">
      <w:pPr>
        <w:rPr>
          <w:rFonts w:ascii="Arial" w:hAnsi="Arial" w:cs="Arial"/>
          <w:sz w:val="24"/>
        </w:rPr>
      </w:pPr>
      <w:r w:rsidRPr="0023729B">
        <w:rPr>
          <w:rFonts w:ascii="Arial" w:hAnsi="Arial" w:cs="Arial"/>
          <w:sz w:val="24"/>
        </w:rPr>
        <w:t>Global Entrepreneurship and Innovation learning diary from [student ID]</w:t>
      </w:r>
    </w:p>
    <w:p w14:paraId="24F07855" w14:textId="77777777" w:rsidR="007A1135" w:rsidRPr="0023729B" w:rsidRDefault="007A1135">
      <w:pPr>
        <w:rPr>
          <w:rFonts w:ascii="Arial" w:hAnsi="Arial" w:cs="Arial"/>
          <w:sz w:val="24"/>
        </w:rPr>
      </w:pPr>
    </w:p>
    <w:p w14:paraId="3A634471"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Style w:val="af"/>
          <w:rFonts w:ascii="Arial" w:eastAsia="Hiragino Sans GB" w:hAnsi="Arial" w:cs="Arial"/>
          <w:color w:val="1A1D23"/>
        </w:rPr>
        <w:t>1. Venture Overview</w:t>
      </w:r>
    </w:p>
    <w:p w14:paraId="0D457075"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 xml:space="preserve">SELCO India is a for-profit social enterprise founded by Harish Hande in Bangalore in 1995 (Ramon Magsaysay Award Foundation, 2011), and Hande is an Ashoka Fellow (Ashoka, n.d.). In 2011, nearly half of Indian households had no electricity, and many poor rural families relied on kerosene lamps and candles. It was widely believed that the poor could neither afford nor maintain modern technology (Ramon Magsaysay Award Foundation, 2011). In 1994, before founding SELCO, Hande visited villages without electricity to understand what people really needed (Goyal, Sergi and Kapoor, 2017, p. 100). SELCO provides small, </w:t>
      </w:r>
      <w:proofErr w:type="spellStart"/>
      <w:r w:rsidRPr="0023729B">
        <w:rPr>
          <w:rFonts w:ascii="Arial" w:eastAsia="Hiragino Sans GB" w:hAnsi="Arial" w:cs="Arial"/>
          <w:color w:val="1A1D23"/>
        </w:rPr>
        <w:t>decentralised</w:t>
      </w:r>
      <w:proofErr w:type="spellEnd"/>
      <w:r w:rsidRPr="0023729B">
        <w:rPr>
          <w:rFonts w:ascii="Arial" w:eastAsia="Hiragino Sans GB" w:hAnsi="Arial" w:cs="Arial"/>
          <w:color w:val="1A1D23"/>
        </w:rPr>
        <w:t xml:space="preserve"> solar systems, such as lights, water heaters and equipment that supports livelihoods. Each system is tailored to the household, and SELCO installs and repairs it (Ramon Magsaysay Award Foundation, 2011). To make the systems affordable, SELCO persuaded rural banks to offer small loans with instalments matched to customers' income and cash flow (Goyal, Sergi and Kapoor, 2017, p. 105). Its main partners are rural banks, microfinance institutions, self-help groups and NGOs (Ramon Magsaysay Award Foundation, 2011). By 2015, SELCO had installed more than 200,000 home solar lighting systems, reaching over one million people (Goyal, Sergi and Kapoor, 2017, p. 101).</w:t>
      </w:r>
    </w:p>
    <w:p w14:paraId="791BD476"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Style w:val="af"/>
          <w:rFonts w:ascii="Arial" w:eastAsia="Hiragino Sans GB" w:hAnsi="Arial" w:cs="Arial"/>
          <w:color w:val="1A1D23"/>
        </w:rPr>
        <w:t>2. Entrepreneurial Classification</w:t>
      </w:r>
    </w:p>
    <w:p w14:paraId="3BB29EB1"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SELCO is best classified as social entrepreneurship, because its primary goal is to improve the quality of life of poor households. In social entrepreneurship, social improvement takes priority over profit (Dees, 2001). SELCO treats the rural poor "as customers rather than treating them as beneficiaries" and limits itself to single-digit profit margins (Goyal, Sergi and Kapoor, 2017, p. 101). It does not depend on donations, because customers pay.</w:t>
      </w:r>
    </w:p>
    <w:p w14:paraId="4E7EAE76"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It is not ecopreneurship: although solar energy is environmentally friendly, SELCO's mission is "enhancing the quality of life for underserved households" (Goyal, Sergi and Kapoor, 2017, p. 100), so solar energy is the means, not the goal.</w:t>
      </w:r>
      <w:proofErr w:type="spellStart"/>
      <w:r w:rsidRPr="0023729B">
        <w:rPr>
          <w:rFonts w:ascii="Arial" w:eastAsia="Hiragino Sans GB" w:hAnsi="Arial" w:cs="Arial"/>
          <w:color w:val="1A1D23"/>
        </w:rPr>
      </w:r>
      <w:proofErr w:type="spellEnd"/>
      <w:r w:rsidRPr="0023729B">
        <w:rPr>
          <w:rFonts w:ascii="Arial" w:eastAsia="Hiragino Sans GB" w:hAnsi="Arial" w:cs="Arial"/>
          <w:color w:val="1A1D23"/>
        </w:rPr>
      </w:r>
      <w:proofErr w:type="gramStart"/>
      <w:r w:rsidRPr="0023729B">
        <w:rPr>
          <w:rFonts w:ascii="Arial" w:eastAsia="Hiragino Sans GB" w:hAnsi="Arial" w:cs="Arial"/>
          <w:color w:val="1A1D23"/>
        </w:rPr>
      </w:r>
      <w:proofErr w:type="gramEnd"/>
      <w:r w:rsidRPr="0023729B">
        <w:rPr>
          <w:rFonts w:ascii="Arial" w:eastAsia="Hiragino Sans GB" w:hAnsi="Arial" w:cs="Arial"/>
          <w:color w:val="1A1D23"/>
        </w:rPr>
      </w:r>
    </w:p>
    <w:p w14:paraId="6CF7CD9D"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 xml:space="preserve">It is not intrapreneurship, which takes place within an existing </w:t>
      </w:r>
      <w:proofErr w:type="spellStart"/>
      <w:r w:rsidRPr="0023729B">
        <w:rPr>
          <w:rFonts w:ascii="Arial" w:eastAsia="Hiragino Sans GB" w:hAnsi="Arial" w:cs="Arial"/>
          <w:color w:val="1A1D23"/>
        </w:rPr>
        <w:t>organisation</w:t>
      </w:r>
      <w:proofErr w:type="spellEnd"/>
      <w:r w:rsidRPr="0023729B">
        <w:rPr>
          <w:rFonts w:ascii="Arial" w:eastAsia="Hiragino Sans GB" w:hAnsi="Arial" w:cs="Arial"/>
          <w:color w:val="1A1D23"/>
        </w:rPr>
        <w:t xml:space="preserve"> (</w:t>
      </w:r>
      <w:proofErr w:type="spellStart"/>
      <w:r w:rsidRPr="0023729B">
        <w:rPr>
          <w:rFonts w:ascii="Arial" w:eastAsia="Hiragino Sans GB" w:hAnsi="Arial" w:cs="Arial"/>
          <w:color w:val="1A1D23"/>
        </w:rPr>
        <w:t>Antoncic</w:t>
      </w:r>
      <w:proofErr w:type="spellEnd"/>
      <w:r w:rsidRPr="0023729B">
        <w:rPr>
          <w:rFonts w:ascii="Arial" w:eastAsia="Hiragino Sans GB" w:hAnsi="Arial" w:cs="Arial"/>
          <w:color w:val="1A1D23"/>
        </w:rPr>
        <w:t xml:space="preserve"> and Hisrich, 2003), because Hande founded SELCO as a new, independent company in 1995.</w:t>
      </w:r>
    </w:p>
    <w:p w14:paraId="7997FDB0"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It is not international entrepreneurship, which involves discovering and exploiting opportunities across national borders (Oviatt and McDougall, 2005): SELCO India operates mainly in India, and its model was replicated in Africa and Southeast Asia by a separate non-profit, SELCO Foundation (Skoll Foundation, n.d.).</w:t>
      </w:r>
      <w:r w:rsidRPr="0023729B">
        <w:rPr>
          <w:rFonts w:ascii="Arial" w:eastAsia="Hiragino Sans GB" w:hAnsi="Arial" w:cs="Arial"/>
          <w:color w:val="1A1D23"/>
        </w:rPr>
      </w:r>
    </w:p>
    <w:p w14:paraId="56EC3A4E"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In the 15 October tutorial on Singapore's ageing population, my group defined our users as people over 70 who live without family and feel lonely, and we quickly proposed a "visiting team". Looking back, we should have done field research first, as Hande did before founding SELCO.</w:t>
      </w:r>
    </w:p>
    <w:p w14:paraId="114E0853"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Style w:val="af"/>
          <w:rFonts w:ascii="Arial" w:eastAsia="Hiragino Sans GB" w:hAnsi="Arial" w:cs="Arial"/>
          <w:color w:val="1A1D23"/>
        </w:rPr>
        <w:t>3. Innovation Analysis</w:t>
      </w:r>
    </w:p>
    <w:p w14:paraId="79A20DB9"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Before SELCO, poor rural households could not pay for a solar system in one go, and banks were unwilling to lend to them. SELCO's answer was doorstep financing: staff assess each household's needs and cash flow, then combine the equipment with a regional rural bank loan and after-sales support, with daily, monthly or quarterly repayments matched to income (Goyal, Sergi and Kapoor, 2017, pp. 104–105).</w:t>
      </w:r>
    </w:p>
    <w:p w14:paraId="58F56D8A"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I classify this as business model innovation, because it changes how value is delivered and captured. SELCO's management explains that its "business model involves providing energy solutions by integrating technology support and financing with product offerings" (Goyal, Sergi and Kapoor, 2017, p. 105). On the business model canvas, it changed three blocks: revenue streams, customer relationships and key partners. It is not product innovation, because solar lights already existed; innovation is not invention (Schumpeter, 1947). It is not process innovation, because it did not improve internal production. Installation and repair are services, but the key change is who pays and how, not the service itself.</w:t>
      </w:r>
      <w:proofErr w:type="gramStart"/>
      <w:r w:rsidRPr="0023729B">
        <w:rPr>
          <w:rFonts w:ascii="Arial" w:eastAsia="Hiragino Sans GB" w:hAnsi="Arial" w:cs="Arial"/>
          <w:color w:val="1A1D23"/>
        </w:rPr>
      </w:r>
      <w:proofErr w:type="gramEnd"/>
      <w:r w:rsidRPr="0023729B">
        <w:rPr>
          <w:rFonts w:ascii="Arial" w:eastAsia="Hiragino Sans GB" w:hAnsi="Arial" w:cs="Arial"/>
          <w:color w:val="1A1D23"/>
        </w:rPr>
      </w:r>
    </w:p>
    <w:p w14:paraId="5A782039"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Instalment payments and microcredit already existed, so the idea was new to the region rather than new to the world. It was radical rather than incremental: an entirely new way of selling solar energy in rural India. By turning non-consumers into customers, it shows features of new-market disruption (Christensen, Raynor and McDonald, 2015, p. 47).</w:t>
      </w:r>
    </w:p>
    <w:p w14:paraId="4D79036C"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 xml:space="preserve">In the 1 October tutorial, my group used the business model canvas to </w:t>
      </w:r>
      <w:proofErr w:type="spellStart"/>
      <w:r w:rsidRPr="0023729B">
        <w:rPr>
          <w:rFonts w:ascii="Arial" w:eastAsia="Hiragino Sans GB" w:hAnsi="Arial" w:cs="Arial"/>
          <w:color w:val="1A1D23"/>
        </w:rPr>
        <w:t>analyse</w:t>
      </w:r>
      <w:proofErr w:type="spellEnd"/>
      <w:r w:rsidRPr="0023729B">
        <w:rPr>
          <w:rFonts w:ascii="Arial" w:eastAsia="Hiragino Sans GB" w:hAnsi="Arial" w:cs="Arial"/>
          <w:color w:val="1A1D23"/>
        </w:rPr>
        <w:t xml:space="preserve"> Pure Gym. We concluded that its innovation lay in customer segments and cost structure: it divided customers by usage (peak, off-peak, all-day and any-gym access) and offered different membership plans based on their willingness to pay.</w:t>
      </w:r>
    </w:p>
    <w:p w14:paraId="37316328"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Style w:val="af"/>
          <w:rFonts w:ascii="Arial" w:eastAsia="Hiragino Sans GB" w:hAnsi="Arial" w:cs="Arial"/>
          <w:color w:val="1A1D23"/>
        </w:rPr>
        <w:lastRenderedPageBreak/>
        <w:t>4. Cross-Border Transfer Reflection</w:t>
      </w:r>
    </w:p>
    <w:p w14:paraId="7CB5CDA5"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Although Indonesia's national electrification ratio is 99.83%, about 658,000 families still have no electricity and another 1.17 million households rely on diesel generators, mainly in remote eastern islands such as West Papua and East Nusa Tenggara (Madani Berkelanjutan, 2026). This market is smaller than India's and spread across many islands, which raises logistics costs.</w:t>
      </w:r>
      <w:proofErr w:type="spellStart"/>
      <w:r w:rsidRPr="0023729B">
        <w:rPr>
          <w:rFonts w:ascii="Arial" w:eastAsia="Hiragino Sans GB" w:hAnsi="Arial" w:cs="Arial"/>
          <w:color w:val="1A1D23"/>
        </w:rPr>
      </w:r>
      <w:proofErr w:type="spellEnd"/>
      <w:r w:rsidRPr="0023729B">
        <w:rPr>
          <w:rFonts w:ascii="Arial" w:eastAsia="Hiragino Sans GB" w:hAnsi="Arial" w:cs="Arial"/>
          <w:color w:val="1A1D23"/>
        </w:rPr>
      </w:r>
      <w:proofErr w:type="gramStart"/>
      <w:r w:rsidRPr="0023729B">
        <w:rPr>
          <w:rFonts w:ascii="Arial" w:eastAsia="Hiragino Sans GB" w:hAnsi="Arial" w:cs="Arial"/>
          <w:color w:val="1A1D23"/>
        </w:rPr>
      </w:r>
      <w:proofErr w:type="gramEnd"/>
      <w:r w:rsidRPr="0023729B">
        <w:rPr>
          <w:rFonts w:ascii="Arial" w:eastAsia="Hiragino Sans GB" w:hAnsi="Arial" w:cs="Arial"/>
          <w:color w:val="1A1D23"/>
        </w:rPr>
      </w:r>
      <w:proofErr w:type="spellStart"/>
      <w:r w:rsidRPr="0023729B">
        <w:rPr>
          <w:rFonts w:ascii="Arial" w:eastAsia="Hiragino Sans GB" w:hAnsi="Arial" w:cs="Arial"/>
          <w:color w:val="1A1D23"/>
        </w:rPr>
      </w:r>
      <w:proofErr w:type="spellEnd"/>
      <w:r w:rsidRPr="0023729B">
        <w:rPr>
          <w:rFonts w:ascii="Arial" w:eastAsia="Hiragino Sans GB" w:hAnsi="Arial" w:cs="Arial"/>
          <w:color w:val="1A1D23"/>
        </w:rPr>
      </w:r>
    </w:p>
    <w:p w14:paraId="659F2428"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SELCO's own experience shows that rural banking infrastructure is "an integral part to the success of our business model" (Goyal, Sergi and Kapoor, 2017, p. 102), so the first step would be to find local banks or microfinance institutions willing to lend to rural households and share SELCO's mission.</w:t>
      </w:r>
    </w:p>
    <w:p w14:paraId="253AFE0E"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I would enter through a joint venture, setting up a new company with a local partner. A wholly owned subsidiary needs heavy investment that a social enterprise cannot easily afford. Franchising is also unsuitable: SELCO's early dealer network almost made the company fail and pulled it away from its mission (Ramon Magsaysay Award Foundation, 2011). The local partner would help train local technicians, work with local suppliers and promote the products in the local language.</w:t>
      </w:r>
    </w:p>
    <w:p w14:paraId="63312BA9"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Following the Uppsala model, which suggests that firms increase their commitment step by step as they learn about a new market (Vahlne and Johanson, 2017), SELCO should start with a pilot in a few locations before expanding. SELCO Foundation's projects in the Philippines, another archipelago, suggest that the model can work in island countries (Skoll Foundation, n.d.).</w:t>
      </w:r>
    </w:p>
    <w:p w14:paraId="3CE8FD19"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Style w:val="af"/>
          <w:rFonts w:ascii="Arial" w:eastAsia="Hiragino Sans GB" w:hAnsi="Arial" w:cs="Arial"/>
          <w:color w:val="1A1D23"/>
        </w:rPr>
        <w:t>5. Learning Reflection</w:t>
      </w:r>
    </w:p>
    <w:p w14:paraId="51428165" w14:textId="77777777" w:rsidR="007A1135" w:rsidRPr="0023729B" w:rsidRDefault="007A1135" w:rsidP="007A1135">
      <w:pPr>
        <w:pStyle w:val="ae"/>
        <w:shd w:val="clear" w:color="auto" w:fill="FFFFFF"/>
        <w:spacing w:before="0" w:beforeAutospacing="0" w:after="192" w:afterAutospacing="0"/>
        <w:rPr>
          <w:rFonts w:ascii="Arial" w:eastAsia="Hiragino Sans GB" w:hAnsi="Arial" w:cs="Arial"/>
          <w:color w:val="1A1D23"/>
        </w:rPr>
      </w:pPr>
      <w:r w:rsidRPr="0023729B">
        <w:rPr>
          <w:rFonts w:ascii="Arial" w:eastAsia="Hiragino Sans GB" w:hAnsi="Arial" w:cs="Arial"/>
          <w:color w:val="1A1D23"/>
        </w:rPr>
        <w:t xml:space="preserve">This analysis changed my understanding of two key concepts. Before, I saw social entrepreneurship mainly as entrepreneurship, with "social" only describing the target customers. SELCO showed me that the social mission comes first and the business model is the tool to achieve it. I also used to think that innovation meant creating something completely new. SELCO did not invent a new technology; its main innovation was changing who pays and how, which illustrates that innovation is not the same as invention (Schumpeter, 1947). At the same time, I found that disruptive innovation theory does not fully fit SELCO: it explains well why SELCO serves non-consumers, but I do not think SELCO could replace existing competitors, because it only serves people who cannot afford mainstream products. The </w:t>
      </w:r>
      <w:r w:rsidRPr="0023729B">
        <w:rPr>
          <w:rFonts w:ascii="Arial" w:eastAsia="Hiragino Sans GB" w:hAnsi="Arial" w:cs="Arial"/>
          <w:color w:val="1A1D23"/>
        </w:rPr>
        <w:lastRenderedPageBreak/>
        <w:t>tutorial that influenced me most was the ageing exercise, which showed me the importance of real field research before designing a solution.</w:t>
      </w:r>
    </w:p>
    <w:p w14:paraId="4CAEAD99" w14:textId="77777777" w:rsidR="007A1135" w:rsidRPr="0023729B" w:rsidRDefault="007A1135">
      <w:pPr>
        <w:rPr>
          <w:rFonts w:ascii="Arial" w:hAnsi="Arial" w:cs="Arial"/>
          <w:sz w:val="24"/>
        </w:rPr>
      </w:pPr>
    </w:p>
    <w:p w14:paraId="15E67257" w14:textId="04AA6F74" w:rsidR="007A1135" w:rsidRPr="0023729B" w:rsidRDefault="007A1135" w:rsidP="007A1135">
      <w:pPr>
        <w:widowControl/>
        <w:shd w:val="clear" w:color="auto" w:fill="FFFFFF"/>
        <w:spacing w:after="120" w:line="240" w:lineRule="auto"/>
        <w:outlineLvl w:val="2"/>
        <w:rPr>
          <w:rFonts w:ascii="Arial" w:eastAsia="Hiragino Sans GB" w:hAnsi="Arial" w:cs="Arial"/>
          <w:b/>
          <w:bCs/>
          <w:color w:val="1A1D23"/>
          <w:kern w:val="0"/>
          <w:sz w:val="24"/>
          <w14:ligatures w14:val="none"/>
        </w:rPr>
      </w:pPr>
      <w:r w:rsidRPr="0023729B">
        <w:rPr>
          <w:rFonts w:ascii="Arial" w:eastAsia="Hiragino Sans GB" w:hAnsi="Arial" w:cs="Arial"/>
          <w:b/>
          <w:bCs/>
          <w:color w:val="1A1D23"/>
          <w:kern w:val="0"/>
          <w:sz w:val="24"/>
          <w14:ligatures w14:val="none"/>
        </w:rPr>
        <w:t>References</w:t>
      </w:r>
    </w:p>
    <w:p w14:paraId="44BD21C3"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proofErr w:type="spellStart"/>
      <w:r w:rsidRPr="0023729B">
        <w:rPr>
          <w:rFonts w:ascii="Arial" w:eastAsia="Hiragino Sans GB" w:hAnsi="Arial" w:cs="Arial"/>
          <w:color w:val="1A1D23"/>
          <w:kern w:val="0"/>
          <w:sz w:val="24"/>
          <w14:ligatures w14:val="none"/>
        </w:rPr>
        <w:t>Antoncic</w:t>
      </w:r>
      <w:proofErr w:type="spellEnd"/>
      <w:r w:rsidRPr="0023729B">
        <w:rPr>
          <w:rFonts w:ascii="Arial" w:eastAsia="Hiragino Sans GB" w:hAnsi="Arial" w:cs="Arial"/>
          <w:color w:val="1A1D23"/>
          <w:kern w:val="0"/>
          <w:sz w:val="24"/>
          <w14:ligatures w14:val="none"/>
        </w:rPr>
        <w:t>, B. and Hisrich, R.D. (2003) 'Clarifying the intrapreneurship concept', </w:t>
      </w:r>
      <w:r w:rsidRPr="0023729B">
        <w:rPr>
          <w:rFonts w:ascii="Arial" w:eastAsia="Hiragino Sans GB" w:hAnsi="Arial" w:cs="Arial"/>
          <w:i/>
          <w:iCs/>
          <w:color w:val="1A1D23"/>
          <w:kern w:val="0"/>
          <w:sz w:val="24"/>
          <w14:ligatures w14:val="none"/>
        </w:rPr>
        <w:t>Journal of Small Business and Enterprise Development</w:t>
      </w:r>
      <w:r w:rsidRPr="0023729B">
        <w:rPr>
          <w:rFonts w:ascii="Arial" w:eastAsia="Hiragino Sans GB" w:hAnsi="Arial" w:cs="Arial"/>
          <w:color w:val="1A1D23"/>
          <w:kern w:val="0"/>
          <w:sz w:val="24"/>
          <w14:ligatures w14:val="none"/>
        </w:rPr>
        <w:t>, 10(1), pp. 7–24. doi:10.1108/14626000310461187.</w:t>
      </w:r>
    </w:p>
    <w:p w14:paraId="26C50B7C" w14:textId="440D6B7A"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Ashoka (n.d.) </w:t>
      </w:r>
      <w:r w:rsidRPr="0023729B">
        <w:rPr>
          <w:rFonts w:ascii="Arial" w:eastAsia="Hiragino Sans GB" w:hAnsi="Arial" w:cs="Arial"/>
          <w:i/>
          <w:iCs/>
          <w:color w:val="1A1D23"/>
          <w:kern w:val="0"/>
          <w:sz w:val="24"/>
          <w14:ligatures w14:val="none"/>
        </w:rPr>
        <w:t>Harish Hande</w:t>
      </w:r>
      <w:r w:rsidRPr="0023729B">
        <w:rPr>
          <w:rFonts w:ascii="Arial" w:eastAsia="Hiragino Sans GB" w:hAnsi="Arial" w:cs="Arial"/>
          <w:color w:val="1A1D23"/>
          <w:kern w:val="0"/>
          <w:sz w:val="24"/>
          <w14:ligatures w14:val="none"/>
        </w:rPr>
        <w:t>. Available at: </w:t>
      </w:r>
      <w:hyperlink r:id="rId5" w:history="1">
        <w:r w:rsidRPr="0023729B">
          <w:rPr>
            <w:rFonts w:ascii="Arial" w:eastAsia="Hiragino Sans GB" w:hAnsi="Arial" w:cs="Arial"/>
            <w:color w:val="0000FF"/>
            <w:kern w:val="0"/>
            <w:sz w:val="24"/>
            <w:u w:val="single"/>
            <w14:ligatures w14:val="none"/>
          </w:rPr>
          <w:t>https://www.ashoka.org/en-sg/fellow/harish-hande</w:t>
        </w:r>
      </w:hyperlink>
      <w:r w:rsidR="005A602B">
        <w:rPr>
          <w:rFonts w:hint="eastAsia"/>
        </w:rPr>
        <w:t xml:space="preserve"> </w:t>
      </w:r>
      <w:r w:rsidRPr="0023729B">
        <w:rPr>
          <w:rFonts w:ascii="Arial" w:eastAsia="Hiragino Sans GB" w:hAnsi="Arial" w:cs="Arial"/>
          <w:color w:val="1A1D23"/>
          <w:kern w:val="0"/>
          <w:sz w:val="24"/>
          <w14:ligatures w14:val="none"/>
        </w:rPr>
        <w:t>(Accessed: 16 October 2026).</w:t>
      </w:r>
    </w:p>
    <w:p w14:paraId="70565F1F"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Christensen, C.M., Raynor, M.E. and McDonald, R. (2015) 'What is disruptive innovation?', </w:t>
      </w:r>
      <w:r w:rsidRPr="0023729B">
        <w:rPr>
          <w:rFonts w:ascii="Arial" w:eastAsia="Hiragino Sans GB" w:hAnsi="Arial" w:cs="Arial"/>
          <w:i/>
          <w:iCs/>
          <w:color w:val="1A1D23"/>
          <w:kern w:val="0"/>
          <w:sz w:val="24"/>
          <w14:ligatures w14:val="none"/>
        </w:rPr>
        <w:t>Harvard Business Review</w:t>
      </w:r>
      <w:r w:rsidRPr="0023729B">
        <w:rPr>
          <w:rFonts w:ascii="Arial" w:eastAsia="Hiragino Sans GB" w:hAnsi="Arial" w:cs="Arial"/>
          <w:color w:val="1A1D23"/>
          <w:kern w:val="0"/>
          <w:sz w:val="24"/>
          <w14:ligatures w14:val="none"/>
        </w:rPr>
        <w:t>, 93(12), pp. 44–53.</w:t>
      </w:r>
    </w:p>
    <w:p w14:paraId="3C8C289D" w14:textId="363FAE45"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Dees, J.G. (2001) </w:t>
      </w:r>
      <w:r w:rsidRPr="0023729B">
        <w:rPr>
          <w:rFonts w:ascii="Arial" w:eastAsia="Hiragino Sans GB" w:hAnsi="Arial" w:cs="Arial"/>
          <w:i/>
          <w:iCs/>
          <w:color w:val="1A1D23"/>
          <w:kern w:val="0"/>
          <w:sz w:val="24"/>
          <w14:ligatures w14:val="none"/>
        </w:rPr>
        <w:t>The meaning of social entrepreneurship</w:t>
      </w:r>
      <w:r w:rsidRPr="0023729B">
        <w:rPr>
          <w:rFonts w:ascii="Arial" w:eastAsia="Hiragino Sans GB" w:hAnsi="Arial" w:cs="Arial"/>
          <w:color w:val="1A1D23"/>
          <w:kern w:val="0"/>
          <w:sz w:val="24"/>
          <w14:ligatures w14:val="none"/>
        </w:rPr>
        <w:t>. Original draft 1998, revised May 2001. Available at: </w:t>
      </w:r>
      <w:hyperlink r:id="rId6" w:history="1">
        <w:r w:rsidRPr="0023729B">
          <w:rPr>
            <w:rFonts w:ascii="Arial" w:eastAsia="Hiragino Sans GB" w:hAnsi="Arial" w:cs="Arial"/>
            <w:color w:val="0000FF"/>
            <w:kern w:val="0"/>
            <w:sz w:val="24"/>
            <w:u w:val="single"/>
            <w14:ligatures w14:val="none"/>
          </w:rPr>
          <w:t>https://case.fuqua.duke.edu/wp-content/uploads/2025/03/Article_Dees_MeaningofSocialEntrepreneurship_2001.pdf</w:t>
        </w:r>
      </w:hyperlink>
      <w:r w:rsidR="005A602B">
        <w:rPr>
          <w:rFonts w:hint="eastAsia"/>
        </w:rPr>
        <w:t xml:space="preserve"> </w:t>
      </w:r>
      <w:r w:rsidRPr="0023729B">
        <w:rPr>
          <w:rFonts w:ascii="Arial" w:eastAsia="Hiragino Sans GB" w:hAnsi="Arial" w:cs="Arial"/>
          <w:color w:val="1A1D23"/>
          <w:kern w:val="0"/>
          <w:sz w:val="24"/>
          <w14:ligatures w14:val="none"/>
        </w:rPr>
        <w:t>(Accessed: 21 October 2026).</w:t>
      </w:r>
    </w:p>
    <w:p w14:paraId="67FEEEB7"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 xml:space="preserve">Goyal, S., Sergi, B.S. and Kapoor, A. (2017) 'Emerging role of for-profit social enterprises at the base of the pyramid: the case of </w:t>
      </w:r>
      <w:proofErr w:type="spellStart"/>
      <w:r w:rsidRPr="0023729B">
        <w:rPr>
          <w:rFonts w:ascii="Arial" w:eastAsia="Hiragino Sans GB" w:hAnsi="Arial" w:cs="Arial"/>
          <w:color w:val="1A1D23"/>
          <w:kern w:val="0"/>
          <w:sz w:val="24"/>
          <w14:ligatures w14:val="none"/>
        </w:rPr>
        <w:t>Selco</w:t>
      </w:r>
      <w:proofErr w:type="spellEnd"/>
      <w:r w:rsidRPr="0023729B">
        <w:rPr>
          <w:rFonts w:ascii="Arial" w:eastAsia="Hiragino Sans GB" w:hAnsi="Arial" w:cs="Arial"/>
          <w:color w:val="1A1D23"/>
          <w:kern w:val="0"/>
          <w:sz w:val="24"/>
          <w14:ligatures w14:val="none"/>
        </w:rPr>
        <w:t>', </w:t>
      </w:r>
      <w:r w:rsidRPr="0023729B">
        <w:rPr>
          <w:rFonts w:ascii="Arial" w:eastAsia="Hiragino Sans GB" w:hAnsi="Arial" w:cs="Arial"/>
          <w:i/>
          <w:iCs/>
          <w:color w:val="1A1D23"/>
          <w:kern w:val="0"/>
          <w:sz w:val="24"/>
          <w14:ligatures w14:val="none"/>
        </w:rPr>
        <w:t>Journal of Management Development</w:t>
      </w:r>
      <w:r w:rsidRPr="0023729B">
        <w:rPr>
          <w:rFonts w:ascii="Arial" w:eastAsia="Hiragino Sans GB" w:hAnsi="Arial" w:cs="Arial"/>
          <w:color w:val="1A1D23"/>
          <w:kern w:val="0"/>
          <w:sz w:val="24"/>
          <w14:ligatures w14:val="none"/>
        </w:rPr>
        <w:t>, 36(1), pp. 97–108. doi:10.1108/JMD-05-2015-0070.</w:t>
      </w:r>
    </w:p>
    <w:p w14:paraId="3A18E0F6"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 xml:space="preserve">Madani </w:t>
      </w:r>
      <w:proofErr w:type="spellStart"/>
      <w:r w:rsidRPr="0023729B">
        <w:rPr>
          <w:rFonts w:ascii="Arial" w:eastAsia="Hiragino Sans GB" w:hAnsi="Arial" w:cs="Arial"/>
          <w:color w:val="1A1D23"/>
          <w:kern w:val="0"/>
          <w:sz w:val="24"/>
          <w14:ligatures w14:val="none"/>
        </w:rPr>
        <w:t>Berkelanjutan</w:t>
      </w:r>
      <w:proofErr w:type="spellEnd"/>
      <w:r w:rsidRPr="0023729B">
        <w:rPr>
          <w:rFonts w:ascii="Arial" w:eastAsia="Hiragino Sans GB" w:hAnsi="Arial" w:cs="Arial"/>
          <w:color w:val="1A1D23"/>
          <w:kern w:val="0"/>
          <w:sz w:val="24"/>
          <w14:ligatures w14:val="none"/>
        </w:rPr>
        <w:t xml:space="preserve"> (2026) </w:t>
      </w:r>
      <w:r w:rsidRPr="0023729B">
        <w:rPr>
          <w:rFonts w:ascii="Arial" w:eastAsia="Hiragino Sans GB" w:hAnsi="Arial" w:cs="Arial"/>
          <w:i/>
          <w:iCs/>
          <w:color w:val="1A1D23"/>
          <w:kern w:val="0"/>
          <w:sz w:val="24"/>
          <w14:ligatures w14:val="none"/>
        </w:rPr>
        <w:t>658,000 Families Without Electricity: Why Community-Based Energy Transition is Indonesia's Answer</w:t>
      </w:r>
      <w:r w:rsidRPr="0023729B">
        <w:rPr>
          <w:rFonts w:ascii="Arial" w:eastAsia="Hiragino Sans GB" w:hAnsi="Arial" w:cs="Arial"/>
          <w:color w:val="1A1D23"/>
          <w:kern w:val="0"/>
          <w:sz w:val="24"/>
          <w14:ligatures w14:val="none"/>
        </w:rPr>
        <w:t>. Available at: </w:t>
      </w:r>
      <w:hyperlink r:id="rId7" w:history="1">
        <w:r w:rsidRPr="0023729B">
          <w:rPr>
            <w:rFonts w:ascii="Arial" w:eastAsia="Hiragino Sans GB" w:hAnsi="Arial" w:cs="Arial"/>
            <w:color w:val="0000FF"/>
            <w:kern w:val="0"/>
            <w:sz w:val="24"/>
            <w:u w:val="single"/>
            <w14:ligatures w14:val="none"/>
          </w:rPr>
          <w:t>https://madaniberkelanjutan.id/news-event/658-000-families-without-electricity-why-community-based-energy-transition-is-indonesia-s-answer</w:t>
        </w:r>
      </w:hyperlink>
      <w:r w:rsidRPr="0023729B">
        <w:rPr>
          <w:rFonts w:ascii="Arial" w:eastAsia="Hiragino Sans GB" w:hAnsi="Arial" w:cs="Arial"/>
          <w:color w:val="1A1D23"/>
          <w:kern w:val="0"/>
          <w:sz w:val="24"/>
          <w14:ligatures w14:val="none"/>
        </w:rPr>
        <w:t> (Accessed: 19 October 2026).</w:t>
      </w:r>
    </w:p>
    <w:p w14:paraId="677B0838"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Oviatt, B.M. and McDougall, P.P. (2005) 'Defining international entrepreneurship and modeling the speed of internationalization', </w:t>
      </w:r>
      <w:r w:rsidRPr="0023729B">
        <w:rPr>
          <w:rFonts w:ascii="Arial" w:eastAsia="Hiragino Sans GB" w:hAnsi="Arial" w:cs="Arial"/>
          <w:i/>
          <w:iCs/>
          <w:color w:val="1A1D23"/>
          <w:kern w:val="0"/>
          <w:sz w:val="24"/>
          <w14:ligatures w14:val="none"/>
        </w:rPr>
        <w:t>Entrepreneurship Theory and Practice</w:t>
      </w:r>
      <w:r w:rsidRPr="0023729B">
        <w:rPr>
          <w:rFonts w:ascii="Arial" w:eastAsia="Hiragino Sans GB" w:hAnsi="Arial" w:cs="Arial"/>
          <w:color w:val="1A1D23"/>
          <w:kern w:val="0"/>
          <w:sz w:val="24"/>
          <w14:ligatures w14:val="none"/>
        </w:rPr>
        <w:t>, 29(5), pp. 537–553. doi:10.1111/j.1540-6520.2005.</w:t>
      </w:r>
      <w:proofErr w:type="gramStart"/>
      <w:r w:rsidRPr="0023729B">
        <w:rPr>
          <w:rFonts w:ascii="Arial" w:eastAsia="Hiragino Sans GB" w:hAnsi="Arial" w:cs="Arial"/>
          <w:color w:val="1A1D23"/>
          <w:kern w:val="0"/>
          <w:sz w:val="24"/>
          <w14:ligatures w14:val="none"/>
        </w:rPr>
        <w:t>00097.x.</w:t>
      </w:r>
      <w:proofErr w:type="gramEnd"/>
    </w:p>
    <w:p w14:paraId="75F737CA"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Ramon Magsaysay Award Foundation (2011) </w:t>
      </w:r>
      <w:r w:rsidRPr="0023729B">
        <w:rPr>
          <w:rFonts w:ascii="Arial" w:eastAsia="Hiragino Sans GB" w:hAnsi="Arial" w:cs="Arial"/>
          <w:i/>
          <w:iCs/>
          <w:color w:val="1A1D23"/>
          <w:kern w:val="0"/>
          <w:sz w:val="24"/>
          <w14:ligatures w14:val="none"/>
        </w:rPr>
        <w:t>Hande, Harish</w:t>
      </w:r>
      <w:r w:rsidRPr="0023729B">
        <w:rPr>
          <w:rFonts w:ascii="Arial" w:eastAsia="Hiragino Sans GB" w:hAnsi="Arial" w:cs="Arial"/>
          <w:color w:val="1A1D23"/>
          <w:kern w:val="0"/>
          <w:sz w:val="24"/>
          <w14:ligatures w14:val="none"/>
        </w:rPr>
        <w:t>. Available at: </w:t>
      </w:r>
      <w:hyperlink r:id="rId8" w:history="1">
        <w:r w:rsidRPr="0023729B">
          <w:rPr>
            <w:rFonts w:ascii="Arial" w:eastAsia="Hiragino Sans GB" w:hAnsi="Arial" w:cs="Arial"/>
            <w:color w:val="0000FF"/>
            <w:kern w:val="0"/>
            <w:sz w:val="24"/>
            <w:u w:val="single"/>
            <w14:ligatures w14:val="none"/>
          </w:rPr>
          <w:t>https://rmaward.asia/rmawardees/hande-harish/</w:t>
        </w:r>
      </w:hyperlink>
      <w:r w:rsidRPr="0023729B">
        <w:rPr>
          <w:rFonts w:ascii="Arial" w:eastAsia="Hiragino Sans GB" w:hAnsi="Arial" w:cs="Arial"/>
          <w:color w:val="1A1D23"/>
          <w:kern w:val="0"/>
          <w:sz w:val="24"/>
          <w14:ligatures w14:val="none"/>
        </w:rPr>
        <w:t> (Accessed: 16 October 2026).</w:t>
      </w:r>
    </w:p>
    <w:p w14:paraId="28242C5B"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Schumpeter, J.A. (1947) 'The creative response in economic history', </w:t>
      </w:r>
      <w:r w:rsidRPr="0023729B">
        <w:rPr>
          <w:rFonts w:ascii="Arial" w:eastAsia="Hiragino Sans GB" w:hAnsi="Arial" w:cs="Arial"/>
          <w:i/>
          <w:iCs/>
          <w:color w:val="1A1D23"/>
          <w:kern w:val="0"/>
          <w:sz w:val="24"/>
          <w14:ligatures w14:val="none"/>
        </w:rPr>
        <w:t>The Journal of Economic History</w:t>
      </w:r>
      <w:r w:rsidRPr="0023729B">
        <w:rPr>
          <w:rFonts w:ascii="Arial" w:eastAsia="Hiragino Sans GB" w:hAnsi="Arial" w:cs="Arial"/>
          <w:color w:val="1A1D23"/>
          <w:kern w:val="0"/>
          <w:sz w:val="24"/>
          <w14:ligatures w14:val="none"/>
        </w:rPr>
        <w:t>, 7(2), pp. 149–159. doi:10.1017/S0022050700054279.</w:t>
      </w:r>
    </w:p>
    <w:p w14:paraId="0EC66F29"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Skoll Foundation (n.d.) </w:t>
      </w:r>
      <w:r w:rsidRPr="0023729B">
        <w:rPr>
          <w:rFonts w:ascii="Arial" w:eastAsia="Hiragino Sans GB" w:hAnsi="Arial" w:cs="Arial"/>
          <w:i/>
          <w:iCs/>
          <w:color w:val="1A1D23"/>
          <w:kern w:val="0"/>
          <w:sz w:val="24"/>
          <w14:ligatures w14:val="none"/>
        </w:rPr>
        <w:t>SELCO Foundation</w:t>
      </w:r>
      <w:r w:rsidRPr="0023729B">
        <w:rPr>
          <w:rFonts w:ascii="Arial" w:eastAsia="Hiragino Sans GB" w:hAnsi="Arial" w:cs="Arial"/>
          <w:color w:val="1A1D23"/>
          <w:kern w:val="0"/>
          <w:sz w:val="24"/>
          <w14:ligatures w14:val="none"/>
        </w:rPr>
        <w:t>. Available at: </w:t>
      </w:r>
      <w:hyperlink r:id="rId9" w:history="1">
        <w:r w:rsidRPr="0023729B">
          <w:rPr>
            <w:rFonts w:ascii="Arial" w:eastAsia="Hiragino Sans GB" w:hAnsi="Arial" w:cs="Arial"/>
            <w:color w:val="0000FF"/>
            <w:kern w:val="0"/>
            <w:sz w:val="24"/>
            <w:u w:val="single"/>
            <w14:ligatures w14:val="none"/>
          </w:rPr>
          <w:t>https://skoll.org/organization/selco-foundation/</w:t>
        </w:r>
      </w:hyperlink>
      <w:r w:rsidRPr="0023729B">
        <w:rPr>
          <w:rFonts w:ascii="Arial" w:eastAsia="Hiragino Sans GB" w:hAnsi="Arial" w:cs="Arial"/>
          <w:color w:val="1A1D23"/>
          <w:kern w:val="0"/>
          <w:sz w:val="24"/>
          <w14:ligatures w14:val="none"/>
        </w:rPr>
        <w:t> (Accessed: 16 October 2026).</w:t>
      </w:r>
    </w:p>
    <w:p w14:paraId="6DA33209" w14:textId="77777777" w:rsidR="007A1135" w:rsidRPr="0023729B" w:rsidRDefault="007A1135" w:rsidP="007A1135">
      <w:pPr>
        <w:widowControl/>
        <w:numPr>
          <w:ilvl w:val="0"/>
          <w:numId w:val="1"/>
        </w:numPr>
        <w:shd w:val="clear" w:color="auto" w:fill="FFFFFF"/>
        <w:spacing w:before="48" w:after="48" w:line="240" w:lineRule="auto"/>
        <w:rPr>
          <w:rFonts w:ascii="Arial" w:eastAsia="Hiragino Sans GB" w:hAnsi="Arial" w:cs="Arial"/>
          <w:color w:val="1A1D23"/>
          <w:kern w:val="0"/>
          <w:sz w:val="24"/>
          <w14:ligatures w14:val="none"/>
        </w:rPr>
      </w:pPr>
      <w:r w:rsidRPr="0023729B">
        <w:rPr>
          <w:rFonts w:ascii="Arial" w:eastAsia="Hiragino Sans GB" w:hAnsi="Arial" w:cs="Arial"/>
          <w:color w:val="1A1D23"/>
          <w:kern w:val="0"/>
          <w:sz w:val="24"/>
          <w14:ligatures w14:val="none"/>
        </w:rPr>
        <w:t>Vahlne, J.-E. and Johanson, J. (2017) 'From internationalization to evolution: the Uppsala model at 40 years', </w:t>
      </w:r>
      <w:r w:rsidRPr="0023729B">
        <w:rPr>
          <w:rFonts w:ascii="Arial" w:eastAsia="Hiragino Sans GB" w:hAnsi="Arial" w:cs="Arial"/>
          <w:i/>
          <w:iCs/>
          <w:color w:val="1A1D23"/>
          <w:kern w:val="0"/>
          <w:sz w:val="24"/>
          <w14:ligatures w14:val="none"/>
        </w:rPr>
        <w:t xml:space="preserve">Journal of International </w:t>
      </w:r>
      <w:r w:rsidRPr="0023729B">
        <w:rPr>
          <w:rFonts w:ascii="Arial" w:eastAsia="Hiragino Sans GB" w:hAnsi="Arial" w:cs="Arial"/>
          <w:i/>
          <w:iCs/>
          <w:color w:val="1A1D23"/>
          <w:kern w:val="0"/>
          <w:sz w:val="24"/>
          <w14:ligatures w14:val="none"/>
        </w:rPr>
        <w:lastRenderedPageBreak/>
        <w:t>Business Studies</w:t>
      </w:r>
      <w:r w:rsidRPr="0023729B">
        <w:rPr>
          <w:rFonts w:ascii="Arial" w:eastAsia="Hiragino Sans GB" w:hAnsi="Arial" w:cs="Arial"/>
          <w:color w:val="1A1D23"/>
          <w:kern w:val="0"/>
          <w:sz w:val="24"/>
          <w14:ligatures w14:val="none"/>
        </w:rPr>
        <w:t>, 48(9), pp. 1087–1102. doi:10.1057/s41267-017-0107-7.</w:t>
      </w:r>
    </w:p>
    <w:p w14:paraId="5F86B7C4" w14:textId="77777777" w:rsidR="007A1135" w:rsidRPr="0023729B" w:rsidRDefault="007A1135">
      <w:pPr>
        <w:rPr>
          <w:rFonts w:ascii="Arial" w:hAnsi="Arial" w:cs="Arial"/>
          <w:sz w:val="24"/>
        </w:rPr>
      </w:pPr>
    </w:p>
    <w:p w14:paraId="06EF251B" w14:textId="1F6F2C2A" w:rsidR="007A1135" w:rsidRPr="0023729B" w:rsidRDefault="007A1135" w:rsidP="007A1135">
      <w:pPr>
        <w:tabs>
          <w:tab w:val="left" w:pos="5205"/>
        </w:tabs>
        <w:rPr>
          <w:rFonts w:ascii="Arial" w:hAnsi="Arial" w:cs="Arial"/>
          <w:sz w:val="24"/>
        </w:rPr>
      </w:pPr>
      <w:r w:rsidRPr="0023729B">
        <w:rPr>
          <w:rFonts w:ascii="Arial" w:hAnsi="Arial" w:cs="Arial"/>
          <w:sz w:val="24"/>
        </w:rPr>
        <w:tab/>
      </w:r>
    </w:p>
    <w:sectPr w:rsidR="007A1135" w:rsidRPr="002372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Hiragino Sans GB">
    <w:panose1 w:val="020B0300000000000000"/>
    <w:charset w:val="80"/>
    <w:family w:val="swiss"/>
    <w:pitch w:val="variable"/>
    <w:sig w:usb0="A00002BF" w:usb1="1ACF7CFA" w:usb2="00000016" w:usb3="00000000" w:csb0="0006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71EDB"/>
    <w:multiLevelType w:val="multilevel"/>
    <w:tmpl w:val="E67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13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35"/>
    <w:rsid w:val="0023729B"/>
    <w:rsid w:val="005A602B"/>
    <w:rsid w:val="005D2CF0"/>
    <w:rsid w:val="007A1135"/>
    <w:rsid w:val="007F61FB"/>
    <w:rsid w:val="00860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4E06F5"/>
  <w15:chartTrackingRefBased/>
  <w15:docId w15:val="{DFC7D082-5B96-9947-9714-73A433C8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11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1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A11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1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1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11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1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1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11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1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1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A11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135"/>
    <w:rPr>
      <w:rFonts w:cstheme="majorBidi"/>
      <w:color w:val="0F4761" w:themeColor="accent1" w:themeShade="BF"/>
      <w:sz w:val="28"/>
      <w:szCs w:val="28"/>
    </w:rPr>
  </w:style>
  <w:style w:type="character" w:customStyle="1" w:styleId="50">
    <w:name w:val="标题 5 字符"/>
    <w:basedOn w:val="a0"/>
    <w:link w:val="5"/>
    <w:uiPriority w:val="9"/>
    <w:semiHidden/>
    <w:rsid w:val="007A1135"/>
    <w:rPr>
      <w:rFonts w:cstheme="majorBidi"/>
      <w:color w:val="0F4761" w:themeColor="accent1" w:themeShade="BF"/>
      <w:sz w:val="24"/>
    </w:rPr>
  </w:style>
  <w:style w:type="character" w:customStyle="1" w:styleId="60">
    <w:name w:val="标题 6 字符"/>
    <w:basedOn w:val="a0"/>
    <w:link w:val="6"/>
    <w:uiPriority w:val="9"/>
    <w:semiHidden/>
    <w:rsid w:val="007A1135"/>
    <w:rPr>
      <w:rFonts w:cstheme="majorBidi"/>
      <w:b/>
      <w:bCs/>
      <w:color w:val="0F4761" w:themeColor="accent1" w:themeShade="BF"/>
    </w:rPr>
  </w:style>
  <w:style w:type="character" w:customStyle="1" w:styleId="70">
    <w:name w:val="标题 7 字符"/>
    <w:basedOn w:val="a0"/>
    <w:link w:val="7"/>
    <w:uiPriority w:val="9"/>
    <w:semiHidden/>
    <w:rsid w:val="007A1135"/>
    <w:rPr>
      <w:rFonts w:cstheme="majorBidi"/>
      <w:b/>
      <w:bCs/>
      <w:color w:val="595959" w:themeColor="text1" w:themeTint="A6"/>
    </w:rPr>
  </w:style>
  <w:style w:type="character" w:customStyle="1" w:styleId="80">
    <w:name w:val="标题 8 字符"/>
    <w:basedOn w:val="a0"/>
    <w:link w:val="8"/>
    <w:uiPriority w:val="9"/>
    <w:semiHidden/>
    <w:rsid w:val="007A1135"/>
    <w:rPr>
      <w:rFonts w:cstheme="majorBidi"/>
      <w:color w:val="595959" w:themeColor="text1" w:themeTint="A6"/>
    </w:rPr>
  </w:style>
  <w:style w:type="character" w:customStyle="1" w:styleId="90">
    <w:name w:val="标题 9 字符"/>
    <w:basedOn w:val="a0"/>
    <w:link w:val="9"/>
    <w:uiPriority w:val="9"/>
    <w:semiHidden/>
    <w:rsid w:val="007A1135"/>
    <w:rPr>
      <w:rFonts w:eastAsiaTheme="majorEastAsia" w:cstheme="majorBidi"/>
      <w:color w:val="595959" w:themeColor="text1" w:themeTint="A6"/>
    </w:rPr>
  </w:style>
  <w:style w:type="paragraph" w:styleId="a3">
    <w:name w:val="Title"/>
    <w:basedOn w:val="a"/>
    <w:next w:val="a"/>
    <w:link w:val="a4"/>
    <w:uiPriority w:val="10"/>
    <w:qFormat/>
    <w:rsid w:val="007A11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1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1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135"/>
    <w:pPr>
      <w:spacing w:before="160"/>
      <w:jc w:val="center"/>
    </w:pPr>
    <w:rPr>
      <w:i/>
      <w:iCs/>
      <w:color w:val="404040" w:themeColor="text1" w:themeTint="BF"/>
    </w:rPr>
  </w:style>
  <w:style w:type="character" w:customStyle="1" w:styleId="a8">
    <w:name w:val="引用 字符"/>
    <w:basedOn w:val="a0"/>
    <w:link w:val="a7"/>
    <w:uiPriority w:val="29"/>
    <w:rsid w:val="007A1135"/>
    <w:rPr>
      <w:i/>
      <w:iCs/>
      <w:color w:val="404040" w:themeColor="text1" w:themeTint="BF"/>
    </w:rPr>
  </w:style>
  <w:style w:type="paragraph" w:styleId="a9">
    <w:name w:val="List Paragraph"/>
    <w:basedOn w:val="a"/>
    <w:uiPriority w:val="34"/>
    <w:qFormat/>
    <w:rsid w:val="007A1135"/>
    <w:pPr>
      <w:ind w:left="720"/>
      <w:contextualSpacing/>
    </w:pPr>
  </w:style>
  <w:style w:type="character" w:styleId="aa">
    <w:name w:val="Intense Emphasis"/>
    <w:basedOn w:val="a0"/>
    <w:uiPriority w:val="21"/>
    <w:qFormat/>
    <w:rsid w:val="007A1135"/>
    <w:rPr>
      <w:i/>
      <w:iCs/>
      <w:color w:val="0F4761" w:themeColor="accent1" w:themeShade="BF"/>
    </w:rPr>
  </w:style>
  <w:style w:type="paragraph" w:styleId="ab">
    <w:name w:val="Intense Quote"/>
    <w:basedOn w:val="a"/>
    <w:next w:val="a"/>
    <w:link w:val="ac"/>
    <w:uiPriority w:val="30"/>
    <w:qFormat/>
    <w:rsid w:val="007A1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135"/>
    <w:rPr>
      <w:i/>
      <w:iCs/>
      <w:color w:val="0F4761" w:themeColor="accent1" w:themeShade="BF"/>
    </w:rPr>
  </w:style>
  <w:style w:type="character" w:styleId="ad">
    <w:name w:val="Intense Reference"/>
    <w:basedOn w:val="a0"/>
    <w:uiPriority w:val="32"/>
    <w:qFormat/>
    <w:rsid w:val="007A1135"/>
    <w:rPr>
      <w:b/>
      <w:bCs/>
      <w:smallCaps/>
      <w:color w:val="0F4761" w:themeColor="accent1" w:themeShade="BF"/>
      <w:spacing w:val="5"/>
    </w:rPr>
  </w:style>
  <w:style w:type="paragraph" w:styleId="ae">
    <w:name w:val="Normal (Web)"/>
    <w:basedOn w:val="a"/>
    <w:uiPriority w:val="99"/>
    <w:semiHidden/>
    <w:unhideWhenUsed/>
    <w:rsid w:val="007A1135"/>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af">
    <w:name w:val="Strong"/>
    <w:basedOn w:val="a0"/>
    <w:uiPriority w:val="22"/>
    <w:qFormat/>
    <w:rsid w:val="007A1135"/>
    <w:rPr>
      <w:b/>
      <w:bCs/>
    </w:rPr>
  </w:style>
  <w:style w:type="character" w:customStyle="1" w:styleId="apple-converted-space">
    <w:name w:val="apple-converted-space"/>
    <w:basedOn w:val="a0"/>
    <w:rsid w:val="007A1135"/>
  </w:style>
  <w:style w:type="character" w:styleId="af0">
    <w:name w:val="Emphasis"/>
    <w:basedOn w:val="a0"/>
    <w:uiPriority w:val="20"/>
    <w:qFormat/>
    <w:rsid w:val="007A1135"/>
    <w:rPr>
      <w:i/>
      <w:iCs/>
    </w:rPr>
  </w:style>
  <w:style w:type="character" w:styleId="af1">
    <w:name w:val="Hyperlink"/>
    <w:basedOn w:val="a0"/>
    <w:uiPriority w:val="99"/>
    <w:semiHidden/>
    <w:unhideWhenUsed/>
    <w:rsid w:val="007A11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maward.asia/rmawardees/hande-harish/" TargetMode="External"/><Relationship Id="rId3" Type="http://schemas.openxmlformats.org/officeDocument/2006/relationships/settings" Target="settings.xml"/><Relationship Id="rId7" Type="http://schemas.openxmlformats.org/officeDocument/2006/relationships/hyperlink" Target="https://madaniberkelanjutan.id/news-event/658-000-families-without-electricity-why-community-based-energy-transition-is-indonesia-s-ans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se.fuqua.duke.edu/wp-content/uploads/2025/03/Article_Dees_MeaningofSocialEntrepreneurship_2001.pdf" TargetMode="External"/><Relationship Id="rId11" Type="http://schemas.openxmlformats.org/officeDocument/2006/relationships/theme" Target="theme/theme1.xml"/><Relationship Id="rId5" Type="http://schemas.openxmlformats.org/officeDocument/2006/relationships/hyperlink" Target="https://www.ashoka.org/en-sg/fellow/harish-hand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koll.org/organization/selco-found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1623</Words>
  <Characters>9254</Characters>
  <Application>Microsoft Office Word</Application>
  <DocSecurity>0</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2026-10-21T03:38:00Z</dcterms:created>
  <dcterms:modified xsi:type="dcterms:W3CDTF">2026-10-21T04:42:00Z</dcterms:modified>
</cp:coreProperties>
</file>