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13:16:04.991674+00:00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13:16:04.991674+00:00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Казахстан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Акмолинская область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Нарушения положений Конвенций МОТ № 98 «Относительно применения принципов права на организацию и заключение коллективных договоров»</w:t>
            </w:r>
          </w:p>
        </w:tc>
      </w:tr>
      <w:tr>
        <w:tc>
          <w:tcPr>
            <w:tcW w:type="dxa" w:w="2880"/>
          </w:tcPr>
          <w:p>
            <w:r>
              <w:t>Нарушения положений Конвенции МОТ №98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Нарушения права на проведение коллективных переговоров</w:t>
            </w:r>
          </w:p>
        </w:tc>
      </w:tr>
      <w:tr>
        <w:tc>
          <w:tcPr>
            <w:tcW w:type="dxa" w:w="2880"/>
          </w:tcPr>
          <w:p>
            <w:r>
              <w:t>Нарушения права на проведение коллективных переговоров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Отказ в обсуждении определённых вопросов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2021-08-25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2021-08-25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физическое лицо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</w:t>
            </w:r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</w:t>
            </w:r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</w:t>
            </w:r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pldocxt</w:t>
            </w:r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Отрасль деятельности профсоюза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авиация</w:t>
            </w:r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Работодатель (компания)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Затрудняюсь ответить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