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2021-09-03 08:10:28.513707+00:00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2021-09-03 08:10:28.513707+00:00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Источник информации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Казахстан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Байконыр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Нарушения положений Конвенций МОТ № 87 «Относительно свободы ассоциаций и защиты права на организацию»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Нарушения положений Конвенции МОТ №87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Нарушение права свободно создавать профсоюзы и вступать в профсоюзы только лишь на условии подчинения уставу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Создание профсоюзов и вступление в профсоюзы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Фаворитизм или дискриминация в отношении определённых профсоюзов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2021-09-02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2021-09-02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Другое</w:t>
            </w:r>
          </w:p>
        </w:tc>
      </w:tr>
      <w:tr>
        <w:tc>
          <w:tcPr>
            <w:tcW w:type="dxa" w:w="2880"/>
          </w:tcPr>
          <w:p>
            <w:r>
              <w:t>Отрасль деятельности профсоюза(Другое)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Комментарии для монитора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