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111111111111111111111111111111111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2021.11.02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2021.11.02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Кыргызстан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г. Бишкек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</w:tr>
      <w:tr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  <w:tc>
          <w:tcPr>
            <w:tcW w:type="dxa" w:w="4320"/>
          </w:tcPr>
          <w:p>
            <w:r>
              <w:t>арест, задержание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2021.11.02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4320"/>
          </w:tcPr>
          <w:p>
            <w:r>
              <w:t>Профсоюзная организация</w:t>
            </w:r>
          </w:p>
        </w:tc>
        <w:tc>
          <w:tcPr>
            <w:tcW w:type="dxa" w:w="4320"/>
          </w:tcPr>
          <w:p>
            <w:r>
              <w:t>11111111111111111</w:t>
            </w:r>
          </w:p>
        </w:tc>
      </w:tr>
      <w:tr>
        <w:tc>
          <w:tcPr>
            <w:tcW w:type="dxa" w:w="432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1111111111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Кейсы, связанные с данной ситуацией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текстильная и легкая промышленность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dolon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Государственные органы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