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ТОО АМК, Вакцинация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2021.08.29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2021.08.29</w:t>
            </w:r>
          </w:p>
        </w:tc>
      </w:tr>
      <w:tr>
        <w:tc>
          <w:tcPr>
            <w:tcW w:type="dxa" w:w="4320"/>
          </w:tcPr>
          <w:p>
            <w:r>
              <w:t>Источник информации</w:t>
            </w:r>
          </w:p>
        </w:tc>
        <w:tc>
          <w:tcPr>
            <w:tcW w:type="dxa" w:w="4320"/>
          </w:tcPr>
          <w:p>
            <w:r>
              <w:t>@aktobe_life_04   (insta)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Казахстан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Актюбинская область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г. Хромтау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ТОО "Актюбинская медная компания"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  <w:tc>
          <w:tcPr>
            <w:tcW w:type="dxa" w:w="4320"/>
          </w:tcPr>
          <w:p>
            <w:r>
              <w:t>Дискриминация по различным основаниям</w:t>
            </w:r>
          </w:p>
        </w:tc>
      </w:tr>
      <w:tr>
        <w:tc>
          <w:tcPr>
            <w:tcW w:type="dxa" w:w="4320"/>
          </w:tcPr>
          <w:p>
            <w:r>
              <w:t>Дискриминация по различным основаниям</w:t>
            </w:r>
          </w:p>
        </w:tc>
        <w:tc>
          <w:tcPr>
            <w:tcW w:type="dxa" w:w="4320"/>
          </w:tcPr>
          <w:p>
            <w:r>
              <w:t>Дискриминация по основаниям, устанавливаемым национальным законодательством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2021.05.26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группа лиц (работников)</w:t>
            </w:r>
          </w:p>
        </w:tc>
      </w:tr>
      <w:tr>
        <w:tc>
          <w:tcPr>
            <w:tcW w:type="dxa" w:w="4320"/>
          </w:tcPr>
          <w:p>
            <w:r>
              <w:t>Группа лиц (работников)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Главный санитарный врач РК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27 мая 2021 года. ТОО АМК.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27 мая 2021 года, Руководство компании ТОО "Актюбинская медная компания", ссылаясь на приказ главного санитарного врача РК, раздала всем работникам компании, уведомление о том, что запуск на территорию вахты производится при наличии вакцины или же ПЦР теста на КОВИД 19 за свой счет. А по закону, вакцинация добровольная.  Приложение 26.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Профсоюз не смог выйти против приказа  санврача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Идет давление на рабочих с требованием получить вакцинацию или же ПЦР теста.  Но еще допускают на  работу без ПЦР и вакцины.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не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Продолжает действовать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сообщение в СМИ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Государственные органы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