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right"/>
      </w:pPr>
      <w:r>
        <w:rPr>
          <w:rFonts w:ascii="Calibri"/>
          <w:b/>
          <w:bCs/>
          <w:sz w:val="22"/>
          <w:szCs w:val="22"/>
        </w:rPr>
        <w:t xml:space="preserve">Date: 22nd September, 2025</w:t>
      </w:r>
    </w:p>
    <w:p>
      <w:pPr>
        <w:spacing w:after="60"/>
      </w:pPr>
      <w:r>
        <w:rPr>
          <w:rFonts w:ascii="Calibri"/>
          <w:b/>
          <w:bCs/>
          <w:sz w:val="22"/>
          <w:szCs w:val="22"/>
        </w:rPr>
        <w:t xml:space="preserve">To,</w:t>
      </w:r>
    </w:p>
    <w:p>
      <w:pPr>
        <w:spacing w:after="0"/>
      </w:pPr>
      <w:r>
        <w:rPr>
          <w:rFonts w:ascii="Calibri"/>
          <w:sz w:val="22"/>
          <w:szCs w:val="22"/>
        </w:rPr>
        <w:t xml:space="preserve">Mr. Syed Ashfaqul Haque</w:t>
      </w:r>
    </w:p>
    <w:p>
      <w:pPr>
        <w:spacing w:after="0"/>
      </w:pPr>
      <w:r>
        <w:rPr>
          <w:rFonts w:ascii="Calibri"/>
          <w:sz w:val="22"/>
          <w:szCs w:val="22"/>
        </w:rPr>
        <w:t xml:space="preserve">Former Executive Editor,</w:t>
      </w:r>
    </w:p>
    <w:p>
      <w:pPr>
        <w:spacing w:after="240"/>
      </w:pPr>
      <w:r>
        <w:rPr>
          <w:rFonts w:ascii="Calibri"/>
          <w:sz w:val="22"/>
          <w:szCs w:val="22"/>
        </w:rPr>
        <w:t xml:space="preserve">The Daily Star</w:t>
      </w:r>
    </w:p>
    <w:p>
      <w:pPr>
        <w:spacing w:after="240"/>
      </w:pPr>
      <w:r>
        <w:rPr>
          <w:rFonts w:ascii="Calibri"/>
          <w:b/>
          <w:bCs/>
          <w:sz w:val="22"/>
          <w:szCs w:val="22"/>
        </w:rPr>
        <w:t xml:space="preserve">Subject: A letter of appointment</w:t>
      </w:r>
    </w:p>
    <w:p>
      <w:pPr>
        <w:spacing w:after="200"/>
      </w:pPr>
      <w:r>
        <w:rPr>
          <w:rFonts w:ascii="Calibri"/>
          <w:sz w:val="22"/>
          <w:szCs w:val="22"/>
        </w:rPr>
        <w:t xml:space="preserve">Dear Mr. Haque,</w:t>
      </w:r>
    </w:p>
    <w:p>
      <w:pPr>
        <w:spacing w:after="200"/>
        <w:jc w:val="both"/>
      </w:pPr>
      <w:r>
        <w:rPr>
          <w:rFonts w:ascii="Calibri"/>
          <w:sz w:val="22"/>
          <w:szCs w:val="22"/>
        </w:rPr>
        <w:t xml:space="preserve">On behalf of the 'Beyond Headlines', I, Saqib Ahmed, am pleased to appoint you as the Editor of Beyond Headlines; a digital news portal with a vision for an English-language newspaper in the future ahead. The management is hereby giving you the responsibility to turn BH into an independent, credible and free media. The performance of the portal and your stewardship will be reviewed by February, 2026 in order to decide on the future the contract.</w:t>
      </w:r>
    </w:p>
    <w:p>
      <w:pPr>
        <w:spacing w:after="120"/>
        <w:jc w:val="both"/>
      </w:pPr>
      <w:r>
        <w:rPr>
          <w:rFonts w:ascii="Calibri"/>
          <w:b w:val="false"/>
          <w:bCs w:val="false"/>
          <w:sz w:val="22"/>
          <w:szCs w:val="22"/>
        </w:rPr>
        <w:t xml:space="preserve">As the Editor, you will be broadly expected to:</w:t>
      </w:r>
    </w:p>
    <w:p>
      <w:pPr>
        <w:spacing w:after="100"/>
        <w:ind w:left="720" w:hanging="360"/>
        <w:jc w:val="both"/>
      </w:pPr>
      <w:r>
        <w:rPr>
          <w:rFonts w:ascii="Calibri"/>
          <w:sz w:val="22"/>
          <w:szCs w:val="22"/>
        </w:rPr>
        <w:t xml:space="preserve">•  </w:t>
      </w:r>
      <w:r>
        <w:rPr>
          <w:rFonts w:ascii="Calibri"/>
          <w:sz w:val="22"/>
          <w:szCs w:val="22"/>
        </w:rPr>
        <w:t xml:space="preserve">Execute editorial and all other policies as approved by the owner.</w:t>
      </w:r>
    </w:p>
    <w:p>
      <w:pPr>
        <w:spacing w:after="100"/>
        <w:ind w:left="720" w:hanging="360"/>
        <w:jc w:val="both"/>
      </w:pPr>
      <w:r>
        <w:rPr>
          <w:rFonts w:ascii="Calibri"/>
          <w:sz w:val="22"/>
          <w:szCs w:val="22"/>
        </w:rPr>
        <w:t xml:space="preserve">•  </w:t>
      </w:r>
      <w:r>
        <w:rPr>
          <w:rFonts w:ascii="Calibri"/>
          <w:sz w:val="22"/>
          <w:szCs w:val="22"/>
        </w:rPr>
        <w:t xml:space="preserve">Ensure neutrality, accountability and transparency in all aspects of media operations.</w:t>
      </w:r>
    </w:p>
    <w:p>
      <w:pPr>
        <w:spacing w:after="100"/>
        <w:ind w:left="720" w:hanging="360"/>
        <w:jc w:val="both"/>
      </w:pPr>
      <w:r>
        <w:rPr>
          <w:rFonts w:ascii="Calibri"/>
          <w:sz w:val="22"/>
          <w:szCs w:val="22"/>
        </w:rPr>
        <w:t xml:space="preserve">•  </w:t>
      </w:r>
      <w:r>
        <w:rPr>
          <w:rFonts w:ascii="Calibri"/>
          <w:sz w:val="22"/>
          <w:szCs w:val="22"/>
        </w:rPr>
        <w:t xml:space="preserve">Exercise your complete authority in hiring and firing of the manpower under you with utmost fairness. In case of the recruitment and retrenchment of top-level manpower like Managing Editor, Executive Editor or other HODs, you will consult with the management/owner beforehand.</w:t>
      </w:r>
    </w:p>
    <w:p>
      <w:pPr>
        <w:spacing w:after="100"/>
        <w:ind w:left="720" w:hanging="360"/>
        <w:jc w:val="both"/>
      </w:pPr>
      <w:r>
        <w:rPr>
          <w:rFonts w:ascii="Calibri"/>
          <w:sz w:val="22"/>
          <w:szCs w:val="22"/>
        </w:rPr>
        <w:t xml:space="preserve">•  </w:t>
      </w:r>
      <w:r>
        <w:rPr>
          <w:rFonts w:ascii="Calibri"/>
          <w:sz w:val="22"/>
          <w:szCs w:val="22"/>
        </w:rPr>
        <w:t xml:space="preserve">Run the media in light of the approved AOP and SOP.</w:t>
      </w:r>
    </w:p>
    <w:p>
      <w:pPr>
        <w:spacing w:after="200" w:before="100"/>
        <w:jc w:val="both"/>
      </w:pPr>
      <w:r>
        <w:rPr>
          <w:rFonts w:ascii="Calibri"/>
          <w:sz w:val="22"/>
          <w:szCs w:val="22"/>
        </w:rPr>
        <w:t xml:space="preserve">As the editor, your take-home salary will be Tk. 4 lakh a month, and the income tax will be borne by the company. In addition to your monthly salary, you will be entitled to additional allowances as per the company policy.</w:t>
      </w:r>
    </w:p>
    <w:p>
      <w:pPr>
        <w:spacing w:after="200"/>
        <w:jc w:val="both"/>
      </w:pPr>
      <w:r>
        <w:rPr>
          <w:rFonts w:ascii="Calibri"/>
          <w:sz w:val="22"/>
          <w:szCs w:val="22"/>
        </w:rPr>
        <w:t xml:space="preserve">It may be added that the tenure of this letter will be effective from the 1st of October, 2025 and all other terms and policies of your Employment will be mentioned in detail, in the formal agreement.</w:t>
      </w:r>
    </w:p>
    <w:p>
      <w:pPr>
        <w:spacing w:after="160"/>
      </w:pPr>
      <w:r>
        <w:rPr>
          <w:rFonts w:ascii="Calibri"/>
          <w:b/>
          <w:bCs/>
          <w:sz w:val="22"/>
          <w:szCs w:val="22"/>
        </w:rPr>
        <w:t xml:space="preserve">Your salary structure will be as follows: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60%"/>
            <w:shd w:fill="FF2109" w:val="clear"/>
            <w:tcMar>
              <w:top w:type="dxa" w:w="60"/>
              <w:left w:type="dxa" w:w="120"/>
              <w:bottom w:type="dxa" w:w="60"/>
              <w:right w:type="dxa" w:w="120"/>
            </w:tcMar>
          </w:tcPr>
          <w:p>
            <w:r>
              <w:rPr>
                <w:rFonts w:ascii="Calibri"/>
                <w:b/>
                <w:bCs/>
                <w:color w:val="FFFFFF"/>
                <w:sz w:val="21"/>
                <w:szCs w:val="21"/>
              </w:rPr>
              <w:t xml:space="preserve">Description</w:t>
            </w:r>
          </w:p>
        </w:tc>
        <w:tc>
          <w:tcPr>
            <w:tcW w:type="pct" w:w="40%"/>
            <w:shd w:fill="FF2109" w:val="clear"/>
            <w:tcMar>
              <w:top w:type="dxa" w:w="60"/>
              <w:left w:type="dxa" w:w="120"/>
              <w:bottom w:type="dxa" w:w="60"/>
              <w:right w:type="dxa" w:w="120"/>
            </w:tcMar>
          </w:tcPr>
          <w:p>
            <w:pPr>
              <w:jc w:val="right"/>
            </w:pPr>
            <w:r>
              <w:rPr>
                <w:rFonts w:ascii="Calibri"/>
                <w:b/>
                <w:bCs/>
                <w:color w:val="FFFFFF"/>
                <w:sz w:val="21"/>
                <w:szCs w:val="21"/>
              </w:rPr>
              <w:t xml:space="preserve">Amount (BDT)</w:t>
            </w:r>
          </w:p>
        </w:tc>
      </w:tr>
      <w:tr>
        <w:trPr>
          <w:cantSplit/>
        </w:trPr>
        <w:tc>
          <w:tcPr>
            <w:tcW w:type="pct" w:w="6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Calibri"/>
                <w:b w:val="false"/>
                <w:bCs w:val="false"/>
                <w:sz w:val="21"/>
                <w:szCs w:val="21"/>
              </w:rPr>
              <w:t xml:space="preserve">Bank Deposit</w:t>
            </w:r>
          </w:p>
        </w:tc>
        <w:tc>
          <w:tcPr>
            <w:tcW w:type="pct" w:w="40%"/>
            <w:tcBorders>
              <w:top w:val="single" w:color="DDDDDD" w:sz="1"/>
              <w:left w:val="single" w:color="DDDDDD" w:sz="1"/>
              <w:bottom w:val="single" w:color="DDDDDD" w:sz="1"/>
              <w:right w:val="single" w:color="DDDDDD" w:sz="1"/>
            </w:tcBorders>
            <w:tcMar>
              <w:top w:type="dxa" w:w="50"/>
              <w:left w:type="dxa" w:w="120"/>
              <w:bottom w:type="dxa" w:w="50"/>
              <w:right w:type="dxa" w:w="120"/>
            </w:tcMar>
          </w:tcPr>
          <w:p>
            <w:pPr>
              <w:jc w:val="right"/>
            </w:pPr>
            <w:r>
              <w:rPr>
                <w:rFonts w:ascii="Calibri"/>
                <w:b w:val="false"/>
                <w:bCs w:val="false"/>
                <w:sz w:val="21"/>
                <w:szCs w:val="21"/>
              </w:rPr>
              <w:t xml:space="preserve">3,00,000</w:t>
            </w:r>
          </w:p>
        </w:tc>
      </w:tr>
      <w:tr>
        <w:trPr>
          <w:cantSplit/>
        </w:trPr>
        <w:tc>
          <w:tcPr>
            <w:tcW w:type="pct" w:w="60%"/>
            <w:tcBorders>
              <w:top w:val="single" w:color="DDDDDD" w:sz="1"/>
              <w:left w:val="single" w:color="DDDDDD" w:sz="1"/>
              <w:bottom w:val="single" w:color="DDDDDD" w:sz="1"/>
              <w:right w:val="single" w:color="DDDDDD" w:sz="1"/>
            </w:tcBorders>
            <w:shd w:fill="F9F0F2" w:val="clear"/>
            <w:tcMar>
              <w:top w:type="dxa" w:w="50"/>
              <w:left w:type="dxa" w:w="120"/>
              <w:bottom w:type="dxa" w:w="50"/>
              <w:right w:type="dxa" w:w="120"/>
            </w:tcMar>
          </w:tcPr>
          <w:p>
            <w:r>
              <w:rPr>
                <w:rFonts w:ascii="Calibri"/>
                <w:b w:val="false"/>
                <w:bCs w:val="false"/>
                <w:sz w:val="21"/>
                <w:szCs w:val="21"/>
              </w:rPr>
              <w:t xml:space="preserve">(Cash)</w:t>
            </w:r>
          </w:p>
        </w:tc>
        <w:tc>
          <w:tcPr>
            <w:tcW w:type="pct" w:w="40%"/>
            <w:tcBorders>
              <w:top w:val="single" w:color="DDDDDD" w:sz="1"/>
              <w:left w:val="single" w:color="DDDDDD" w:sz="1"/>
              <w:bottom w:val="single" w:color="DDDDDD" w:sz="1"/>
              <w:right w:val="single" w:color="DDDDDD" w:sz="1"/>
            </w:tcBorders>
            <w:shd w:fill="F9F0F2" w:val="clear"/>
            <w:tcMar>
              <w:top w:type="dxa" w:w="50"/>
              <w:left w:type="dxa" w:w="120"/>
              <w:bottom w:type="dxa" w:w="50"/>
              <w:right w:type="dxa" w:w="120"/>
            </w:tcMar>
          </w:tcPr>
          <w:p>
            <w:pPr>
              <w:jc w:val="right"/>
            </w:pPr>
            <w:r>
              <w:rPr>
                <w:rFonts w:ascii="Calibri"/>
                <w:b w:val="false"/>
                <w:bCs w:val="false"/>
                <w:sz w:val="21"/>
                <w:szCs w:val="21"/>
              </w:rPr>
              <w:t xml:space="preserve">1,43,000</w:t>
            </w:r>
          </w:p>
        </w:tc>
      </w:tr>
      <w:tr>
        <w:trPr>
          <w:cantSplit/>
        </w:trPr>
        <w:tc>
          <w:tcPr>
            <w:tcW w:type="pct" w:w="6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Calibri"/>
                <w:b w:val="false"/>
                <w:bCs w:val="false"/>
                <w:sz w:val="21"/>
                <w:szCs w:val="21"/>
              </w:rPr>
              <w:t xml:space="preserve">Basic 50%</w:t>
            </w:r>
          </w:p>
        </w:tc>
        <w:tc>
          <w:tcPr>
            <w:tcW w:type="pct" w:w="40%"/>
            <w:tcBorders>
              <w:top w:val="single" w:color="DDDDDD" w:sz="1"/>
              <w:left w:val="single" w:color="DDDDDD" w:sz="1"/>
              <w:bottom w:val="single" w:color="DDDDDD" w:sz="1"/>
              <w:right w:val="single" w:color="DDDDDD" w:sz="1"/>
            </w:tcBorders>
            <w:tcMar>
              <w:top w:type="dxa" w:w="50"/>
              <w:left w:type="dxa" w:w="120"/>
              <w:bottom w:type="dxa" w:w="50"/>
              <w:right w:type="dxa" w:w="120"/>
            </w:tcMar>
          </w:tcPr>
          <w:p>
            <w:pPr>
              <w:jc w:val="right"/>
            </w:pPr>
            <w:r>
              <w:rPr>
                <w:rFonts w:ascii="Calibri"/>
                <w:b w:val="false"/>
                <w:bCs w:val="false"/>
                <w:sz w:val="21"/>
                <w:szCs w:val="21"/>
              </w:rPr>
              <w:t xml:space="preserve">1,50,000</w:t>
            </w:r>
          </w:p>
        </w:tc>
      </w:tr>
      <w:tr>
        <w:trPr>
          <w:cantSplit/>
        </w:trPr>
        <w:tc>
          <w:tcPr>
            <w:tcW w:type="pct" w:w="60%"/>
            <w:tcBorders>
              <w:top w:val="single" w:color="DDDDDD" w:sz="1"/>
              <w:left w:val="single" w:color="DDDDDD" w:sz="1"/>
              <w:bottom w:val="single" w:color="DDDDDD" w:sz="1"/>
              <w:right w:val="single" w:color="DDDDDD" w:sz="1"/>
            </w:tcBorders>
            <w:shd w:fill="F9F0F2" w:val="clear"/>
            <w:tcMar>
              <w:top w:type="dxa" w:w="50"/>
              <w:left w:type="dxa" w:w="120"/>
              <w:bottom w:type="dxa" w:w="50"/>
              <w:right w:type="dxa" w:w="120"/>
            </w:tcMar>
          </w:tcPr>
          <w:p>
            <w:r>
              <w:rPr>
                <w:rFonts w:ascii="Calibri"/>
                <w:b w:val="false"/>
                <w:bCs w:val="false"/>
                <w:sz w:val="21"/>
                <w:szCs w:val="21"/>
              </w:rPr>
              <w:t xml:space="preserve">House Rent @25%</w:t>
            </w:r>
          </w:p>
        </w:tc>
        <w:tc>
          <w:tcPr>
            <w:tcW w:type="pct" w:w="40%"/>
            <w:tcBorders>
              <w:top w:val="single" w:color="DDDDDD" w:sz="1"/>
              <w:left w:val="single" w:color="DDDDDD" w:sz="1"/>
              <w:bottom w:val="single" w:color="DDDDDD" w:sz="1"/>
              <w:right w:val="single" w:color="DDDDDD" w:sz="1"/>
            </w:tcBorders>
            <w:shd w:fill="F9F0F2" w:val="clear"/>
            <w:tcMar>
              <w:top w:type="dxa" w:w="50"/>
              <w:left w:type="dxa" w:w="120"/>
              <w:bottom w:type="dxa" w:w="50"/>
              <w:right w:type="dxa" w:w="120"/>
            </w:tcMar>
          </w:tcPr>
          <w:p>
            <w:pPr>
              <w:jc w:val="right"/>
            </w:pPr>
            <w:r>
              <w:rPr>
                <w:rFonts w:ascii="Calibri"/>
                <w:b w:val="false"/>
                <w:bCs w:val="false"/>
                <w:sz w:val="21"/>
                <w:szCs w:val="21"/>
              </w:rPr>
              <w:t xml:space="preserve">75,000</w:t>
            </w:r>
          </w:p>
        </w:tc>
      </w:tr>
      <w:tr>
        <w:trPr>
          <w:cantSplit/>
        </w:trPr>
        <w:tc>
          <w:tcPr>
            <w:tcW w:type="pct" w:w="6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Calibri"/>
                <w:b w:val="false"/>
                <w:bCs w:val="false"/>
                <w:sz w:val="21"/>
                <w:szCs w:val="21"/>
              </w:rPr>
              <w:t xml:space="preserve">Conveyance @10%</w:t>
            </w:r>
          </w:p>
        </w:tc>
        <w:tc>
          <w:tcPr>
            <w:tcW w:type="pct" w:w="40%"/>
            <w:tcBorders>
              <w:top w:val="single" w:color="DDDDDD" w:sz="1"/>
              <w:left w:val="single" w:color="DDDDDD" w:sz="1"/>
              <w:bottom w:val="single" w:color="DDDDDD" w:sz="1"/>
              <w:right w:val="single" w:color="DDDDDD" w:sz="1"/>
            </w:tcBorders>
            <w:tcMar>
              <w:top w:type="dxa" w:w="50"/>
              <w:left w:type="dxa" w:w="120"/>
              <w:bottom w:type="dxa" w:w="50"/>
              <w:right w:type="dxa" w:w="120"/>
            </w:tcMar>
          </w:tcPr>
          <w:p>
            <w:pPr>
              <w:jc w:val="right"/>
            </w:pPr>
            <w:r>
              <w:rPr>
                <w:rFonts w:ascii="Calibri"/>
                <w:b w:val="false"/>
                <w:bCs w:val="false"/>
                <w:sz w:val="21"/>
                <w:szCs w:val="21"/>
              </w:rPr>
              <w:t xml:space="preserve">30,000</w:t>
            </w:r>
          </w:p>
        </w:tc>
      </w:tr>
      <w:tr>
        <w:trPr>
          <w:cantSplit/>
        </w:trPr>
        <w:tc>
          <w:tcPr>
            <w:tcW w:type="pct" w:w="60%"/>
            <w:tcBorders>
              <w:top w:val="single" w:color="DDDDDD" w:sz="1"/>
              <w:left w:val="single" w:color="DDDDDD" w:sz="1"/>
              <w:bottom w:val="single" w:color="DDDDDD" w:sz="1"/>
              <w:right w:val="single" w:color="DDDDDD" w:sz="1"/>
            </w:tcBorders>
            <w:shd w:fill="F9F0F2" w:val="clear"/>
            <w:tcMar>
              <w:top w:type="dxa" w:w="50"/>
              <w:left w:type="dxa" w:w="120"/>
              <w:bottom w:type="dxa" w:w="50"/>
              <w:right w:type="dxa" w:w="120"/>
            </w:tcMar>
          </w:tcPr>
          <w:p>
            <w:r>
              <w:rPr>
                <w:rFonts w:ascii="Calibri"/>
                <w:b w:val="false"/>
                <w:bCs w:val="false"/>
                <w:sz w:val="21"/>
                <w:szCs w:val="21"/>
              </w:rPr>
              <w:t xml:space="preserve">Medical Allowance @7.5%</w:t>
            </w:r>
          </w:p>
        </w:tc>
        <w:tc>
          <w:tcPr>
            <w:tcW w:type="pct" w:w="40%"/>
            <w:tcBorders>
              <w:top w:val="single" w:color="DDDDDD" w:sz="1"/>
              <w:left w:val="single" w:color="DDDDDD" w:sz="1"/>
              <w:bottom w:val="single" w:color="DDDDDD" w:sz="1"/>
              <w:right w:val="single" w:color="DDDDDD" w:sz="1"/>
            </w:tcBorders>
            <w:shd w:fill="F9F0F2" w:val="clear"/>
            <w:tcMar>
              <w:top w:type="dxa" w:w="50"/>
              <w:left w:type="dxa" w:w="120"/>
              <w:bottom w:type="dxa" w:w="50"/>
              <w:right w:type="dxa" w:w="120"/>
            </w:tcMar>
          </w:tcPr>
          <w:p>
            <w:pPr>
              <w:jc w:val="right"/>
            </w:pPr>
            <w:r>
              <w:rPr>
                <w:rFonts w:ascii="Calibri"/>
                <w:b w:val="false"/>
                <w:bCs w:val="false"/>
                <w:sz w:val="21"/>
                <w:szCs w:val="21"/>
              </w:rPr>
              <w:t xml:space="preserve">22,500</w:t>
            </w:r>
          </w:p>
        </w:tc>
      </w:tr>
      <w:tr>
        <w:trPr>
          <w:cantSplit/>
        </w:trPr>
        <w:tc>
          <w:tcPr>
            <w:tcW w:type="pct" w:w="6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Calibri"/>
                <w:b w:val="false"/>
                <w:bCs w:val="false"/>
                <w:sz w:val="21"/>
                <w:szCs w:val="21"/>
              </w:rPr>
              <w:t xml:space="preserve">Other Allowances @7.5%</w:t>
            </w:r>
          </w:p>
        </w:tc>
        <w:tc>
          <w:tcPr>
            <w:tcW w:type="pct" w:w="40%"/>
            <w:tcBorders>
              <w:top w:val="single" w:color="DDDDDD" w:sz="1"/>
              <w:left w:val="single" w:color="DDDDDD" w:sz="1"/>
              <w:bottom w:val="single" w:color="DDDDDD" w:sz="1"/>
              <w:right w:val="single" w:color="DDDDDD" w:sz="1"/>
            </w:tcBorders>
            <w:tcMar>
              <w:top w:type="dxa" w:w="50"/>
              <w:left w:type="dxa" w:w="120"/>
              <w:bottom w:type="dxa" w:w="50"/>
              <w:right w:type="dxa" w:w="120"/>
            </w:tcMar>
          </w:tcPr>
          <w:p>
            <w:pPr>
              <w:jc w:val="right"/>
            </w:pPr>
            <w:r>
              <w:rPr>
                <w:rFonts w:ascii="Calibri"/>
                <w:b w:val="false"/>
                <w:bCs w:val="false"/>
                <w:sz w:val="21"/>
                <w:szCs w:val="21"/>
              </w:rPr>
              <w:t xml:space="preserve">22,500</w:t>
            </w:r>
          </w:p>
        </w:tc>
      </w:tr>
      <w:tr>
        <w:trPr>
          <w:cantSplit/>
        </w:trPr>
        <w:tc>
          <w:tcPr>
            <w:tcW w:type="pct" w:w="60%"/>
            <w:tcBorders>
              <w:top w:val="single" w:color="DDDDDD" w:sz="1"/>
              <w:left w:val="single" w:color="DDDDDD" w:sz="1"/>
              <w:bottom w:val="single" w:color="DDDDDD" w:sz="1"/>
              <w:right w:val="single" w:color="DDDDDD" w:sz="1"/>
            </w:tcBorders>
            <w:shd w:fill="F9F0F2" w:val="clear"/>
            <w:tcMar>
              <w:top w:type="dxa" w:w="50"/>
              <w:left w:type="dxa" w:w="120"/>
              <w:bottom w:type="dxa" w:w="50"/>
              <w:right w:type="dxa" w:w="120"/>
            </w:tcMar>
          </w:tcPr>
          <w:p>
            <w:r>
              <w:rPr>
                <w:rFonts w:ascii="Calibri"/>
                <w:b w:val="false"/>
                <w:bCs w:val="false"/>
                <w:sz w:val="21"/>
                <w:szCs w:val="21"/>
              </w:rPr>
              <w:t xml:space="preserve">Before AIT</w:t>
            </w:r>
          </w:p>
        </w:tc>
        <w:tc>
          <w:tcPr>
            <w:tcW w:type="pct" w:w="40%"/>
            <w:tcBorders>
              <w:top w:val="single" w:color="DDDDDD" w:sz="1"/>
              <w:left w:val="single" w:color="DDDDDD" w:sz="1"/>
              <w:bottom w:val="single" w:color="DDDDDD" w:sz="1"/>
              <w:right w:val="single" w:color="DDDDDD" w:sz="1"/>
            </w:tcBorders>
            <w:shd w:fill="F9F0F2" w:val="clear"/>
            <w:tcMar>
              <w:top w:type="dxa" w:w="50"/>
              <w:left w:type="dxa" w:w="120"/>
              <w:bottom w:type="dxa" w:w="50"/>
              <w:right w:type="dxa" w:w="120"/>
            </w:tcMar>
          </w:tcPr>
          <w:p>
            <w:pPr>
              <w:jc w:val="right"/>
            </w:pPr>
            <w:r>
              <w:rPr>
                <w:rFonts w:ascii="Calibri"/>
                <w:b w:val="false"/>
                <w:bCs w:val="false"/>
                <w:sz w:val="21"/>
                <w:szCs w:val="21"/>
              </w:rPr>
              <w:t xml:space="preserve">3,00,000</w:t>
            </w:r>
          </w:p>
        </w:tc>
      </w:tr>
      <w:tr>
        <w:trPr>
          <w:cantSplit/>
        </w:trPr>
        <w:tc>
          <w:tcPr>
            <w:tcW w:type="pct" w:w="60%"/>
            <w:tcBorders>
              <w:top w:val="single" w:color="DDDDDD" w:sz="1"/>
              <w:left w:val="single" w:color="DDDDDD" w:sz="1"/>
              <w:bottom w:val="single" w:color="DDDDDD" w:sz="1"/>
              <w:right w:val="single" w:color="DDDDDD" w:sz="1"/>
            </w:tcBorders>
            <w:tcMar>
              <w:top w:type="dxa" w:w="50"/>
              <w:left w:type="dxa" w:w="120"/>
              <w:bottom w:type="dxa" w:w="50"/>
              <w:right w:type="dxa" w:w="120"/>
            </w:tcMar>
          </w:tcPr>
          <w:p>
            <w:pPr>
              <w:jc w:val="right"/>
            </w:pPr>
            <w:r>
              <w:rPr>
                <w:rFonts w:ascii="Calibri"/>
                <w:b/>
                <w:bCs/>
                <w:sz w:val="21"/>
                <w:szCs w:val="21"/>
              </w:rPr>
              <w:t xml:space="preserve">AIT</w:t>
            </w:r>
          </w:p>
        </w:tc>
        <w:tc>
          <w:tcPr>
            <w:tcW w:type="pct" w:w="40%"/>
            <w:tcBorders>
              <w:top w:val="single" w:color="DDDDDD" w:sz="1"/>
              <w:left w:val="single" w:color="DDDDDD" w:sz="1"/>
              <w:bottom w:val="single" w:color="DDDDDD" w:sz="1"/>
              <w:right w:val="single" w:color="DDDDDD" w:sz="1"/>
            </w:tcBorders>
            <w:tcMar>
              <w:top w:type="dxa" w:w="50"/>
              <w:left w:type="dxa" w:w="120"/>
              <w:bottom w:type="dxa" w:w="50"/>
              <w:right w:type="dxa" w:w="120"/>
            </w:tcMar>
          </w:tcPr>
          <w:p>
            <w:pPr>
              <w:jc w:val="right"/>
            </w:pPr>
            <w:r>
              <w:rPr>
                <w:rFonts w:ascii="Calibri"/>
                <w:b w:val="false"/>
                <w:bCs w:val="false"/>
                <w:sz w:val="21"/>
                <w:szCs w:val="21"/>
              </w:rPr>
              <w:t xml:space="preserve">43,000</w:t>
            </w:r>
          </w:p>
        </w:tc>
      </w:tr>
      <w:tr>
        <w:trPr>
          <w:cantSplit/>
        </w:trPr>
        <w:tc>
          <w:tcPr>
            <w:tcW w:type="pct" w:w="60%"/>
            <w:tcBorders>
              <w:top w:val="single" w:color="CC1A07" w:sz="1"/>
              <w:left w:val="single" w:color="CC1A07" w:sz="1"/>
              <w:bottom w:val="single" w:color="CC1A07" w:sz="1"/>
              <w:right w:val="single" w:color="CC1A07" w:sz="1"/>
            </w:tcBorders>
            <w:shd w:fill="FF2109" w:val="clear"/>
            <w:tcMar>
              <w:top w:type="dxa" w:w="60"/>
              <w:left w:type="dxa" w:w="120"/>
              <w:bottom w:type="dxa" w:w="60"/>
              <w:right w:type="dxa" w:w="120"/>
            </w:tcMar>
          </w:tcPr>
          <w:p>
            <w:pPr>
              <w:jc w:val="right"/>
            </w:pPr>
            <w:r>
              <w:rPr>
                <w:rFonts w:ascii="Calibri"/>
                <w:b/>
                <w:bCs/>
                <w:color w:val="000000"/>
                <w:sz w:val="21"/>
                <w:szCs w:val="21"/>
              </w:rPr>
              <w:t xml:space="preserve">NET Deposit after AIT Deduction</w:t>
            </w:r>
          </w:p>
        </w:tc>
        <w:tc>
          <w:tcPr>
            <w:tcW w:type="pct" w:w="40%"/>
            <w:tcBorders>
              <w:top w:val="single" w:color="CC1A07" w:sz="1"/>
              <w:left w:val="single" w:color="CC1A07" w:sz="1"/>
              <w:bottom w:val="single" w:color="CC1A07" w:sz="1"/>
              <w:right w:val="single" w:color="CC1A07" w:sz="1"/>
            </w:tcBorders>
            <w:shd w:fill="FF2109" w:val="clear"/>
            <w:tcMar>
              <w:top w:type="dxa" w:w="60"/>
              <w:left w:type="dxa" w:w="120"/>
              <w:bottom w:type="dxa" w:w="60"/>
              <w:right w:type="dxa" w:w="120"/>
            </w:tcMar>
          </w:tcPr>
          <w:p>
            <w:pPr>
              <w:jc w:val="right"/>
            </w:pPr>
            <w:r>
              <w:rPr>
                <w:rFonts w:ascii="Calibri"/>
                <w:b w:val="false"/>
                <w:bCs w:val="false"/>
                <w:color w:val="000000"/>
                <w:sz w:val="21"/>
                <w:szCs w:val="21"/>
              </w:rPr>
              <w:t xml:space="preserve">2,57,000</w:t>
            </w:r>
          </w:p>
        </w:tc>
      </w:tr>
    </w:tbl>
    <w:p>
      <w:pPr>
        <w:spacing w:after="240" w:before="160"/>
      </w:pPr>
      <w:r>
        <w:rPr>
          <w:rFonts w:ascii="Calibri"/>
          <w:b/>
          <w:bCs/>
          <w:sz w:val="22"/>
          <w:szCs w:val="22"/>
        </w:rPr>
        <w:t xml:space="preserve">NET Salary [Bank + Cash] = 4,00,000</w:t>
      </w:r>
    </w:p>
    <w:p>
      <w:pPr>
        <w:spacing w:after="360"/>
        <w:jc w:val="both"/>
      </w:pPr>
      <w:r>
        <w:rPr>
          <w:rFonts w:ascii="Calibri"/>
          <w:sz w:val="22"/>
          <w:szCs w:val="22"/>
        </w:rPr>
        <w:t xml:space="preserve">Please sign a copy of this letter in acknowledgement of this understanding. Kindly note that this Employment Letter is subject to the signing of the Agreement to be signed between you and the proprietor of BH.</w:t>
      </w:r>
    </w:p>
    <w:tbl>
      <w:tblPr>
        <w:tblW w:type="pct" w:w="100%"/>
        <w:tblBorders>
          <w:top w:val="none" w:sz="0"/>
          <w:left w:val="none" w:sz="0"/>
          <w:bottom w:val="none" w:sz="0"/>
          <w:right w:val="none" w:sz="0"/>
          <w:insideH w:val="none" w:sz="0"/>
          <w:insideV w:val="none" w:sz="0"/>
        </w:tblBorders>
      </w:tblPr>
      <w:tblGrid>
        <w:gridCol w:w="100"/>
        <w:gridCol w:w="100"/>
      </w:tblGrid>
      <w:tr>
        <w:tc>
          <w:tcPr>
            <w:tcW w:type="pct" w:w="50%"/>
            <w:tcBorders>
              <w:top w:val="none" w:sz="0"/>
              <w:left w:val="none" w:sz="0"/>
              <w:bottom w:val="none" w:sz="0"/>
              <w:right w:val="none" w:sz="0"/>
            </w:tcBorders>
          </w:tcPr>
          <w:p>
            <w:pPr>
              <w:spacing w:after="0"/>
            </w:pPr>
            <w:r>
              <w:rPr>
                <w:rFonts w:ascii="Calibri"/>
                <w:b/>
                <w:bCs/>
                <w:color w:val="000000"/>
                <w:sz w:val="22"/>
                <w:szCs w:val="22"/>
              </w:rPr>
              <w:t xml:space="preserve">Sincerely yours</w:t>
            </w:r>
          </w:p>
          <w:p>
            <w:pPr>
              <w:spacing w:after="0" w:before="1400"/>
            </w:pPr>
          </w:p>
          <w:p>
            <w:pPr>
              <w:pBdr>
                <w:bottom w:val="single" w:color="333333" w:sz="3"/>
              </w:pBdr>
              <w:spacing w:after="60"/>
            </w:pPr>
          </w:p>
          <w:p>
            <w:pPr>
              <w:spacing w:after="0"/>
            </w:pPr>
            <w:r>
              <w:rPr>
                <w:rFonts w:ascii="Calibri"/>
                <w:b/>
                <w:bCs/>
                <w:sz w:val="22"/>
                <w:szCs w:val="22"/>
              </w:rPr>
              <w:t xml:space="preserve">Saqib Ahmed</w:t>
            </w:r>
          </w:p>
          <w:p>
            <w:pPr>
              <w:spacing w:after="0"/>
            </w:pPr>
            <w:r>
              <w:rPr>
                <w:rFonts w:ascii="Calibri"/>
                <w:color w:val="000000"/>
                <w:sz w:val="20"/>
                <w:szCs w:val="20"/>
              </w:rPr>
              <w:t xml:space="preserve">Proprietor</w:t>
            </w:r>
          </w:p>
          <w:p>
            <w:pPr>
              <w:spacing w:after="0"/>
            </w:pPr>
            <w:r>
              <w:rPr>
                <w:rFonts w:ascii="Calibri"/>
                <w:color w:val="000000"/>
                <w:sz w:val="20"/>
                <w:szCs w:val="20"/>
              </w:rPr>
              <w:t xml:space="preserve">Beyond Headlines</w:t>
            </w:r>
          </w:p>
          <w:p>
            <w:pPr>
              <w:spacing w:after="0"/>
            </w:pPr>
            <w:r>
              <w:rPr>
                <w:rFonts w:ascii="Calibri"/>
                <w:color w:val="000000"/>
                <w:sz w:val="20"/>
                <w:szCs w:val="20"/>
              </w:rPr>
              <w:t xml:space="preserve">House 5, Road 2,</w:t>
            </w:r>
          </w:p>
          <w:p>
            <w:pPr>
              <w:spacing w:after="0"/>
            </w:pPr>
            <w:r>
              <w:rPr>
                <w:rFonts w:ascii="Calibri"/>
                <w:color w:val="000000"/>
                <w:sz w:val="20"/>
                <w:szCs w:val="20"/>
              </w:rPr>
              <w:t xml:space="preserve">4th Floor, Gulshan 1</w:t>
            </w:r>
          </w:p>
          <w:p>
            <w:pPr>
              <w:spacing w:after="0"/>
            </w:pPr>
            <w:r>
              <w:rPr>
                <w:rFonts w:ascii="Calibri"/>
                <w:color w:val="000000"/>
                <w:sz w:val="20"/>
                <w:szCs w:val="20"/>
              </w:rPr>
              <w:t xml:space="preserve">Dhaka 1212</w:t>
            </w:r>
          </w:p>
        </w:tc>
        <w:tc>
          <w:tcPr>
            <w:tcW w:type="pct" w:w="50%"/>
            <w:tcBorders>
              <w:top w:val="none" w:sz="0"/>
              <w:left w:val="none" w:sz="0"/>
              <w:bottom w:val="none" w:sz="0"/>
              <w:right w:val="none" w:sz="0"/>
            </w:tcBorders>
          </w:tcPr>
          <w:p>
            <w:pPr>
              <w:spacing w:after="0"/>
              <w:jc w:val="right"/>
            </w:pPr>
            <w:r>
              <w:rPr>
                <w:rFonts w:ascii="Calibri"/>
                <w:b/>
                <w:bCs/>
                <w:color w:val="000000"/>
                <w:sz w:val="22"/>
                <w:szCs w:val="22"/>
              </w:rPr>
              <w:t xml:space="preserve">Accepted</w:t>
            </w:r>
          </w:p>
          <w:p>
            <w:pPr>
              <w:spacing w:after="0" w:before="1400"/>
            </w:pPr>
          </w:p>
          <w:p>
            <w:pPr>
              <w:pBdr>
                <w:bottom w:val="single" w:color="333333" w:sz="3"/>
              </w:pBdr>
              <w:spacing w:after="60"/>
              <w:jc w:val="right"/>
            </w:pPr>
          </w:p>
          <w:p>
            <w:pPr>
              <w:spacing w:after="0"/>
              <w:jc w:val="right"/>
            </w:pPr>
            <w:r>
              <w:rPr>
                <w:rFonts w:ascii="Calibri"/>
                <w:b/>
                <w:bCs/>
                <w:sz w:val="22"/>
                <w:szCs w:val="22"/>
              </w:rPr>
              <w:t xml:space="preserve">Syed Ashfaqul Haque</w:t>
            </w:r>
          </w:p>
          <w:p>
            <w:pPr>
              <w:spacing w:after="0"/>
              <w:jc w:val="right"/>
            </w:pPr>
            <w:r>
              <w:rPr>
                <w:rFonts w:ascii="Calibri"/>
                <w:color w:val="000000"/>
                <w:sz w:val="20"/>
                <w:szCs w:val="20"/>
              </w:rPr>
              <w:t xml:space="preserve">On Date: 30th September 2025</w:t>
            </w:r>
          </w:p>
        </w:tc>
      </w:tr>
    </w:tbl>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2109" w:sz="24"/>
      </w:pBdr>
      <w:shd w:fill="FF2109" w:val="clear"/>
      <w:spacing w:after="40" w:before="120"/>
      <w:jc w:val="center"/>
    </w:pPr>
    <w:r>
      <w:rPr>
        <w:rFonts w:ascii="Calibri"/>
        <w:b/>
        <w:bCs/>
        <w:color w:val="FFFFFF"/>
        <w:sz w:val="20"/>
        <w:szCs w:val="20"/>
      </w:rPr>
      <w:t xml:space="preserve">Office Address:</w:t>
    </w:r>
  </w:p>
  <w:p>
    <w:pPr>
      <w:shd w:fill="FF2109" w:val="clear"/>
      <w:spacing w:after="20"/>
      <w:jc w:val="center"/>
    </w:pPr>
    <w:r>
      <w:rPr>
        <w:rFonts w:ascii="Calibri"/>
        <w:color w:val="FFFFFF"/>
        <w:sz w:val="18"/>
        <w:szCs w:val="18"/>
      </w:rPr>
      <w:t xml:space="preserve">Eureka Kanon Villa, House-84, Level-3, Road-10/1, Block-D,</w:t>
    </w:r>
  </w:p>
  <w:p>
    <w:pPr>
      <w:shd w:fill="FF2109" w:val="clear"/>
      <w:spacing w:after="80"/>
      <w:jc w:val="center"/>
    </w:pPr>
    <w:r>
      <w:rPr>
        <w:rFonts w:ascii="Calibri"/>
        <w:color w:val="FFFFFF"/>
        <w:sz w:val="18"/>
        <w:szCs w:val="18"/>
      </w:rPr>
      <w:t xml:space="preserve">Niketon, Gulshan-1, Dhaka-1212, Bangladesh.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center"/>
    </w:pPr>
    <w:r>
      <w:drawing>
        <wp:inline distT="0" distB="0" distL="0" distR="0">
          <wp:extent cx="2381250"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381250" cy="695325"/>
                  </a:xfrm>
                  <a:prstGeom prst="rect">
                    <a:avLst/>
                  </a:prstGeom>
                </pic:spPr>
              </pic:pic>
            </a:graphicData>
          </a:graphic>
        </wp:inline>
      </w:drawing>
    </w:r>
  </w:p>
  <w:p>
    <w:pPr>
      <w:pBdr>
        <w:bottom w:val="single" w:color="FF2109" w:sz="8"/>
      </w:pBdr>
      <w:spacing w:after="2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color w:val="111111"/>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12f27034bd8df44010b1d5cab20ad278087e83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2026-04-30T08:20:20.716Z</dcterms:created>
  <dcterms:modified xsi:type="dcterms:W3CDTF">2026-04-30T08:20:20.716Z</dcterms:modified>
</cp:coreProperties>
</file>

<file path=docProps/custom.xml><?xml version="1.0" encoding="utf-8"?>
<Properties xmlns="http://schemas.openxmlformats.org/officeDocument/2006/custom-properties" xmlns:vt="http://schemas.openxmlformats.org/officeDocument/2006/docPropsVTypes"/>
</file>