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jc w:val="center"/>
      </w:pPr>
      <w:r>
        <w:rPr>
          <w:rFonts w:ascii="Calibri"/>
          <w:b/>
          <w:bCs/>
          <w:sz w:val="28"/>
          <w:szCs w:val="28"/>
        </w:rPr>
        <w:t xml:space="preserve">SALARY CERTIFICATE</w:t>
      </w:r>
    </w:p>
    <w:p>
      <w:pPr>
        <w:spacing w:after="280"/>
      </w:pPr>
      <w:r>
        <w:rPr>
          <w:rFonts w:ascii="Calibri"/>
          <w:sz w:val="22"/>
          <w:szCs w:val="22"/>
        </w:rPr>
        <w:t xml:space="preserve">Ref: TBH-46077</w:t>
      </w:r>
      <w:r>
        <w:rPr>
          <w:rFonts w:ascii="Calibri"/>
          <w:sz w:val="22"/>
          <w:szCs w:val="22"/>
        </w:rPr>
        <w:t xml:space="preserve">								Date: February 24, 2026</w:t>
      </w:r>
    </w:p>
    <w:p>
      <w:pPr>
        <w:spacing w:after="240"/>
        <w:jc w:val="both"/>
      </w:pPr>
      <w:r>
        <w:rPr>
          <w:rFonts w:ascii="Calibri"/>
          <w:sz w:val="22"/>
          <w:szCs w:val="22"/>
        </w:rPr>
        <w:t xml:space="preserve">This is to certify that Mr. </w:t>
      </w:r>
      <w:r>
        <w:rPr>
          <w:rFonts w:ascii="Calibri"/>
          <w:b/>
          <w:bCs/>
          <w:sz w:val="22"/>
          <w:szCs w:val="22"/>
        </w:rPr>
        <w:t xml:space="preserve">Syed Ashfaqul Haque</w:t>
      </w:r>
      <w:r>
        <w:rPr>
          <w:rFonts w:ascii="Calibri"/>
          <w:sz w:val="22"/>
          <w:szCs w:val="22"/>
        </w:rPr>
        <w:t xml:space="preserve"> has been working as a permanent employee in our organisation, The Beyond Headlines and, his contract excludes any retirement age limit. His employment details are as follows:</w:t>
      </w:r>
    </w:p>
    <w:p>
      <w:pPr>
        <w:spacing w:after="60"/>
      </w:pPr>
      <w:r>
        <w:rPr>
          <w:rFonts w:ascii="Calibri"/>
          <w:b/>
          <w:bCs/>
          <w:sz w:val="22"/>
          <w:szCs w:val="22"/>
        </w:rPr>
        <w:t xml:space="preserve">Designation:</w:t>
      </w:r>
      <w:r>
        <w:rPr>
          <w:rFonts w:ascii="Calibri"/>
          <w:sz w:val="22"/>
          <w:szCs w:val="22"/>
        </w:rPr>
        <w:t xml:space="preserve">	Editor</w:t>
      </w:r>
    </w:p>
    <w:p>
      <w:pPr>
        <w:spacing w:after="60"/>
      </w:pPr>
      <w:r>
        <w:rPr>
          <w:rFonts w:ascii="Calibri"/>
          <w:b/>
          <w:bCs/>
          <w:sz w:val="22"/>
          <w:szCs w:val="22"/>
        </w:rPr>
        <w:t xml:space="preserve">Joining date:</w:t>
      </w:r>
      <w:r>
        <w:rPr>
          <w:rFonts w:ascii="Calibri"/>
          <w:sz w:val="22"/>
          <w:szCs w:val="22"/>
        </w:rPr>
        <w:t xml:space="preserve">	October 01, 2025</w:t>
      </w:r>
    </w:p>
    <w:p>
      <w:pPr>
        <w:spacing w:after="200"/>
      </w:pPr>
      <w:r>
        <w:rPr>
          <w:rFonts w:ascii="Calibri"/>
          <w:b/>
          <w:bCs/>
          <w:sz w:val="22"/>
          <w:szCs w:val="22"/>
        </w:rPr>
        <w:t xml:space="preserve">Job Location:</w:t>
      </w:r>
      <w:r>
        <w:rPr>
          <w:rFonts w:ascii="Calibri"/>
          <w:sz w:val="22"/>
          <w:szCs w:val="22"/>
        </w:rPr>
        <w:t xml:space="preserve">	Head Office, Dhaka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38%"/>
            <w:tcBorders>
              <w:top w:val="single" w:color="CC1A07" w:sz="1"/>
              <w:left w:val="single" w:color="CC1A07" w:sz="1"/>
              <w:bottom w:val="single" w:color="CC1A07" w:sz="1"/>
              <w:right w:val="single" w:color="CC1A07" w:sz="1"/>
            </w:tcBorders>
            <w:shd w:fill="FF2109" w:val="clear"/>
            <w:tcMar>
              <w:top w:type="dxa" w:w="60"/>
              <w:left w:type="dxa" w:w="100"/>
              <w:bottom w:type="dxa" w:w="60"/>
              <w:right w:type="dxa" w:w="100"/>
            </w:tcMar>
          </w:tcPr>
          <w:p>
            <w:pPr>
              <w:jc w:val="left"/>
            </w:pPr>
            <w:r>
              <w:rPr>
                <w:rFonts w:ascii="Calibri"/>
                <w:b/>
                <w:bCs/>
                <w:color w:val="FFFFFF"/>
                <w:sz w:val="21"/>
                <w:szCs w:val="21"/>
              </w:rPr>
              <w:t xml:space="preserve">Monthly Gross Salary</w:t>
            </w:r>
          </w:p>
        </w:tc>
        <w:tc>
          <w:tcPr>
            <w:tcW w:type="pct" w:w="12%"/>
            <w:tcBorders>
              <w:top w:val="single" w:color="CC1A07" w:sz="1"/>
              <w:left w:val="single" w:color="CC1A07" w:sz="1"/>
              <w:bottom w:val="single" w:color="CC1A07" w:sz="1"/>
              <w:right w:val="single" w:color="CC1A07" w:sz="1"/>
            </w:tcBorders>
            <w:shd w:fill="FF2109" w:val="clear"/>
            <w:tcMar>
              <w:top w:type="dxa" w:w="60"/>
              <w:left w:type="dxa" w:w="100"/>
              <w:bottom w:type="dxa" w:w="60"/>
              <w:right w:type="dxa" w:w="100"/>
            </w:tcMar>
          </w:tcPr>
          <w:p>
            <w:pPr>
              <w:jc w:val="right"/>
            </w:pPr>
            <w:r>
              <w:rPr>
                <w:rFonts w:ascii="Calibri"/>
                <w:b/>
                <w:bCs/>
                <w:color w:val="FFFFFF"/>
                <w:sz w:val="21"/>
                <w:szCs w:val="21"/>
              </w:rPr>
              <w:t xml:space="preserve">(in BDT)</w:t>
            </w:r>
          </w:p>
        </w:tc>
        <w:tc>
          <w:tcPr>
            <w:tcW w:type="pct" w:w="38%"/>
            <w:tcBorders>
              <w:top w:val="single" w:color="CC1A07" w:sz="1"/>
              <w:left w:val="single" w:color="CC1A07" w:sz="1"/>
              <w:bottom w:val="single" w:color="CC1A07" w:sz="1"/>
              <w:right w:val="single" w:color="CC1A07" w:sz="1"/>
            </w:tcBorders>
            <w:shd w:fill="FF2109" w:val="clear"/>
            <w:tcMar>
              <w:top w:type="dxa" w:w="60"/>
              <w:left w:type="dxa" w:w="100"/>
              <w:bottom w:type="dxa" w:w="60"/>
              <w:right w:type="dxa" w:w="100"/>
            </w:tcMar>
          </w:tcPr>
          <w:p>
            <w:pPr>
              <w:jc w:val="left"/>
            </w:pPr>
            <w:r>
              <w:rPr>
                <w:rFonts w:ascii="Calibri"/>
                <w:b/>
                <w:bCs/>
                <w:color w:val="FFFFFF"/>
                <w:sz w:val="21"/>
                <w:szCs w:val="21"/>
              </w:rPr>
              <w:t xml:space="preserve">Monthly Deductions</w:t>
            </w:r>
          </w:p>
        </w:tc>
        <w:tc>
          <w:tcPr>
            <w:tcW w:type="pct" w:w="12%"/>
            <w:tcBorders>
              <w:top w:val="single" w:color="CC1A07" w:sz="1"/>
              <w:left w:val="single" w:color="CC1A07" w:sz="1"/>
              <w:bottom w:val="single" w:color="CC1A07" w:sz="1"/>
              <w:right w:val="single" w:color="CC1A07" w:sz="1"/>
            </w:tcBorders>
            <w:shd w:fill="FF2109" w:val="clear"/>
            <w:tcMar>
              <w:top w:type="dxa" w:w="60"/>
              <w:left w:type="dxa" w:w="100"/>
              <w:bottom w:type="dxa" w:w="60"/>
              <w:right w:type="dxa" w:w="100"/>
            </w:tcMar>
          </w:tcPr>
          <w:p>
            <w:pPr>
              <w:jc w:val="right"/>
            </w:pPr>
            <w:r>
              <w:rPr>
                <w:rFonts w:ascii="Calibri"/>
                <w:b/>
                <w:bCs/>
                <w:color w:val="FFFFFF"/>
                <w:sz w:val="21"/>
                <w:szCs w:val="21"/>
              </w:rPr>
              <w:t xml:space="preserve">(in BDT)</w:t>
            </w:r>
          </w:p>
        </w:tc>
      </w:tr>
      <w:tr>
        <w:trPr>
          <w:cantSplit/>
        </w:trPr>
        <w:tc>
          <w:tcPr>
            <w:tcW w:type="pct" w:w="38%"/>
            <w:tcBorders>
              <w:top w:val="single" w:color="DDDDDD" w:sz="1"/>
              <w:left w:val="single" w:color="DDDDDD" w:sz="1"/>
              <w:bottom w:val="single" w:color="DDDDDD" w:sz="1"/>
              <w:right w:val="single" w:color="DDDDDD" w:sz="1"/>
            </w:tcBorders>
            <w:tcMar>
              <w:top w:type="dxa" w:w="50"/>
              <w:left w:type="dxa" w:w="100"/>
              <w:bottom w:type="dxa" w:w="50"/>
              <w:right w:type="dxa" w:w="100"/>
            </w:tcMar>
          </w:tcPr>
          <w:p>
            <w:pPr>
              <w:jc w:val="left"/>
            </w:pPr>
            <w:r>
              <w:rPr>
                <w:rFonts w:ascii="Calibri"/>
                <w:b w:val="false"/>
                <w:bCs w:val="false"/>
                <w:color w:val="111111"/>
                <w:sz w:val="21"/>
                <w:szCs w:val="21"/>
              </w:rPr>
              <w:t xml:space="preserve">Basic</w:t>
            </w:r>
          </w:p>
        </w:tc>
        <w:tc>
          <w:tcPr>
            <w:tcW w:type="pct" w:w="12%"/>
            <w:tcBorders>
              <w:top w:val="single" w:color="DDDDDD" w:sz="1"/>
              <w:left w:val="single" w:color="DDDDDD" w:sz="1"/>
              <w:bottom w:val="single" w:color="DDDDDD" w:sz="1"/>
              <w:right w:val="single" w:color="DDDDDD" w:sz="1"/>
            </w:tcBorders>
            <w:tcMar>
              <w:top w:type="dxa" w:w="50"/>
              <w:left w:type="dxa" w:w="100"/>
              <w:bottom w:type="dxa" w:w="50"/>
              <w:right w:type="dxa" w:w="100"/>
            </w:tcMar>
          </w:tcPr>
          <w:p>
            <w:pPr>
              <w:jc w:val="right"/>
            </w:pPr>
            <w:r>
              <w:rPr>
                <w:rFonts w:ascii="Calibri"/>
                <w:b w:val="false"/>
                <w:bCs w:val="false"/>
                <w:color w:val="111111"/>
                <w:sz w:val="21"/>
                <w:szCs w:val="21"/>
              </w:rPr>
              <w:t xml:space="preserve">150,000.00</w:t>
            </w:r>
          </w:p>
        </w:tc>
        <w:tc>
          <w:tcPr>
            <w:tcW w:type="pct" w:w="38%"/>
            <w:tcBorders>
              <w:top w:val="single" w:color="DDDDDD" w:sz="1"/>
              <w:left w:val="single" w:color="DDDDDD" w:sz="1"/>
              <w:bottom w:val="single" w:color="DDDDDD" w:sz="1"/>
              <w:right w:val="single" w:color="DDDDDD" w:sz="1"/>
            </w:tcBorders>
            <w:tcMar>
              <w:top w:type="dxa" w:w="50"/>
              <w:left w:type="dxa" w:w="100"/>
              <w:bottom w:type="dxa" w:w="50"/>
              <w:right w:type="dxa" w:w="100"/>
            </w:tcMar>
          </w:tcPr>
          <w:p>
            <w:pPr>
              <w:jc w:val="left"/>
            </w:pPr>
            <w:r>
              <w:rPr>
                <w:rFonts w:ascii="Calibri"/>
                <w:b w:val="false"/>
                <w:bCs w:val="false"/>
                <w:color w:val="111111"/>
                <w:sz w:val="21"/>
                <w:szCs w:val="21"/>
              </w:rPr>
              <w:t xml:space="preserve">Tax</w:t>
            </w:r>
          </w:p>
        </w:tc>
        <w:tc>
          <w:tcPr>
            <w:tcW w:type="pct" w:w="12%"/>
            <w:tcBorders>
              <w:top w:val="single" w:color="DDDDDD" w:sz="1"/>
              <w:left w:val="single" w:color="DDDDDD" w:sz="1"/>
              <w:bottom w:val="single" w:color="DDDDDD" w:sz="1"/>
              <w:right w:val="single" w:color="DDDDDD" w:sz="1"/>
            </w:tcBorders>
            <w:tcMar>
              <w:top w:type="dxa" w:w="50"/>
              <w:left w:type="dxa" w:w="100"/>
              <w:bottom w:type="dxa" w:w="50"/>
              <w:right w:type="dxa" w:w="100"/>
            </w:tcMar>
          </w:tcPr>
          <w:p>
            <w:pPr>
              <w:jc w:val="right"/>
            </w:pPr>
            <w:r>
              <w:rPr>
                <w:rFonts w:ascii="Calibri"/>
                <w:b w:val="false"/>
                <w:bCs w:val="false"/>
                <w:color w:val="111111"/>
                <w:sz w:val="21"/>
                <w:szCs w:val="21"/>
              </w:rPr>
              <w:t xml:space="preserve">43,000.00</w:t>
            </w:r>
          </w:p>
        </w:tc>
      </w:tr>
      <w:tr>
        <w:trPr>
          <w:cantSplit/>
        </w:trPr>
        <w:tc>
          <w:tcPr>
            <w:tcW w:type="pct" w:w="38%"/>
            <w:tcBorders>
              <w:top w:val="single" w:color="DDDDDD" w:sz="1"/>
              <w:left w:val="single" w:color="DDDDDD" w:sz="1"/>
              <w:bottom w:val="single" w:color="DDDDDD" w:sz="1"/>
              <w:right w:val="single" w:color="DDDDDD" w:sz="1"/>
            </w:tcBorders>
            <w:shd w:fill="F9F0F2" w:val="clear"/>
            <w:tcMar>
              <w:top w:type="dxa" w:w="50"/>
              <w:left w:type="dxa" w:w="100"/>
              <w:bottom w:type="dxa" w:w="50"/>
              <w:right w:type="dxa" w:w="100"/>
            </w:tcMar>
          </w:tcPr>
          <w:p>
            <w:pPr>
              <w:jc w:val="left"/>
            </w:pPr>
            <w:r>
              <w:rPr>
                <w:rFonts w:ascii="Calibri"/>
                <w:b w:val="false"/>
                <w:bCs w:val="false"/>
                <w:color w:val="111111"/>
                <w:sz w:val="21"/>
                <w:szCs w:val="21"/>
              </w:rPr>
              <w:t xml:space="preserve">House Rent</w:t>
            </w:r>
          </w:p>
        </w:tc>
        <w:tc>
          <w:tcPr>
            <w:tcW w:type="pct" w:w="12%"/>
            <w:tcBorders>
              <w:top w:val="single" w:color="DDDDDD" w:sz="1"/>
              <w:left w:val="single" w:color="DDDDDD" w:sz="1"/>
              <w:bottom w:val="single" w:color="DDDDDD" w:sz="1"/>
              <w:right w:val="single" w:color="DDDDDD" w:sz="1"/>
            </w:tcBorders>
            <w:shd w:fill="F9F0F2" w:val="clear"/>
            <w:tcMar>
              <w:top w:type="dxa" w:w="50"/>
              <w:left w:type="dxa" w:w="100"/>
              <w:bottom w:type="dxa" w:w="50"/>
              <w:right w:type="dxa" w:w="100"/>
            </w:tcMar>
          </w:tcPr>
          <w:p>
            <w:pPr>
              <w:jc w:val="right"/>
            </w:pPr>
            <w:r>
              <w:rPr>
                <w:rFonts w:ascii="Calibri"/>
                <w:b w:val="false"/>
                <w:bCs w:val="false"/>
                <w:color w:val="111111"/>
                <w:sz w:val="21"/>
                <w:szCs w:val="21"/>
              </w:rPr>
              <w:t xml:space="preserve">75,000.00</w:t>
            </w:r>
          </w:p>
        </w:tc>
        <w:tc>
          <w:tcPr>
            <w:tcW w:type="pct" w:w="38%"/>
            <w:tcBorders>
              <w:top w:val="single" w:color="DDDDDD" w:sz="1"/>
              <w:left w:val="single" w:color="DDDDDD" w:sz="1"/>
              <w:bottom w:val="single" w:color="DDDDDD" w:sz="1"/>
              <w:right w:val="single" w:color="DDDDDD" w:sz="1"/>
            </w:tcBorders>
            <w:shd w:fill="F9F0F2" w:val="clear"/>
            <w:tcMar>
              <w:top w:type="dxa" w:w="50"/>
              <w:left w:type="dxa" w:w="100"/>
              <w:bottom w:type="dxa" w:w="50"/>
              <w:right w:type="dxa" w:w="100"/>
            </w:tcMar>
          </w:tcPr>
          <w:p>
            <w:pPr>
              <w:jc w:val="left"/>
            </w:pPr>
            <w:r>
              <w:rPr>
                <w:rFonts w:ascii="Calibri"/>
                <w:b w:val="false"/>
                <w:bCs w:val="false"/>
                <w:color w:val="111111"/>
                <w:sz w:val="21"/>
                <w:szCs w:val="21"/>
              </w:rPr>
              <w:t xml:space="preserve">Others</w:t>
            </w:r>
          </w:p>
        </w:tc>
        <w:tc>
          <w:tcPr>
            <w:tcW w:type="pct" w:w="12%"/>
            <w:tcBorders>
              <w:top w:val="single" w:color="DDDDDD" w:sz="1"/>
              <w:left w:val="single" w:color="DDDDDD" w:sz="1"/>
              <w:bottom w:val="single" w:color="DDDDDD" w:sz="1"/>
              <w:right w:val="single" w:color="DDDDDD" w:sz="1"/>
            </w:tcBorders>
            <w:shd w:fill="F9F0F2" w:val="clear"/>
            <w:tcMar>
              <w:top w:type="dxa" w:w="50"/>
              <w:left w:type="dxa" w:w="100"/>
              <w:bottom w:type="dxa" w:w="50"/>
              <w:right w:type="dxa" w:w="100"/>
            </w:tcMar>
          </w:tcPr>
          <w:p>
            <w:pPr>
              <w:jc w:val="right"/>
            </w:pPr>
            <w:r>
              <w:rPr>
                <w:rFonts w:ascii="Calibri"/>
                <w:b w:val="false"/>
                <w:bCs w:val="false"/>
                <w:color w:val="111111"/>
                <w:sz w:val="21"/>
                <w:szCs w:val="21"/>
              </w:rPr>
              <w:t xml:space="preserve">-</w:t>
            </w:r>
          </w:p>
        </w:tc>
      </w:tr>
      <w:tr>
        <w:trPr>
          <w:cantSplit/>
        </w:trPr>
        <w:tc>
          <w:tcPr>
            <w:tcW w:type="pct" w:w="38%"/>
            <w:tcBorders>
              <w:top w:val="single" w:color="DDDDDD" w:sz="1"/>
              <w:left w:val="single" w:color="DDDDDD" w:sz="1"/>
              <w:bottom w:val="single" w:color="DDDDDD" w:sz="1"/>
              <w:right w:val="single" w:color="DDDDDD" w:sz="1"/>
            </w:tcBorders>
            <w:tcMar>
              <w:top w:type="dxa" w:w="50"/>
              <w:left w:type="dxa" w:w="100"/>
              <w:bottom w:type="dxa" w:w="50"/>
              <w:right w:type="dxa" w:w="100"/>
            </w:tcMar>
          </w:tcPr>
          <w:p>
            <w:pPr>
              <w:jc w:val="left"/>
            </w:pPr>
            <w:r>
              <w:rPr>
                <w:rFonts w:ascii="Calibri"/>
                <w:b w:val="false"/>
                <w:bCs w:val="false"/>
                <w:color w:val="111111"/>
                <w:sz w:val="21"/>
                <w:szCs w:val="21"/>
              </w:rPr>
              <w:t xml:space="preserve">Conveyance</w:t>
            </w:r>
          </w:p>
        </w:tc>
        <w:tc>
          <w:tcPr>
            <w:tcW w:type="pct" w:w="12%"/>
            <w:tcBorders>
              <w:top w:val="single" w:color="DDDDDD" w:sz="1"/>
              <w:left w:val="single" w:color="DDDDDD" w:sz="1"/>
              <w:bottom w:val="single" w:color="DDDDDD" w:sz="1"/>
              <w:right w:val="single" w:color="DDDDDD" w:sz="1"/>
            </w:tcBorders>
            <w:tcMar>
              <w:top w:type="dxa" w:w="50"/>
              <w:left w:type="dxa" w:w="100"/>
              <w:bottom w:type="dxa" w:w="50"/>
              <w:right w:type="dxa" w:w="100"/>
            </w:tcMar>
          </w:tcPr>
          <w:p>
            <w:pPr>
              <w:jc w:val="right"/>
            </w:pPr>
            <w:r>
              <w:rPr>
                <w:rFonts w:ascii="Calibri"/>
                <w:b w:val="false"/>
                <w:bCs w:val="false"/>
                <w:color w:val="111111"/>
                <w:sz w:val="21"/>
                <w:szCs w:val="21"/>
              </w:rPr>
              <w:t xml:space="preserve">30,000.00</w:t>
            </w:r>
          </w:p>
        </w:tc>
        <w:tc>
          <w:tcPr>
            <w:tcW w:type="pct" w:w="38%"/>
            <w:tcBorders>
              <w:top w:val="single" w:color="DDDDDD" w:sz="1"/>
              <w:left w:val="single" w:color="DDDDDD" w:sz="1"/>
              <w:bottom w:val="single" w:color="DDDDDD" w:sz="1"/>
              <w:right w:val="single" w:color="DDDDDD" w:sz="1"/>
            </w:tcBorders>
            <w:tcMar>
              <w:top w:type="dxa" w:w="50"/>
              <w:left w:type="dxa" w:w="100"/>
              <w:bottom w:type="dxa" w:w="50"/>
              <w:right w:type="dxa" w:w="100"/>
            </w:tcMar>
          </w:tcPr>
          <w:p>
            <w:pPr>
              <w:jc w:val="left"/>
            </w:pPr>
            <w:r>
              <w:rPr>
                <w:rFonts w:ascii="Calibri"/>
                <w:b w:val="false"/>
                <w:bCs w:val="false"/>
                <w:color w:val="111111"/>
                <w:sz w:val="21"/>
                <w:szCs w:val="21"/>
              </w:rPr>
              <w:t xml:space="preserve"/>
            </w:r>
          </w:p>
        </w:tc>
        <w:tc>
          <w:tcPr>
            <w:tcW w:type="pct" w:w="12%"/>
            <w:tcBorders>
              <w:top w:val="single" w:color="DDDDDD" w:sz="1"/>
              <w:left w:val="single" w:color="DDDDDD" w:sz="1"/>
              <w:bottom w:val="single" w:color="DDDDDD" w:sz="1"/>
              <w:right w:val="single" w:color="DDDDDD" w:sz="1"/>
            </w:tcBorders>
            <w:tcMar>
              <w:top w:type="dxa" w:w="50"/>
              <w:left w:type="dxa" w:w="100"/>
              <w:bottom w:type="dxa" w:w="50"/>
              <w:right w:type="dxa" w:w="100"/>
            </w:tcMar>
          </w:tcPr>
          <w:p>
            <w:pPr>
              <w:jc w:val="left"/>
            </w:pPr>
            <w:r>
              <w:rPr>
                <w:rFonts w:ascii="Calibri"/>
                <w:b w:val="false"/>
                <w:bCs w:val="false"/>
                <w:color w:val="111111"/>
                <w:sz w:val="21"/>
                <w:szCs w:val="21"/>
              </w:rPr>
              <w:t xml:space="preserve"/>
            </w:r>
          </w:p>
        </w:tc>
      </w:tr>
      <w:tr>
        <w:trPr>
          <w:cantSplit/>
        </w:trPr>
        <w:tc>
          <w:tcPr>
            <w:tcW w:type="pct" w:w="38%"/>
            <w:tcBorders>
              <w:top w:val="single" w:color="DDDDDD" w:sz="1"/>
              <w:left w:val="single" w:color="DDDDDD" w:sz="1"/>
              <w:bottom w:val="single" w:color="DDDDDD" w:sz="1"/>
              <w:right w:val="single" w:color="DDDDDD" w:sz="1"/>
            </w:tcBorders>
            <w:shd w:fill="F9F0F2" w:val="clear"/>
            <w:tcMar>
              <w:top w:type="dxa" w:w="50"/>
              <w:left w:type="dxa" w:w="100"/>
              <w:bottom w:type="dxa" w:w="50"/>
              <w:right w:type="dxa" w:w="100"/>
            </w:tcMar>
          </w:tcPr>
          <w:p>
            <w:pPr>
              <w:jc w:val="left"/>
            </w:pPr>
            <w:r>
              <w:rPr>
                <w:rFonts w:ascii="Calibri"/>
                <w:b w:val="false"/>
                <w:bCs w:val="false"/>
                <w:color w:val="111111"/>
                <w:sz w:val="21"/>
                <w:szCs w:val="21"/>
              </w:rPr>
              <w:t xml:space="preserve">Medical Allowance</w:t>
            </w:r>
          </w:p>
        </w:tc>
        <w:tc>
          <w:tcPr>
            <w:tcW w:type="pct" w:w="12%"/>
            <w:tcBorders>
              <w:top w:val="single" w:color="DDDDDD" w:sz="1"/>
              <w:left w:val="single" w:color="DDDDDD" w:sz="1"/>
              <w:bottom w:val="single" w:color="DDDDDD" w:sz="1"/>
              <w:right w:val="single" w:color="DDDDDD" w:sz="1"/>
            </w:tcBorders>
            <w:shd w:fill="F9F0F2" w:val="clear"/>
            <w:tcMar>
              <w:top w:type="dxa" w:w="50"/>
              <w:left w:type="dxa" w:w="100"/>
              <w:bottom w:type="dxa" w:w="50"/>
              <w:right w:type="dxa" w:w="100"/>
            </w:tcMar>
          </w:tcPr>
          <w:p>
            <w:pPr>
              <w:jc w:val="right"/>
            </w:pPr>
            <w:r>
              <w:rPr>
                <w:rFonts w:ascii="Calibri"/>
                <w:b w:val="false"/>
                <w:bCs w:val="false"/>
                <w:color w:val="111111"/>
                <w:sz w:val="21"/>
                <w:szCs w:val="21"/>
              </w:rPr>
              <w:t xml:space="preserve">22,500.00</w:t>
            </w:r>
          </w:p>
        </w:tc>
        <w:tc>
          <w:tcPr>
            <w:tcW w:type="pct" w:w="38%"/>
            <w:tcBorders>
              <w:top w:val="single" w:color="DDDDDD" w:sz="1"/>
              <w:left w:val="single" w:color="DDDDDD" w:sz="1"/>
              <w:bottom w:val="single" w:color="DDDDDD" w:sz="1"/>
              <w:right w:val="single" w:color="DDDDDD" w:sz="1"/>
            </w:tcBorders>
            <w:shd w:fill="F9F0F2" w:val="clear"/>
            <w:tcMar>
              <w:top w:type="dxa" w:w="50"/>
              <w:left w:type="dxa" w:w="100"/>
              <w:bottom w:type="dxa" w:w="50"/>
              <w:right w:type="dxa" w:w="100"/>
            </w:tcMar>
          </w:tcPr>
          <w:p>
            <w:pPr>
              <w:jc w:val="left"/>
            </w:pPr>
            <w:r>
              <w:rPr>
                <w:rFonts w:ascii="Calibri"/>
                <w:b w:val="false"/>
                <w:bCs w:val="false"/>
                <w:color w:val="111111"/>
                <w:sz w:val="21"/>
                <w:szCs w:val="21"/>
              </w:rPr>
              <w:t xml:space="preserve"/>
            </w:r>
          </w:p>
        </w:tc>
        <w:tc>
          <w:tcPr>
            <w:tcW w:type="pct" w:w="12%"/>
            <w:tcBorders>
              <w:top w:val="single" w:color="DDDDDD" w:sz="1"/>
              <w:left w:val="single" w:color="DDDDDD" w:sz="1"/>
              <w:bottom w:val="single" w:color="DDDDDD" w:sz="1"/>
              <w:right w:val="single" w:color="DDDDDD" w:sz="1"/>
            </w:tcBorders>
            <w:shd w:fill="F9F0F2" w:val="clear"/>
            <w:tcMar>
              <w:top w:type="dxa" w:w="50"/>
              <w:left w:type="dxa" w:w="100"/>
              <w:bottom w:type="dxa" w:w="50"/>
              <w:right w:type="dxa" w:w="100"/>
            </w:tcMar>
          </w:tcPr>
          <w:p>
            <w:pPr>
              <w:jc w:val="left"/>
            </w:pPr>
            <w:r>
              <w:rPr>
                <w:rFonts w:ascii="Calibri"/>
                <w:b w:val="false"/>
                <w:bCs w:val="false"/>
                <w:color w:val="111111"/>
                <w:sz w:val="21"/>
                <w:szCs w:val="21"/>
              </w:rPr>
              <w:t xml:space="preserve"/>
            </w:r>
          </w:p>
        </w:tc>
      </w:tr>
      <w:tr>
        <w:trPr>
          <w:cantSplit/>
        </w:trPr>
        <w:tc>
          <w:tcPr>
            <w:tcW w:type="pct" w:w="38%"/>
            <w:tcBorders>
              <w:top w:val="single" w:color="DDDDDD" w:sz="1"/>
              <w:left w:val="single" w:color="DDDDDD" w:sz="1"/>
              <w:bottom w:val="single" w:color="DDDDDD" w:sz="1"/>
              <w:right w:val="single" w:color="DDDDDD" w:sz="1"/>
            </w:tcBorders>
            <w:tcMar>
              <w:top w:type="dxa" w:w="50"/>
              <w:left w:type="dxa" w:w="100"/>
              <w:bottom w:type="dxa" w:w="50"/>
              <w:right w:type="dxa" w:w="100"/>
            </w:tcMar>
          </w:tcPr>
          <w:p>
            <w:pPr>
              <w:jc w:val="left"/>
            </w:pPr>
            <w:r>
              <w:rPr>
                <w:rFonts w:ascii="Calibri"/>
                <w:b w:val="false"/>
                <w:bCs w:val="false"/>
                <w:color w:val="111111"/>
                <w:sz w:val="21"/>
                <w:szCs w:val="21"/>
              </w:rPr>
              <w:t xml:space="preserve">Food &amp; Mobile Allowances</w:t>
            </w:r>
          </w:p>
        </w:tc>
        <w:tc>
          <w:tcPr>
            <w:tcW w:type="pct" w:w="12%"/>
            <w:tcBorders>
              <w:top w:val="single" w:color="DDDDDD" w:sz="1"/>
              <w:left w:val="single" w:color="DDDDDD" w:sz="1"/>
              <w:bottom w:val="single" w:color="DDDDDD" w:sz="1"/>
              <w:right w:val="single" w:color="DDDDDD" w:sz="1"/>
            </w:tcBorders>
            <w:tcMar>
              <w:top w:type="dxa" w:w="50"/>
              <w:left w:type="dxa" w:w="100"/>
              <w:bottom w:type="dxa" w:w="50"/>
              <w:right w:type="dxa" w:w="100"/>
            </w:tcMar>
          </w:tcPr>
          <w:p>
            <w:pPr>
              <w:jc w:val="right"/>
            </w:pPr>
            <w:r>
              <w:rPr>
                <w:rFonts w:ascii="Calibri"/>
                <w:b w:val="false"/>
                <w:bCs w:val="false"/>
                <w:color w:val="111111"/>
                <w:sz w:val="21"/>
                <w:szCs w:val="21"/>
              </w:rPr>
              <w:t xml:space="preserve">22,500.00</w:t>
            </w:r>
          </w:p>
        </w:tc>
        <w:tc>
          <w:tcPr>
            <w:tcW w:type="pct" w:w="38%"/>
            <w:tcBorders>
              <w:top w:val="single" w:color="DDDDDD" w:sz="1"/>
              <w:left w:val="single" w:color="DDDDDD" w:sz="1"/>
              <w:bottom w:val="single" w:color="DDDDDD" w:sz="1"/>
              <w:right w:val="single" w:color="DDDDDD" w:sz="1"/>
            </w:tcBorders>
            <w:tcMar>
              <w:top w:type="dxa" w:w="50"/>
              <w:left w:type="dxa" w:w="100"/>
              <w:bottom w:type="dxa" w:w="50"/>
              <w:right w:type="dxa" w:w="100"/>
            </w:tcMar>
          </w:tcPr>
          <w:p>
            <w:pPr>
              <w:jc w:val="left"/>
            </w:pPr>
            <w:r>
              <w:rPr>
                <w:rFonts w:ascii="Calibri"/>
                <w:b w:val="false"/>
                <w:bCs w:val="false"/>
                <w:color w:val="111111"/>
                <w:sz w:val="21"/>
                <w:szCs w:val="21"/>
              </w:rPr>
              <w:t xml:space="preserve"/>
            </w:r>
          </w:p>
        </w:tc>
        <w:tc>
          <w:tcPr>
            <w:tcW w:type="pct" w:w="12%"/>
            <w:tcBorders>
              <w:top w:val="single" w:color="DDDDDD" w:sz="1"/>
              <w:left w:val="single" w:color="DDDDDD" w:sz="1"/>
              <w:bottom w:val="single" w:color="DDDDDD" w:sz="1"/>
              <w:right w:val="single" w:color="DDDDDD" w:sz="1"/>
            </w:tcBorders>
            <w:tcMar>
              <w:top w:type="dxa" w:w="50"/>
              <w:left w:type="dxa" w:w="100"/>
              <w:bottom w:type="dxa" w:w="50"/>
              <w:right w:type="dxa" w:w="100"/>
            </w:tcMar>
          </w:tcPr>
          <w:p>
            <w:pPr>
              <w:jc w:val="left"/>
            </w:pPr>
            <w:r>
              <w:rPr>
                <w:rFonts w:ascii="Calibri"/>
                <w:b w:val="false"/>
                <w:bCs w:val="false"/>
                <w:color w:val="111111"/>
                <w:sz w:val="21"/>
                <w:szCs w:val="21"/>
              </w:rPr>
              <w:t xml:space="preserve"/>
            </w:r>
          </w:p>
        </w:tc>
      </w:tr>
      <w:tr>
        <w:trPr>
          <w:cantSplit/>
        </w:trPr>
        <w:tc>
          <w:tcPr>
            <w:tcW w:type="pct" w:w="38%"/>
            <w:tcBorders>
              <w:top w:val="single" w:color="DDDDDD" w:sz="1"/>
              <w:left w:val="single" w:color="DDDDDD" w:sz="1"/>
              <w:bottom w:val="single" w:color="DDDDDD" w:sz="1"/>
              <w:right w:val="single" w:color="DDDDDD" w:sz="1"/>
            </w:tcBorders>
            <w:shd w:fill="F9F0F2" w:val="clear"/>
            <w:tcMar>
              <w:top w:type="dxa" w:w="50"/>
              <w:left w:type="dxa" w:w="100"/>
              <w:bottom w:type="dxa" w:w="50"/>
              <w:right w:type="dxa" w:w="100"/>
            </w:tcMar>
          </w:tcPr>
          <w:p>
            <w:pPr>
              <w:jc w:val="left"/>
            </w:pPr>
            <w:r>
              <w:rPr>
                <w:rFonts w:ascii="Calibri"/>
                <w:b w:val="false"/>
                <w:bCs w:val="false"/>
                <w:color w:val="111111"/>
                <w:sz w:val="21"/>
                <w:szCs w:val="21"/>
              </w:rPr>
              <w:t xml:space="preserve">Cash</w:t>
            </w:r>
          </w:p>
        </w:tc>
        <w:tc>
          <w:tcPr>
            <w:tcW w:type="pct" w:w="12%"/>
            <w:tcBorders>
              <w:top w:val="single" w:color="DDDDDD" w:sz="1"/>
              <w:left w:val="single" w:color="DDDDDD" w:sz="1"/>
              <w:bottom w:val="single" w:color="DDDDDD" w:sz="1"/>
              <w:right w:val="single" w:color="DDDDDD" w:sz="1"/>
            </w:tcBorders>
            <w:shd w:fill="F9F0F2" w:val="clear"/>
            <w:tcMar>
              <w:top w:type="dxa" w:w="50"/>
              <w:left w:type="dxa" w:w="100"/>
              <w:bottom w:type="dxa" w:w="50"/>
              <w:right w:type="dxa" w:w="100"/>
            </w:tcMar>
          </w:tcPr>
          <w:p>
            <w:pPr>
              <w:jc w:val="right"/>
            </w:pPr>
            <w:r>
              <w:rPr>
                <w:rFonts w:ascii="Calibri"/>
                <w:b w:val="false"/>
                <w:bCs w:val="false"/>
                <w:color w:val="111111"/>
                <w:sz w:val="21"/>
                <w:szCs w:val="21"/>
              </w:rPr>
              <w:t xml:space="preserve">143,000.00</w:t>
            </w:r>
          </w:p>
        </w:tc>
        <w:tc>
          <w:tcPr>
            <w:tcW w:type="pct" w:w="38%"/>
            <w:tcBorders>
              <w:top w:val="single" w:color="DDDDDD" w:sz="1"/>
              <w:left w:val="single" w:color="DDDDDD" w:sz="1"/>
              <w:bottom w:val="single" w:color="DDDDDD" w:sz="1"/>
              <w:right w:val="single" w:color="DDDDDD" w:sz="1"/>
            </w:tcBorders>
            <w:shd w:fill="F9F0F2" w:val="clear"/>
            <w:tcMar>
              <w:top w:type="dxa" w:w="50"/>
              <w:left w:type="dxa" w:w="100"/>
              <w:bottom w:type="dxa" w:w="50"/>
              <w:right w:type="dxa" w:w="100"/>
            </w:tcMar>
          </w:tcPr>
          <w:p>
            <w:pPr>
              <w:jc w:val="left"/>
            </w:pPr>
            <w:r>
              <w:rPr>
                <w:rFonts w:ascii="Calibri"/>
                <w:b w:val="false"/>
                <w:bCs w:val="false"/>
                <w:color w:val="111111"/>
                <w:sz w:val="21"/>
                <w:szCs w:val="21"/>
              </w:rPr>
              <w:t xml:space="preserve"/>
            </w:r>
          </w:p>
        </w:tc>
        <w:tc>
          <w:tcPr>
            <w:tcW w:type="pct" w:w="12%"/>
            <w:tcBorders>
              <w:top w:val="single" w:color="DDDDDD" w:sz="1"/>
              <w:left w:val="single" w:color="DDDDDD" w:sz="1"/>
              <w:bottom w:val="single" w:color="DDDDDD" w:sz="1"/>
              <w:right w:val="single" w:color="DDDDDD" w:sz="1"/>
            </w:tcBorders>
            <w:shd w:fill="F9F0F2" w:val="clear"/>
            <w:tcMar>
              <w:top w:type="dxa" w:w="50"/>
              <w:left w:type="dxa" w:w="100"/>
              <w:bottom w:type="dxa" w:w="50"/>
              <w:right w:type="dxa" w:w="100"/>
            </w:tcMar>
          </w:tcPr>
          <w:p>
            <w:pPr>
              <w:jc w:val="left"/>
            </w:pPr>
            <w:r>
              <w:rPr>
                <w:rFonts w:ascii="Calibri"/>
                <w:b w:val="false"/>
                <w:bCs w:val="false"/>
                <w:color w:val="111111"/>
                <w:sz w:val="21"/>
                <w:szCs w:val="21"/>
              </w:rPr>
              <w:t xml:space="preserve"/>
            </w:r>
          </w:p>
        </w:tc>
      </w:tr>
      <w:tr>
        <w:trPr>
          <w:cantSplit/>
        </w:trPr>
        <w:tc>
          <w:tcPr>
            <w:tcW w:type="pct" w:w="38%"/>
            <w:tcBorders>
              <w:top w:val="single" w:color="DDDDDD" w:sz="1"/>
              <w:left w:val="single" w:color="DDDDDD" w:sz="1"/>
              <w:bottom w:val="single" w:color="DDDDDD" w:sz="1"/>
              <w:right w:val="single" w:color="DDDDDD" w:sz="1"/>
            </w:tcBorders>
            <w:shd w:fill="F0E0E4" w:val="clear"/>
            <w:tcMar>
              <w:top w:type="dxa" w:w="50"/>
              <w:left w:type="dxa" w:w="100"/>
              <w:bottom w:type="dxa" w:w="50"/>
              <w:right w:type="dxa" w:w="100"/>
            </w:tcMar>
          </w:tcPr>
          <w:p>
            <w:pPr>
              <w:jc w:val="left"/>
            </w:pPr>
            <w:r>
              <w:rPr>
                <w:rFonts w:ascii="Calibri"/>
                <w:b/>
                <w:bCs/>
                <w:color w:val="111111"/>
                <w:sz w:val="21"/>
                <w:szCs w:val="21"/>
              </w:rPr>
              <w:t xml:space="preserve">Total</w:t>
            </w:r>
          </w:p>
        </w:tc>
        <w:tc>
          <w:tcPr>
            <w:tcW w:type="pct" w:w="12%"/>
            <w:tcBorders>
              <w:top w:val="single" w:color="DDDDDD" w:sz="1"/>
              <w:left w:val="single" w:color="DDDDDD" w:sz="1"/>
              <w:bottom w:val="single" w:color="DDDDDD" w:sz="1"/>
              <w:right w:val="single" w:color="DDDDDD" w:sz="1"/>
            </w:tcBorders>
            <w:shd w:fill="F0E0E4" w:val="clear"/>
            <w:tcMar>
              <w:top w:type="dxa" w:w="50"/>
              <w:left w:type="dxa" w:w="100"/>
              <w:bottom w:type="dxa" w:w="50"/>
              <w:right w:type="dxa" w:w="100"/>
            </w:tcMar>
          </w:tcPr>
          <w:p>
            <w:pPr>
              <w:jc w:val="right"/>
            </w:pPr>
            <w:r>
              <w:rPr>
                <w:rFonts w:ascii="Calibri"/>
                <w:b/>
                <w:bCs/>
                <w:color w:val="111111"/>
                <w:sz w:val="21"/>
                <w:szCs w:val="21"/>
              </w:rPr>
              <w:t xml:space="preserve">443,000.00</w:t>
            </w:r>
          </w:p>
        </w:tc>
        <w:tc>
          <w:tcPr>
            <w:tcW w:type="pct" w:w="38%"/>
            <w:tcBorders>
              <w:top w:val="single" w:color="DDDDDD" w:sz="1"/>
              <w:left w:val="single" w:color="DDDDDD" w:sz="1"/>
              <w:bottom w:val="single" w:color="DDDDDD" w:sz="1"/>
              <w:right w:val="single" w:color="DDDDDD" w:sz="1"/>
            </w:tcBorders>
            <w:shd w:fill="F0E0E4" w:val="clear"/>
            <w:tcMar>
              <w:top w:type="dxa" w:w="50"/>
              <w:left w:type="dxa" w:w="100"/>
              <w:bottom w:type="dxa" w:w="50"/>
              <w:right w:type="dxa" w:w="100"/>
            </w:tcMar>
          </w:tcPr>
          <w:p>
            <w:pPr>
              <w:jc w:val="left"/>
            </w:pPr>
            <w:r>
              <w:rPr>
                <w:rFonts w:ascii="Calibri"/>
                <w:b/>
                <w:bCs/>
                <w:color w:val="111111"/>
                <w:sz w:val="21"/>
                <w:szCs w:val="21"/>
              </w:rPr>
              <w:t xml:space="preserve">Total</w:t>
            </w:r>
          </w:p>
        </w:tc>
        <w:tc>
          <w:tcPr>
            <w:tcW w:type="pct" w:w="12%"/>
            <w:tcBorders>
              <w:top w:val="single" w:color="DDDDDD" w:sz="1"/>
              <w:left w:val="single" w:color="DDDDDD" w:sz="1"/>
              <w:bottom w:val="single" w:color="DDDDDD" w:sz="1"/>
              <w:right w:val="single" w:color="DDDDDD" w:sz="1"/>
            </w:tcBorders>
            <w:shd w:fill="F0E0E4" w:val="clear"/>
            <w:tcMar>
              <w:top w:type="dxa" w:w="50"/>
              <w:left w:type="dxa" w:w="100"/>
              <w:bottom w:type="dxa" w:w="50"/>
              <w:right w:type="dxa" w:w="100"/>
            </w:tcMar>
          </w:tcPr>
          <w:p>
            <w:pPr>
              <w:jc w:val="right"/>
            </w:pPr>
            <w:r>
              <w:rPr>
                <w:rFonts w:ascii="Calibri"/>
                <w:b/>
                <w:bCs/>
                <w:color w:val="111111"/>
                <w:sz w:val="21"/>
                <w:szCs w:val="21"/>
              </w:rPr>
              <w:t xml:space="preserve">43,000.00</w:t>
            </w:r>
          </w:p>
        </w:tc>
      </w:tr>
      <w:tr>
        <w:trPr>
          <w:cantSplit/>
        </w:trPr>
        <w:tc>
          <w:tcPr>
            <w:tcW w:type="pct" w:w="38%"/>
            <w:tcBorders>
              <w:top w:val="single" w:color="DDDDDD" w:sz="1"/>
              <w:left w:val="single" w:color="DDDDDD" w:sz="1"/>
              <w:bottom w:val="single" w:color="DDDDDD" w:sz="1"/>
              <w:right w:val="single" w:color="DDDDDD" w:sz="1"/>
            </w:tcBorders>
            <w:shd w:fill="FF2109" w:val="clear"/>
            <w:tcMar>
              <w:top w:type="dxa" w:w="50"/>
              <w:left w:type="dxa" w:w="100"/>
              <w:bottom w:type="dxa" w:w="50"/>
              <w:right w:type="dxa" w:w="100"/>
            </w:tcMar>
          </w:tcPr>
          <w:p>
            <w:pPr>
              <w:jc w:val="left"/>
            </w:pPr>
            <w:r>
              <w:rPr>
                <w:rFonts w:ascii="Calibri"/>
                <w:b/>
                <w:bCs/>
                <w:color w:val="000000"/>
                <w:sz w:val="21"/>
                <w:szCs w:val="21"/>
              </w:rPr>
              <w:t xml:space="preserve">Net Total</w:t>
            </w:r>
          </w:p>
        </w:tc>
        <w:tc>
          <w:tcPr>
            <w:tcW w:type="pct" w:w="12%"/>
            <w:tcBorders>
              <w:top w:val="single" w:color="DDDDDD" w:sz="1"/>
              <w:left w:val="single" w:color="DDDDDD" w:sz="1"/>
              <w:bottom w:val="single" w:color="DDDDDD" w:sz="1"/>
              <w:right w:val="single" w:color="DDDDDD" w:sz="1"/>
            </w:tcBorders>
            <w:shd w:fill="FF2109" w:val="clear"/>
            <w:tcMar>
              <w:top w:type="dxa" w:w="50"/>
              <w:left w:type="dxa" w:w="100"/>
              <w:bottom w:type="dxa" w:w="50"/>
              <w:right w:type="dxa" w:w="100"/>
            </w:tcMar>
          </w:tcPr>
          <w:p>
            <w:pPr>
              <w:jc w:val="right"/>
            </w:pPr>
            <w:r>
              <w:rPr>
                <w:rFonts w:ascii="Calibri"/>
                <w:b/>
                <w:bCs/>
                <w:color w:val="000000"/>
                <w:sz w:val="21"/>
                <w:szCs w:val="21"/>
              </w:rPr>
              <w:t xml:space="preserve">400,000.00</w:t>
            </w:r>
          </w:p>
        </w:tc>
        <w:tc>
          <w:tcPr>
            <w:tcW w:type="pct" w:w="38%"/>
            <w:tcBorders>
              <w:top w:val="single" w:color="DDDDDD" w:sz="1"/>
              <w:left w:val="single" w:color="DDDDDD" w:sz="1"/>
              <w:bottom w:val="single" w:color="DDDDDD" w:sz="1"/>
              <w:right w:val="single" w:color="DDDDDD" w:sz="1"/>
            </w:tcBorders>
            <w:shd w:fill="FF2109" w:val="clear"/>
            <w:tcMar>
              <w:top w:type="dxa" w:w="50"/>
              <w:left w:type="dxa" w:w="100"/>
              <w:bottom w:type="dxa" w:w="50"/>
              <w:right w:type="dxa" w:w="100"/>
            </w:tcMar>
          </w:tcPr>
          <w:p>
            <w:pPr>
              <w:jc w:val="left"/>
            </w:pPr>
            <w:r>
              <w:rPr>
                <w:rFonts w:ascii="Calibri"/>
                <w:b w:val="false"/>
                <w:bCs w:val="false"/>
                <w:color w:val="111111"/>
                <w:sz w:val="21"/>
                <w:szCs w:val="21"/>
              </w:rPr>
              <w:t xml:space="preserve"/>
            </w:r>
          </w:p>
        </w:tc>
        <w:tc>
          <w:tcPr>
            <w:tcW w:type="pct" w:w="12%"/>
            <w:tcBorders>
              <w:top w:val="single" w:color="DDDDDD" w:sz="1"/>
              <w:left w:val="single" w:color="DDDDDD" w:sz="1"/>
              <w:bottom w:val="single" w:color="DDDDDD" w:sz="1"/>
              <w:right w:val="single" w:color="DDDDDD" w:sz="1"/>
            </w:tcBorders>
            <w:shd w:fill="FF2109" w:val="clear"/>
            <w:tcMar>
              <w:top w:type="dxa" w:w="50"/>
              <w:left w:type="dxa" w:w="100"/>
              <w:bottom w:type="dxa" w:w="50"/>
              <w:right w:type="dxa" w:w="100"/>
            </w:tcMar>
          </w:tcPr>
          <w:p>
            <w:pPr>
              <w:jc w:val="left"/>
            </w:pPr>
            <w:r>
              <w:rPr>
                <w:rFonts w:ascii="Calibri"/>
                <w:b w:val="false"/>
                <w:bCs w:val="false"/>
                <w:color w:val="111111"/>
                <w:sz w:val="21"/>
                <w:szCs w:val="21"/>
              </w:rPr>
              <w:t xml:space="preserve"/>
            </w:r>
          </w:p>
        </w:tc>
      </w:tr>
    </w:tbl>
    <w:p>
      <w:pPr>
        <w:spacing w:after="120" w:before="240"/>
      </w:pPr>
      <w:r>
        <w:rPr>
          <w:rFonts w:ascii="Calibri"/>
          <w:b/>
          <w:bCs/>
          <w:sz w:val="22"/>
          <w:szCs w:val="22"/>
        </w:rPr>
        <w:t xml:space="preserve">Annual Pay &amp; Benefits (in BDT)</w:t>
      </w:r>
    </w:p>
    <w:p>
      <w:pPr>
        <w:spacing w:after="60"/>
      </w:pPr>
      <w:r>
        <w:rPr>
          <w:rFonts w:ascii="Calibri"/>
          <w:sz w:val="22"/>
          <w:szCs w:val="22"/>
        </w:rPr>
        <w:t xml:space="preserve">Salary &amp; Others Allowances</w:t>
      </w:r>
      <w:r>
        <w:rPr>
          <w:rFonts w:ascii="Calibri"/>
          <w:sz w:val="22"/>
          <w:szCs w:val="22"/>
        </w:rPr>
        <w:t xml:space="preserve">	:	5,316,000.00</w:t>
      </w:r>
    </w:p>
    <w:p>
      <w:pPr>
        <w:spacing w:after="60"/>
      </w:pPr>
      <w:r>
        <w:rPr>
          <w:rFonts w:ascii="Calibri"/>
          <w:sz w:val="22"/>
          <w:szCs w:val="22"/>
        </w:rPr>
        <w:t xml:space="preserve">Festival Bonus(es)</w:t>
      </w:r>
      <w:r>
        <w:rPr>
          <w:rFonts w:ascii="Calibri"/>
          <w:sz w:val="22"/>
          <w:szCs w:val="22"/>
        </w:rPr>
        <w:t xml:space="preserve">	:	300,000.00</w:t>
      </w:r>
    </w:p>
    <w:p>
      <w:pPr>
        <w:pBdr>
          <w:bottom w:val="single" w:color="999999" w:sz="2"/>
        </w:pBdr>
        <w:spacing w:after="60" w:before="60"/>
      </w:pPr>
    </w:p>
    <w:p>
      <w:pPr>
        <w:spacing w:after="200"/>
      </w:pPr>
      <w:r>
        <w:rPr>
          <w:rFonts w:ascii="Calibri"/>
          <w:b/>
          <w:bCs/>
          <w:sz w:val="22"/>
          <w:szCs w:val="22"/>
        </w:rPr>
        <w:t xml:space="preserve">Total (Annually)</w:t>
      </w:r>
      <w:r>
        <w:rPr>
          <w:rFonts w:ascii="Calibri"/>
          <w:b/>
          <w:bCs/>
          <w:sz w:val="22"/>
          <w:szCs w:val="22"/>
        </w:rPr>
        <w:t xml:space="preserve">	:	5,616,000.00</w:t>
      </w:r>
    </w:p>
    <w:p>
      <w:pPr>
        <w:spacing w:after="360"/>
        <w:jc w:val="both"/>
      </w:pPr>
      <w:r>
        <w:rPr>
          <w:rFonts w:ascii="Calibri"/>
          <w:sz w:val="22"/>
          <w:szCs w:val="22"/>
        </w:rPr>
        <w:t xml:space="preserve">We hereby certify that the above-mentioned information is correct and accurate to the best of our knowledge. We are issuing this letter on the specific request of our employee for whatever the purpose he may require without accepting any liability on behalf of this letter or part of this letter on our company.</w:t>
      </w:r>
    </w:p>
    <w:p>
      <w:pPr>
        <w:spacing w:after="0" w:before="600"/>
      </w:pPr>
    </w:p>
    <w:p>
      <w:pPr>
        <w:pBdr>
          <w:bottom w:val="single" w:color="333333" w:sz="3"/>
        </w:pBdr>
        <w:spacing w:after="60"/>
      </w:pPr>
      <w:r>
        <w:rPr>
          <w:rFonts w:ascii="Calibri"/>
          <w:b/>
          <w:bCs/>
          <w:sz w:val="22"/>
          <w:szCs w:val="22"/>
        </w:rPr>
        <w:t xml:space="preserve">Saqib Ahmed</w:t>
      </w:r>
    </w:p>
    <w:p>
      <w:pPr>
        <w:spacing w:after="0"/>
      </w:pPr>
      <w:r>
        <w:rPr>
          <w:rFonts w:ascii="Calibri"/>
          <w:color w:val="000000"/>
          <w:sz w:val="20"/>
          <w:szCs w:val="20"/>
        </w:rPr>
        <w:t xml:space="preserve">Proprietor</w:t>
      </w:r>
    </w:p>
    <w:p>
      <w:pPr>
        <w:spacing w:after="0"/>
      </w:pPr>
      <w:r>
        <w:rPr>
          <w:rFonts w:ascii="Calibri"/>
          <w:color w:val="000000"/>
          <w:sz w:val="20"/>
          <w:szCs w:val="20"/>
        </w:rPr>
        <w:t xml:space="preserve">Beyond Headlines</w:t>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2109" w:sz="24"/>
      </w:pBdr>
      <w:shd w:fill="FF2109" w:val="clear"/>
      <w:spacing w:after="40" w:before="120"/>
      <w:jc w:val="center"/>
    </w:pPr>
    <w:r>
      <w:rPr>
        <w:rFonts w:ascii="Calibri"/>
        <w:b/>
        <w:bCs/>
        <w:color w:val="FFFFFF"/>
        <w:sz w:val="20"/>
        <w:szCs w:val="20"/>
      </w:rPr>
      <w:t xml:space="preserve">Office Address:</w:t>
    </w:r>
  </w:p>
  <w:p>
    <w:pPr>
      <w:shd w:fill="FF2109" w:val="clear"/>
      <w:spacing w:after="20"/>
      <w:jc w:val="center"/>
    </w:pPr>
    <w:r>
      <w:rPr>
        <w:rFonts w:ascii="Calibri"/>
        <w:color w:val="FFFFFF"/>
        <w:sz w:val="18"/>
        <w:szCs w:val="18"/>
      </w:rPr>
      <w:t xml:space="preserve">Eureka Kanon Villa, House-84, Level-3, Road-10/1, Block-D,</w:t>
    </w:r>
  </w:p>
  <w:p>
    <w:pPr>
      <w:shd w:fill="FF2109" w:val="clear"/>
      <w:spacing w:after="80"/>
      <w:jc w:val="center"/>
    </w:pPr>
    <w:r>
      <w:rPr>
        <w:rFonts w:ascii="Calibri"/>
        <w:color w:val="FFFFFF"/>
        <w:sz w:val="18"/>
        <w:szCs w:val="18"/>
      </w:rPr>
      <w:t xml:space="preserve">Niketon, Gulshan-1, Dhaka-1212, Bangladesh.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center"/>
    </w:pPr>
    <w:r>
      <w:drawing>
        <wp:inline distT="0" distB="0" distL="0" distR="0">
          <wp:extent cx="238125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381250" cy="695325"/>
                  </a:xfrm>
                  <a:prstGeom prst="rect">
                    <a:avLst/>
                  </a:prstGeom>
                </pic:spPr>
              </pic:pic>
            </a:graphicData>
          </a:graphic>
        </wp:inline>
      </w:drawing>
    </w:r>
  </w:p>
  <w:p>
    <w:pPr>
      <w:pBdr>
        <w:bottom w:val="single" w:color="FF2109" w:sz="8"/>
      </w:pBdr>
      <w:spacing w:after="2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111111"/>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12f27034bd8df44010b1d5cab20ad278087e83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2026-04-30T08:20:20.893Z</dcterms:created>
  <dcterms:modified xsi:type="dcterms:W3CDTF">2026-04-30T08:20:20.894Z</dcterms:modified>
</cp:coreProperties>
</file>

<file path=docProps/custom.xml><?xml version="1.0" encoding="utf-8"?>
<Properties xmlns="http://schemas.openxmlformats.org/officeDocument/2006/custom-properties" xmlns:vt="http://schemas.openxmlformats.org/officeDocument/2006/docPropsVTypes"/>
</file>