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PingFang SC" w:hAnsi="PingFang SC" w:eastAsia="PingFang SC"/>
          <w:b/>
          <w:color w:val="16597A"/>
          <w:sz w:val="40"/>
        </w:rPr>
        <w:t>HealthMap 项目汇报讲稿</w:t>
      </w:r>
    </w:p>
    <w:p>
      <w:pPr>
        <w:spacing w:after="40" w:before="0" w:line="360" w:lineRule="auto"/>
        <w:jc w:val="center"/>
      </w:pPr>
      <w:r>
        <w:rPr>
          <w:rFonts w:ascii="PingFang SC" w:hAnsi="PingFang SC" w:eastAsia="PingFang SC"/>
          <w:b w:val="0"/>
          <w:color w:val="6B7280"/>
          <w:sz w:val="26"/>
        </w:rPr>
        <w:t>城市环境、医疗资源与居民健康 —— 多源数据融合分析</w:t>
      </w:r>
    </w:p>
    <w:p>
      <w:pPr>
        <w:spacing w:after="280" w:before="0" w:line="360" w:lineRule="auto"/>
        <w:jc w:val="center"/>
      </w:pPr>
      <w:r>
        <w:rPr>
          <w:rFonts w:ascii="PingFang SC" w:hAnsi="PingFang SC" w:eastAsia="PingFang SC"/>
          <w:b w:val="0"/>
          <w:color w:val="6B7280"/>
          <w:sz w:val="22"/>
        </w:rPr>
        <w:t>配套演示文稿：HealthMap项目汇报.pptx（共 16 页）｜ 全程约 15–18 分钟</w:t>
      </w:r>
    </w:p>
    <w:p>
      <w:pPr>
        <w:spacing w:after="240" w:before="0" w:line="360" w:lineRule="auto"/>
      </w:pPr>
      <w:r>
        <w:rPr>
          <w:rFonts w:ascii="PingFang SC" w:hAnsi="PingFang SC" w:eastAsia="PingFang SC"/>
          <w:b w:val="0"/>
          <w:color w:val="6B7280"/>
          <w:sz w:val="22"/>
        </w:rPr>
        <w:t>使用说明：本讲稿按 PPT 页码编排，每页给出可直接照读的口语化文稿与时间建议。文中所有数字均来自仓库 README 与 docs/ 下的分析文档，如需增删内容请保持数字口径一致。各页要点也已写入 PPT 演讲者备注，放映时可直接查看。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1 页 ｜ 封面 · 开场（建议 1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各位老师、同学，大家好。今天由我代表小组，汇报我们的 HealthMap 项目。这个项目研究的核心问题是：城市环境质量、医疗资源分布与居民健康三者之间，到底存在怎样的空间关联和公平性差异。为了回答这个问题，我们从 8 个相互独立的数据源，采集了大约 3.7 个 G、93 个文件的多维数据，覆盖了 31 个省份和 363 个城市；再通过空间、时间、实体三种关联维度，把不同来源的数据融合到一起，围绕三大研究问题展开实证分析。整个项目强调可复现：从采集、清洗、融合到分析，每一层都有脚本和文档。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2 页 ｜ 汇报目录（建议 0.5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今天的汇报分六个部分：第一部分是项目概述，介绍三大研究问题；第二部分讲数据体系，也就是 8 个数据源和数据处理流水线；第三部分是重点，我们会用图表展示 Q1 到 Q3 的分析结果；第四部分是数据质量与验证；第五部分介绍团队的协作机制；最后做总结与展望。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3 页 ｜ 项目概述：三大核心研究问题（建议 1.5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先看研究问题本身。Q1 关注环境与健康：空气质量、水质、气象条件，是否与居民健康结局存在空间关联。Q2 关注医疗资源：床位、人员、机构这些资源的空间分布，是否与就医可达性和区域经济发展水平相关。Q3 关注公平性：不同地区之间医疗服务供给公平吗？环境因素和经济因素，是如何共同影响健康不平等的。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支撑这三个问题的，是页面下方的四个数字：8 个独立数据源、93 个文件约 3.7GB 的原始数据、清洗融合后的 7 个集成数据集，以及覆盖 363 个城市的可达性快照。所以我们强调，HealthMap 不是一个单点数据分析，而是一套从采集到实证、完整可复现的数据工程。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4 页 ｜ 数据体系总览：8 个数据源（建议 1.5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这一页是 8 个数据源的全景图。请注意横轴是对数刻度——因为数据体量从 39KB 一直跨到 1.6GB，线性刻度下小数据源根本看不见。这些数据在形态上非常异构：有 OSM 路网和行政区划边界这样的矢量底座，有 ERA5 再分析这样的科研栅格，有百度地图的医疗机构 POI，也有国家数据平台的统计报表。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它们在领域上互补：矢量数据提供空间底座，POI 提供医疗资源点位，环境和气象提供暴露数据，健康、经济、人口数据提供健康结局和控制变量。另外说明一下分发方式：因为体积原因，数据不进 git 仓库，而是通过 GitHub Release 发布——做分析只需要下载 142KB 的融合数据包就能开工。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5 页 ｜ 数据流水线（建议 1.5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这一页展示从原始数据到研究问题的完整流水线，分四层。第一层是 8 个采集脚本，对应 8 个数据源。第二层是清洗层，产出 15 个清洗数据集，这里有两个代表性工作：一是修复了百度坐标 BD-09 到 WGS-84 的转换问题；二是用 osmium 对路网做预过滤，把处理时间从 70 分钟压缩到 12 秒，提升了几百倍。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第三层是融合层：通过严格的点在多边形内判定，加上时间和实体关联，产出 7 个面向研究问题的融合数据集。最右侧的橙色模块是质量保障，它贯穿全流程：4 类规则、36 项检查，外加 93 个文件的清单和 MD5 校验。每一层都有对应脚本和文档，保证任何人都能复现整条流水线。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6 页 ｜ Q1：环境质量与居民健康（建议 2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现在进入分析结果。先看 Q1。左图是 31 个省的 PM2.5 年均值：2023 年 40.3，2024 年 39.3，2025 年 44.7 微克每立方米——连续三年高于国家年均二级标准 35，更远远高于 WHO 的指导值 5。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那 PM2.5 和健康结局有关系吗？直接算相关系数，PM2.5 与急诊病死率的相关约为正 0.21，方向符合直觉但比较弱。但请注意下面的关键结果：当我们做双向固定效应的面板回归，把省份和年份的固定效应都控制住之后，系数变成了负 0.0008，而且不显著——也就是说，简单相关被固定效应吸收了。分位数回归也显示，中位数以上效应发散。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这一页想传达一个方法论信息：不做控制的相关分析很容易误导，所以我们的结论都建立在面板和空间方法之上。补充一个空间发现：2024 年 PM2.5 的 LISA 分析显示，京津冀存在显著的高-高聚集，这是后续可视化很有价值的叙事点。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7 页 ｜ Q2：医疗资源与区域经济（建议 1.5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Q2 的第一块是资源与经济的关系。左图是 2016 到 2024 年每万人床位数：从 53.2 张稳步增长到 72.7 张，九年累计增长 37%，扩张趋势非常清晰。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主回归采用双向固定效应面板，279 个省年观测。收入的对数系数是正的 46.99，城乡收入差距系数是负 0.0004，面板 R 方 0.9539。这里要特别说明我们的克制：反向回归的 R 方高达 0.9967，但这主要来自固定效应，不能作为因果证据；同时结果文件没有报告 p 值，所以我们只解读系数方向，不宣称统计显著。那么资源扩张有没有转化为均衡的就医体验？请看下一页。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8 页 ｜ Q2：363 城就医可达性（建议 2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这一页是本项目的关键发现之一。左图在对数刻度下展示最近医院就医时间的分布：中位数 35.3 分钟，四分位距是 20.7 到 54.5 分钟，P90 达到 77.2 分钟，而最大值高达 1461.7 分钟——接近一天一夜。分布严重右偏，说明边远城市存在极端的就医时间。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右边的环形图更直观：按操作性口径，363 个城市里有 329 个——也就是 90.63%——无法在 30 分钟内到达大医院。这里必须诚实说明：这个口径把大医院时间缺失的城市也计为不可达，所以它是操作口径，不全是已经观测到的超时。但结论方向是清楚的：床位在扩张，获取体验却并不均衡，供给扩张不等于均衡体验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9 页 ｜ Q2：空间自相关检验（建议 1.5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一个自然的问题是：就医时间在空间上是不是聚集的？我们做了严格检验。对 296 个有有效时间值的城市，构造 KNN-4 球面邻接，做 9999 次随机置换：全局 Moran's I 只有 0.00233，双侧 p 值 0.72——完全没有全局空间自相关。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局部 LISA 的象限分布如左图：未校正 p 小于 0.05 的城市有 35 个，但对 296 次局部检验做 BH-FDR 多重比较校正之后，显著城市归零。所以我们报告的结论是：没有稳健的空间聚集证据。图上特意标注了“未校正象限”，避免把探索性结果当成确认热点。这也是项目严谨性的一个示范——宁可报告无发现，也不夸大结论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10 页 ｜ Q3：公平性年度趋势（建议 1.5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进入 Q3 公平性。三个斜率图展示 2016 到 2025 年的变化：居民收入基尼系数从 0.191 降到 0.168；收入的 P90/P10 比值从 2.04 降到 1.79，说明尾部在收敛；泰尔指数中东、中、西部之间的贡献占比从 55.9% 降到 51.9%。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最后一点特别重要：省际之间的结构差距，始终是主要的、占比过半的不平等来源。另外，每万人床位的基尼系数长期稳定在 0.075 左右，处于稳态公平水平。Mann-Kendall 趋势检验显示，这些指标全部严格单调改善，τ 达到负 1，趋势叙事非常干净。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11 页 ｜ Q3：城市级地带不平等（建议 1.5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把公平性下沉到城市级别，会看到清晰的地理梯度。全国 363 个城市之间医院数量分布的基尼系数是 0.679，已经相当不均。分地带看：东部 0.574，中部 0.664，西部 0.727——越往西，医院资源在城市间的集中程度越高。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这和上一页可达性的右偏分布相互呼应：边远地区同时承受“总量更少”和“分布更集中”的双重劣势。这也是分析文档里明确标注、可以直接引用的结论之一。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12 页 ｜ 省份分层画像（建议 1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我们还对 31 个省做了 KMeans 聚类，特征包括资源密度、老龄化压力、可达性和收入四个维度。结果分出三种类型：第一组是广东、江苏、浙江、福建，高收入、高可达；第二组是新疆、西藏、内蒙古、贵州、青海、海南六个省区，收入均值只有约 31k，平均到大医院的距离却是 78 公里，是东部组的 2.5 倍；其余省份处于中间形态。这张分型图可以直接作为健康压力地图的叙事底图。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13 页 ｜ 数据质量与验证（建议 1.5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数据质量方面我们做了三件事。第一，建立质量检查报告：完整性、唯一性、有效性、一致性四类规则、36 项检查，发现的问题如实记录——比如 US AQI 有 209 行越界，就明确写为源数据局限，而不是隐藏。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第二，对空间关联本身做了验证，这是左图：如果用近似方法——城市名匹配或最近中心——医疗 POI 与严格点在多边形结果的一致率只有 84.75%，ERA5 气象格点更是只有 33%。所以融合层全面切换成了严格 PIP 加多级回退：修正了珠海海岛 POI 被误判到港澳的问题，境外的气象格点则直接剔除，而不是摊派给最近的省份。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第三，93 个文件全部有清单和 MD5 校验；协作规范也明确：发现数据问题只能改 processing 脚本重跑，禁止手改 CSV。近似方法和严格方法 33% 对 100% 的差距，就是融合质量的分水岭。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14 页 ｜ 协作机制（建议 2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协作机制有三块。第一，Git 分支工作流：任何人不在 main 上直接改代码；每次工作开一个新分支，用 analysis、viz、docs、fix 这样的前缀命名；代码和文档必须在同一个 commit 里提交，不留“下次再补文档”；完成后推分支、提 PR、复核合并，再删掉本地分支回到 main。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第二，数据分发：全部走 GitHub Release。做分析只需要 142KB 的融合数据包；需要更细粒度的字段再下载 117MB 的清洗数据包；原始数据两个分卷共约 3 个 G，一般只在核对来源时才需要。第三，文档规范：动手前先读分析总纲 docs/analysis.md；每块工作留下别人能看懂、能复核的专题文档，必须写清样本口径和结论局限；AI 的使用也逐条记录在 AI_USAGE.md 里，包括 AI 出错被纠正的情况。这套机制保证了多人并行开发时，仓库不会失控。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15 页 ｜ 总结与展望（建议 2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最后总结四点。核心结论：第一，环境与健康的粗关联在固定效应检验后并不稳健，空间聚集只在京津冀等地显著；第二，医疗资源九年扩张 37%，但 90.63% 的城市 30 分钟内到不了大医院；第三，公平性指标十年单调改善，但省际结构差距仍是主体，西部城市级分布最不均衡。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方法亮点是：严格空间融合、完整的计量方法链，以及 FDR 校正后如实报告“无发现”的严谨性。主要局限也要说清楚：可达性是单点快照，不能做时序面板；预期寿命只有 2020 一年，与环境数据有三年的时间差；所有结论都止于关联描述，不构成因果识别。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后续计划：优先做城市可达性地图——缺失值标缺测、不做插补——和 LISA 探索图层；做 PM2.5 的空间插值与聚集地图；并把 2020 年 COVID 冲击的 DiD 分析作为因果方向的尝试——探索性结果显示 2020 年之后急诊病死率系统性抬升 0.056，p 值 0.006，是很值得深挖的信号。</w:t>
      </w:r>
    </w:p>
    <w:p>
      <w:pPr>
        <w:spacing w:after="80" w:before="200" w:line="360" w:lineRule="auto"/>
      </w:pPr>
      <w:r>
        <w:rPr>
          <w:rFonts w:ascii="PingFang SC" w:hAnsi="PingFang SC" w:eastAsia="PingFang SC"/>
          <w:b/>
          <w:color w:val="16597A"/>
          <w:sz w:val="27"/>
        </w:rPr>
        <w:t>第 16 页 ｜ 结束页 · 致谢与答疑（建议 0.5 分钟）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4"/>
        </w:rPr>
        <w:t>我的汇报到这里。所有数字都来自仓库的分析文档，分析脚本、数据与文档都在 GitHub 上，欢迎大家复现和指正。谢谢大家，下面进入提问环节。</w:t>
      </w:r>
    </w:p>
    <w:p>
      <w:pPr>
        <w:spacing w:after="120" w:before="320" w:line="360" w:lineRule="auto"/>
      </w:pPr>
      <w:r>
        <w:rPr>
          <w:rFonts w:ascii="PingFang SC" w:hAnsi="PingFang SC" w:eastAsia="PingFang SC"/>
          <w:b/>
          <w:color w:val="16597A"/>
          <w:sz w:val="30"/>
        </w:rPr>
        <w:t>附录：预设问答（Q&amp;A 准备）</w:t>
      </w:r>
    </w:p>
    <w:p>
      <w:pPr>
        <w:spacing w:after="40" w:before="0" w:line="360" w:lineRule="auto"/>
      </w:pPr>
      <w:r>
        <w:rPr>
          <w:rFonts w:ascii="PingFang SC" w:hAnsi="PingFang SC" w:eastAsia="PingFang SC"/>
          <w:b/>
          <w:color w:val="25313D"/>
          <w:sz w:val="24"/>
        </w:rPr>
        <w:t>问：为什么 TWFE 之后 PM2.5 的效应消失了？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3"/>
        </w:rPr>
        <w:t>答：粗相关混入了省份间不随时间变化的差异和全国性年度冲击；固定效应吸收这些内生变化后，剩余的组内变异不足以支撑稳定关联。这恰恰说明简单相关分析有误导风险。</w:t>
      </w:r>
    </w:p>
    <w:p>
      <w:pPr>
        <w:spacing w:after="40" w:before="0" w:line="360" w:lineRule="auto"/>
      </w:pPr>
      <w:r>
        <w:rPr>
          <w:rFonts w:ascii="PingFang SC" w:hAnsi="PingFang SC" w:eastAsia="PingFang SC"/>
          <w:b/>
          <w:color w:val="25313D"/>
          <w:sz w:val="24"/>
        </w:rPr>
        <w:t>问：90.63% 不可达是不是夸大了？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3"/>
        </w:rPr>
        <w:t>答：这是操作性口径：major_nearest_min 缺失的城市被填成 999 后计入不可达。文档里已明确标注该口径，解读时只谈方向，不当作 329 个已观测超时。</w:t>
      </w:r>
    </w:p>
    <w:p>
      <w:pPr>
        <w:spacing w:after="40" w:before="0" w:line="360" w:lineRule="auto"/>
      </w:pPr>
      <w:r>
        <w:rPr>
          <w:rFonts w:ascii="PingFang SC" w:hAnsi="PingFang SC" w:eastAsia="PingFang SC"/>
          <w:b/>
          <w:color w:val="25313D"/>
          <w:sz w:val="24"/>
        </w:rPr>
        <w:t>问：Moran's I 不显著，说明数据没用吗？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3"/>
        </w:rPr>
        <w:t>答：不是。它说明在 KNN-4 权重下，城市就医时间没有全局聚集结构；可达性差异更多由局部地理条件决定。负结果同样是严谨分析的产出。</w:t>
      </w:r>
    </w:p>
    <w:p>
      <w:pPr>
        <w:spacing w:after="40" w:before="0" w:line="360" w:lineRule="auto"/>
      </w:pPr>
      <w:r>
        <w:rPr>
          <w:rFonts w:ascii="PingFang SC" w:hAnsi="PingFang SC" w:eastAsia="PingFang SC"/>
          <w:b/>
          <w:color w:val="25313D"/>
          <w:sz w:val="24"/>
        </w:rPr>
        <w:t>问：为什么数据不放 git 仓库？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3"/>
        </w:rPr>
        <w:t>答：原始数据 3.7GB，git 不适合承载；所以走 Release 分发，仓库只存代码和文档，并用清单加 MD5 保证数据版本可追溯。</w:t>
      </w:r>
    </w:p>
    <w:p>
      <w:pPr>
        <w:spacing w:after="40" w:before="0" w:line="360" w:lineRule="auto"/>
      </w:pPr>
      <w:r>
        <w:rPr>
          <w:rFonts w:ascii="PingFang SC" w:hAnsi="PingFang SC" w:eastAsia="PingFang SC"/>
          <w:b/>
          <w:color w:val="25313D"/>
          <w:sz w:val="24"/>
        </w:rPr>
        <w:t>问：下一步如何做因果识别？</w:t>
      </w:r>
    </w:p>
    <w:p>
      <w:pPr>
        <w:spacing w:after="160" w:before="0" w:line="360" w:lineRule="auto"/>
      </w:pPr>
      <w:r>
        <w:rPr>
          <w:rFonts w:ascii="PingFang SC" w:hAnsi="PingFang SC" w:eastAsia="PingFang SC"/>
          <w:b w:val="0"/>
          <w:color w:val="25313D"/>
          <w:sz w:val="23"/>
        </w:rPr>
        <w:t>答：两个方向：利用 2020 年 COVID 冲击做 DiD；以及引入空间杜宾模型刻画 PM2.5 的跨省外溢。但需要更细的空间权重和地理控制变量。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