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9613D6">
        <w:rPr>
          <w:rFonts w:ascii="Arial" w:eastAsia="標楷體" w:hAnsi="Arial" w:cs="Arial" w:hint="eastAsia"/>
          <w:b/>
          <w:bCs/>
          <w:sz w:val="40"/>
          <w:szCs w:val="40"/>
        </w:rPr>
        <w:t>5</w:t>
      </w:r>
      <w:r w:rsidR="00713BC3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750AB5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3E2CE4">
        <w:trPr>
          <w:trHeight w:val="75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Pr="008D37F1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1F1EA2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：</w:t>
            </w:r>
          </w:p>
          <w:p w:rsidR="00CB4996" w:rsidRPr="00CB4996" w:rsidRDefault="00F75F8B" w:rsidP="00C06014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C06014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C06014">
            <w:pPr>
              <w:pStyle w:val="a4"/>
              <w:numPr>
                <w:ilvl w:val="0"/>
                <w:numId w:val="36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C06014">
            <w:pPr>
              <w:pStyle w:val="a4"/>
              <w:numPr>
                <w:ilvl w:val="0"/>
                <w:numId w:val="36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C06014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794363" w:rsidRDefault="00794363" w:rsidP="00C06014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794363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DJSI</w:t>
            </w:r>
            <w:r w:rsidRPr="00794363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服務品質題組：</w:t>
            </w:r>
            <w:r w:rsidRPr="00794363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4/29</w:t>
            </w:r>
            <w:r w:rsidRPr="00794363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完成確認內容。</w:t>
            </w:r>
          </w:p>
          <w:p w:rsidR="00032E3F" w:rsidRPr="00170562" w:rsidRDefault="00EC3C3D" w:rsidP="00C06014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子公司公平待客原則概況說明已完成。</w:t>
            </w:r>
          </w:p>
          <w:p w:rsidR="00265073" w:rsidRPr="00612E92" w:rsidRDefault="003D5346" w:rsidP="00A3496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2019Q2</w:t>
            </w:r>
            <w:r w:rsidR="00612E92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會議時間</w:t>
            </w:r>
            <w:r w:rsidR="007A3EA9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5/24</w:t>
            </w:r>
            <w:r w:rsidR="009979AA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  <w:r w:rsidR="00612E92" w:rsidRPr="00612E9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4/30</w:t>
            </w:r>
            <w:r w:rsidR="00612E92" w:rsidRPr="00612E9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寄發會議通知。</w:t>
            </w:r>
            <w:r w:rsidR="00274519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</w:t>
            </w:r>
            <w:r w:rsidR="00274519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5/14</w:t>
            </w:r>
            <w:r w:rsidR="00274519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彙整。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802"/>
              <w:gridCol w:w="1559"/>
            </w:tblGrid>
            <w:tr w:rsidR="00612E92" w:rsidRPr="002E0B04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612E92" w:rsidRPr="002E0B04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782937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NPS</w:t>
                  </w:r>
                  <w:r w:rsidRPr="0078293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客戶體驗管理機制成果與精進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人壽</w:t>
                  </w:r>
                </w:p>
              </w:tc>
            </w:tr>
            <w:tr w:rsidR="00612E92" w:rsidRPr="002E0B04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782937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NPS</w:t>
                  </w:r>
                  <w:r w:rsidRPr="0078293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客戶體驗改善機制導入進度及後續運作規劃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</w:tr>
            <w:tr w:rsidR="00612E92" w:rsidRPr="002E0B04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782937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AO</w:t>
                  </w:r>
                  <w:r w:rsidRPr="0078293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客戶視圖規劃與應用說明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</w:tr>
            <w:tr w:rsidR="00612E92" w:rsidRPr="002E0B04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782937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78293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聽見客戶的聲音</w:t>
                  </w:r>
                  <w:r w:rsidRPr="00782937"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  <w:t>-</w:t>
                  </w:r>
                  <w:r w:rsidRPr="0078293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定期定額投資快速下單介面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612E92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612E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</w:tr>
          </w:tbl>
          <w:p w:rsidR="00612E92" w:rsidRPr="009979AA" w:rsidRDefault="00612E92" w:rsidP="00612E92">
            <w:pPr>
              <w:snapToGrid w:val="0"/>
              <w:spacing w:line="440" w:lineRule="exact"/>
              <w:ind w:left="464"/>
              <w:rPr>
                <w:rFonts w:ascii="Arial" w:eastAsia="標楷體" w:hAnsi="標楷體" w:cs="Arial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C06014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984450" w:rsidRDefault="0095698C" w:rsidP="00C06014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t>法務審閱第三版合約，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2/20</w:t>
            </w:r>
            <w:r w:rsidR="00B01CB0" w:rsidRPr="00747E85">
              <w:rPr>
                <w:rFonts w:ascii="Arial" w:eastAsia="標楷體" w:hAnsi="Arial" w:cs="Arial" w:hint="eastAsia"/>
                <w:sz w:val="26"/>
                <w:szCs w:val="26"/>
              </w:rPr>
              <w:t>提供第四版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供廠商審閱</w:t>
            </w:r>
            <w:r w:rsidR="002D306F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已回覆。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proofErr w:type="gramStart"/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提請</w:t>
            </w:r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金控法務</w:t>
            </w:r>
            <w:proofErr w:type="gramEnd"/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協助各子公司法務</w:t>
            </w:r>
            <w:r w:rsidR="002737E3" w:rsidRPr="00984450">
              <w:rPr>
                <w:rFonts w:ascii="Arial" w:eastAsia="標楷體" w:hAnsi="Arial" w:cs="Arial" w:hint="eastAsia"/>
                <w:sz w:val="26"/>
                <w:szCs w:val="26"/>
              </w:rPr>
              <w:t>進行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審閱，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3/13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修改意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見。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用印作業中。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</w:t>
            </w:r>
            <w:r w:rsidR="00B140A8" w:rsidRPr="0041730A">
              <w:rPr>
                <w:rFonts w:ascii="Arial" w:eastAsia="標楷體" w:hAnsi="Arial" w:cs="Arial" w:hint="eastAsia"/>
                <w:sz w:val="26"/>
                <w:szCs w:val="26"/>
              </w:rPr>
              <w:t>告</w:t>
            </w:r>
            <w:r w:rsidR="006B5B71" w:rsidRPr="0041730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3/5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提供公關部參考。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A56EF8" w:rsidRDefault="00BD602C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56EF8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銀行專案需求，</w:t>
            </w:r>
            <w:proofErr w:type="gramStart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撈取前季</w:t>
            </w:r>
            <w:proofErr w:type="gramEnd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資料供信用卡活動</w:t>
            </w:r>
            <w:r w:rsidR="007F6DF7" w:rsidRPr="00A56EF8">
              <w:rPr>
                <w:rFonts w:ascii="Arial" w:eastAsia="標楷體" w:hAnsi="Arial" w:cs="Arial" w:hint="eastAsia"/>
                <w:sz w:val="26"/>
                <w:szCs w:val="26"/>
              </w:rPr>
              <w:t>成效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分析與後續推廣規劃，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F05C7D" w:rsidRPr="00A56EF8">
              <w:rPr>
                <w:rFonts w:ascii="Arial" w:eastAsia="標楷體" w:hAnsi="Arial" w:cs="Arial" w:hint="eastAsia"/>
                <w:sz w:val="26"/>
                <w:szCs w:val="26"/>
              </w:rPr>
              <w:t>提出權限申請，已於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開通。</w:t>
            </w:r>
          </w:p>
          <w:p w:rsidR="00F05C7D" w:rsidRPr="00116241" w:rsidRDefault="00F05C7D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E348FC">
              <w:rPr>
                <w:rFonts w:ascii="Arial" w:eastAsia="標楷體" w:hAnsi="Arial" w:cs="Arial"/>
                <w:sz w:val="26"/>
                <w:szCs w:val="26"/>
              </w:rPr>
              <w:t>O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pview</w:t>
            </w:r>
            <w:proofErr w:type="spellEnd"/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平台查詢作業異常：經查詢系統記錄與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加開臨時站台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測試，初步排除站台程式錯誤，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2/18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請資訊處確認網管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設定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權限。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2/19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通知各</w:t>
            </w:r>
            <w:r w:rsidR="004615E3" w:rsidRPr="00116241">
              <w:rPr>
                <w:rFonts w:ascii="Arial" w:eastAsia="標楷體" w:hAnsi="Arial" w:cs="Arial" w:hint="eastAsia"/>
                <w:sz w:val="26"/>
                <w:szCs w:val="26"/>
              </w:rPr>
              <w:t>子公司確認網管機制。</w:t>
            </w:r>
          </w:p>
          <w:p w:rsidR="00A67AC2" w:rsidRPr="00116241" w:rsidRDefault="00A67AC2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</w:t>
            </w:r>
            <w:r w:rsidRPr="00116241">
              <w:rPr>
                <w:rFonts w:ascii="Arial" w:eastAsia="標楷體" w:hAnsi="Arial" w:cs="Arial"/>
                <w:kern w:val="0"/>
                <w:sz w:val="26"/>
                <w:szCs w:val="26"/>
              </w:rPr>
              <w:t>2/22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銀行輿情危機事件，撈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取貼文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資料供銀行參考。</w:t>
            </w:r>
          </w:p>
          <w:p w:rsidR="00AC5041" w:rsidRPr="00116241" w:rsidRDefault="00AC5041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配合產險組織異動，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完成調整企劃部平台權限相關設定。</w:t>
            </w:r>
          </w:p>
          <w:p w:rsidR="00A92CF5" w:rsidRPr="003E2CE4" w:rsidRDefault="003046B8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3/13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電競主題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關鍵字已重設，未來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一週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持續進行雜訊類型整理</w:t>
            </w: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與排除。</w:t>
            </w:r>
          </w:p>
          <w:p w:rsidR="004F2F3C" w:rsidRPr="00A92CF5" w:rsidRDefault="00BA4761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平台教育訓練課程</w:t>
            </w: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</w:t>
            </w:r>
            <w:r w:rsidR="004F2F3C"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</w:t>
            </w:r>
            <w:r w:rsidR="004F2F3C"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5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：新增銀行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人，</w:t>
            </w:r>
            <w:r w:rsidR="006B2144"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參加人數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共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</w:t>
            </w:r>
            <w:r w:rsidRPr="00EA3EF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人。</w:t>
            </w:r>
          </w:p>
        </w:tc>
      </w:tr>
      <w:tr w:rsidR="006A664B" w:rsidTr="00F629FC">
        <w:trPr>
          <w:trHeight w:val="3115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629FC" w:rsidRPr="00F629FC" w:rsidRDefault="004E1BE5" w:rsidP="00F629FC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月份會議時間：</w:t>
            </w:r>
            <w:r w:rsidRPr="000E68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5/21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F629FC" w:rsidRPr="00F629FC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F629FC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F629FC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F629FC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F629FC" w:rsidRPr="00F629FC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/</w:t>
                  </w: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人壽</w:t>
                  </w:r>
                </w:p>
              </w:tc>
            </w:tr>
            <w:tr w:rsidR="00F629FC" w:rsidRPr="00F629FC" w:rsidTr="00F629FC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widowControl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盈利雙年改版、</w:t>
                  </w: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GMDB</w:t>
                  </w: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商品改版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</w:tr>
            <w:tr w:rsidR="00F629FC" w:rsidRPr="00F629FC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widowControl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待回覆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F629FC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F629F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人壽</w:t>
                  </w:r>
                </w:p>
              </w:tc>
            </w:tr>
          </w:tbl>
          <w:p w:rsidR="00F629FC" w:rsidRPr="004E1BE5" w:rsidRDefault="00F629FC" w:rsidP="00F629FC">
            <w:pPr>
              <w:pStyle w:val="a4"/>
              <w:widowControl/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4/22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116241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4/25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BE3017" w:rsidTr="005E5973">
        <w:tc>
          <w:tcPr>
            <w:tcW w:w="510" w:type="dxa"/>
            <w:vAlign w:val="center"/>
          </w:tcPr>
          <w:p w:rsidR="00BE3017" w:rsidRPr="003E453E" w:rsidRDefault="00BE301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CE458A" w:rsidRDefault="00CE458A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CE458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中華信評問卷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填寫</w:t>
            </w:r>
          </w:p>
          <w:p w:rsidR="00BE3017" w:rsidRDefault="00BE301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BE3017" w:rsidRPr="00CE458A" w:rsidRDefault="00CE458A" w:rsidP="00CE458A">
            <w:pPr>
              <w:widowControl/>
              <w:spacing w:line="440" w:lineRule="exact"/>
              <w:ind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CE45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5/3</w:t>
            </w:r>
            <w:r w:rsidRPr="00CE45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已交財務處。</w:t>
            </w:r>
          </w:p>
        </w:tc>
      </w:tr>
      <w:tr w:rsidR="00101407" w:rsidTr="005E5973">
        <w:tc>
          <w:tcPr>
            <w:tcW w:w="510" w:type="dxa"/>
            <w:vAlign w:val="center"/>
          </w:tcPr>
          <w:p w:rsidR="00101407" w:rsidRPr="003E453E" w:rsidRDefault="0010140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101407" w:rsidRPr="00101407" w:rsidRDefault="0010140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01407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個人資料盤點及評估作業</w:t>
            </w:r>
          </w:p>
          <w:p w:rsidR="00101407" w:rsidRPr="00CE458A" w:rsidRDefault="0010140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101407" w:rsidRDefault="00101407" w:rsidP="00101407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作業期間：至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108/5/31</w:t>
            </w:r>
          </w:p>
          <w:p w:rsidR="00101407" w:rsidRDefault="00D56DC3" w:rsidP="00101407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盤點作業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簽核至處長</w:t>
            </w:r>
            <w:proofErr w:type="gramEnd"/>
          </w:p>
          <w:p w:rsidR="00101407" w:rsidRDefault="00101407" w:rsidP="00101407">
            <w:pPr>
              <w:pStyle w:val="a4"/>
              <w:widowControl/>
              <w:numPr>
                <w:ilvl w:val="1"/>
                <w:numId w:val="4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個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資檔案清冊</w:t>
            </w:r>
          </w:p>
          <w:p w:rsidR="00101407" w:rsidRDefault="00101407" w:rsidP="00101407">
            <w:pPr>
              <w:pStyle w:val="a4"/>
              <w:widowControl/>
              <w:numPr>
                <w:ilvl w:val="1"/>
                <w:numId w:val="4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器業資訊流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概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覽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圖</w:t>
            </w:r>
          </w:p>
          <w:p w:rsidR="00101407" w:rsidRPr="00101407" w:rsidRDefault="00101407" w:rsidP="00101407">
            <w:pPr>
              <w:pStyle w:val="a4"/>
              <w:widowControl/>
              <w:numPr>
                <w:ilvl w:val="1"/>
                <w:numId w:val="4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個人資料管理衝擊分析調查表</w:t>
            </w:r>
          </w:p>
        </w:tc>
      </w:tr>
      <w:tr w:rsidR="00C06014" w:rsidTr="005E5973">
        <w:tc>
          <w:tcPr>
            <w:tcW w:w="510" w:type="dxa"/>
            <w:vAlign w:val="center"/>
          </w:tcPr>
          <w:p w:rsidR="00C06014" w:rsidRPr="003E453E" w:rsidRDefault="00C0601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C06014" w:rsidRDefault="00C06014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13DDC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建立單位法</w:t>
            </w:r>
            <w:proofErr w:type="gramStart"/>
            <w:r w:rsidRPr="00213DDC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遵</w:t>
            </w:r>
            <w:proofErr w:type="gramEnd"/>
            <w:r w:rsidRPr="00213DDC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主管之代理人</w:t>
            </w:r>
          </w:p>
        </w:tc>
        <w:tc>
          <w:tcPr>
            <w:tcW w:w="8826" w:type="dxa"/>
            <w:vAlign w:val="center"/>
          </w:tcPr>
          <w:p w:rsidR="00C06014" w:rsidRDefault="00C06014" w:rsidP="00C06014">
            <w:pPr>
              <w:pStyle w:val="a4"/>
              <w:widowControl/>
              <w:numPr>
                <w:ilvl w:val="0"/>
                <w:numId w:val="41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法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遵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主管代理人：</w:t>
            </w:r>
            <w:r w:rsidR="00213D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曾芷儀</w:t>
            </w:r>
          </w:p>
          <w:p w:rsidR="00C06014" w:rsidRDefault="00C06014" w:rsidP="00C06014">
            <w:pPr>
              <w:pStyle w:val="a4"/>
              <w:widowControl/>
              <w:numPr>
                <w:ilvl w:val="0"/>
                <w:numId w:val="41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法令遵循主管資格之「單位法令遵循主管」，資格條件之</w:t>
            </w:r>
            <w:proofErr w:type="gramStart"/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一</w:t>
            </w:r>
            <w:proofErr w:type="gramEnd"/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: </w:t>
            </w:r>
          </w:p>
          <w:p w:rsidR="00C06014" w:rsidRDefault="00C06014" w:rsidP="00C06014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曾任金融機構法令遵循人員或主管，合計滿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年者。</w:t>
            </w:r>
          </w:p>
          <w:p w:rsidR="00C06014" w:rsidRDefault="00C06014" w:rsidP="00C06014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參加主管機關認定機構所舉辦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小時以上課程，且經考試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 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格且取得結業證書；並每年須參加至少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15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小時法令遵循相關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 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教育訓練。</w:t>
            </w:r>
          </w:p>
          <w:p w:rsidR="00C06014" w:rsidRPr="00C06014" w:rsidRDefault="00C06014" w:rsidP="00C06014">
            <w:pPr>
              <w:pStyle w:val="a4"/>
              <w:widowControl/>
              <w:numPr>
                <w:ilvl w:val="0"/>
                <w:numId w:val="41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法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遵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舉辦相關課程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法令遵循主管及其代理人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應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一併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參與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，以利累計至少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15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小時教育訓練。</w:t>
            </w:r>
            <w:r w:rsidRPr="00C060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 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D23133" w:rsidRPr="00996CB0" w:rsidRDefault="00D23133" w:rsidP="006951DD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D23133" w:rsidRDefault="00D23133" w:rsidP="006951DD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96CB0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23133" w:rsidRPr="00734ED9" w:rsidRDefault="00D23133" w:rsidP="006951DD">
            <w:pPr>
              <w:pStyle w:val="a4"/>
              <w:widowControl/>
              <w:numPr>
                <w:ilvl w:val="1"/>
                <w:numId w:val="4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電話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話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QA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因國壽法務修改部份文字，已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會金控法務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審閱。</w:t>
            </w:r>
          </w:p>
          <w:p w:rsidR="00D23133" w:rsidRPr="0060468C" w:rsidRDefault="00D23133" w:rsidP="006951DD">
            <w:pPr>
              <w:pStyle w:val="a4"/>
              <w:widowControl/>
              <w:numPr>
                <w:ilvl w:val="1"/>
                <w:numId w:val="4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361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需求申請書</w:t>
            </w:r>
            <w:r w:rsidR="00936144" w:rsidRPr="009361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到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國泰</w:t>
            </w:r>
            <w:proofErr w:type="gramStart"/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世</w:t>
            </w:r>
            <w:proofErr w:type="gramEnd"/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華銀行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60468C" w:rsidRP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數據管理科</w:t>
            </w:r>
            <w:r w:rsidR="006046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蔡妙鈴。</w:t>
            </w:r>
          </w:p>
          <w:p w:rsidR="00D23133" w:rsidRPr="00734ED9" w:rsidRDefault="00D23133" w:rsidP="006951DD">
            <w:pPr>
              <w:pStyle w:val="a4"/>
              <w:widowControl/>
              <w:numPr>
                <w:ilvl w:val="2"/>
                <w:numId w:val="4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篩選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25~45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歲本國人</w:t>
            </w:r>
            <w:proofErr w:type="gramStart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且核卡日</w:t>
            </w:r>
            <w:proofErr w:type="gramEnd"/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在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2015/8/29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後，每月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20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日下傳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10000</w:t>
            </w: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筆資料給國壽。</w:t>
            </w:r>
          </w:p>
          <w:p w:rsidR="00D23133" w:rsidRPr="001C1818" w:rsidRDefault="00D23133" w:rsidP="006951DD">
            <w:pPr>
              <w:pStyle w:val="a4"/>
              <w:widowControl/>
              <w:numPr>
                <w:ilvl w:val="2"/>
                <w:numId w:val="4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734ED9">
              <w:rPr>
                <w:rFonts w:ascii="Arial" w:eastAsia="標楷體" w:hAnsi="Arial" w:cs="Arial" w:hint="eastAsia"/>
                <w:sz w:val="26"/>
                <w:szCs w:val="26"/>
              </w:rPr>
              <w:t>欄位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ID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、姓名、性別、生日、郵遞區號、地址、手機、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ema</w:t>
            </w:r>
            <w:r w:rsidR="00750AB5">
              <w:rPr>
                <w:rFonts w:ascii="Arial" w:eastAsia="標楷體" w:hAnsi="Arial" w:cs="Arial" w:hint="eastAsia"/>
                <w:sz w:val="26"/>
                <w:szCs w:val="26"/>
              </w:rPr>
              <w:t>i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、公司電話、家裡電話。</w:t>
            </w:r>
          </w:p>
          <w:p w:rsidR="00734ED9" w:rsidRPr="001C1818" w:rsidRDefault="00734ED9" w:rsidP="006951DD">
            <w:pPr>
              <w:pStyle w:val="a4"/>
              <w:widowControl/>
              <w:numPr>
                <w:ilvl w:val="2"/>
                <w:numId w:val="43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除核卡日</w:t>
            </w:r>
            <w:proofErr w:type="gramEnd"/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條件為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2016/4/1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，另外排除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2016/4</w:t>
            </w:r>
            <w:r w:rsidRPr="001C1818">
              <w:rPr>
                <w:rFonts w:ascii="Arial" w:eastAsia="標楷體" w:hAnsi="Arial" w:cs="Arial" w:hint="eastAsia"/>
                <w:sz w:val="26"/>
                <w:szCs w:val="26"/>
              </w:rPr>
              <w:t>前的申請書版本。</w:t>
            </w:r>
          </w:p>
          <w:p w:rsidR="004B48FB" w:rsidRPr="00AA3DA1" w:rsidRDefault="003518C7" w:rsidP="006951DD">
            <w:pPr>
              <w:pStyle w:val="a4"/>
              <w:widowControl/>
              <w:numPr>
                <w:ilvl w:val="1"/>
                <w:numId w:val="4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18C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資料交互運用同意權狀態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申請書已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至金控資訊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處。</w:t>
            </w:r>
            <w:r w:rsid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翁處長意見：</w:t>
            </w:r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申請欄位應包括客戶嗣後退出共同行銷之資訊</w:t>
            </w:r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惟應由</w:t>
            </w:r>
            <w:proofErr w:type="gramStart"/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金控彙</w:t>
            </w:r>
            <w:proofErr w:type="gramEnd"/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整提供，不得指明客戶是經由哪一家公司表示退出</w:t>
            </w:r>
            <w:r w:rsidR="000B581E" w:rsidRPr="000B58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4B48FB" w:rsidRPr="00AA3D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7C11CC" w:rsidRPr="00630595" w:rsidRDefault="004B48FB" w:rsidP="006951DD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話術部分，法務室審閱中：</w:t>
            </w:r>
          </w:p>
          <w:p w:rsidR="0060468C" w:rsidRPr="00630595" w:rsidRDefault="0060468C" w:rsidP="006951DD">
            <w:pPr>
              <w:pStyle w:val="a4"/>
              <w:widowControl/>
              <w:numPr>
                <w:ilvl w:val="1"/>
                <w:numId w:val="4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銀行</w:t>
            </w:r>
            <w:r w:rsidR="00F23BAD" w:rsidRPr="00630595">
              <w:rPr>
                <w:rFonts w:ascii="Arial" w:eastAsia="標楷體" w:hAnsi="Arial" w:cs="Arial" w:hint="eastAsia"/>
                <w:sz w:val="26"/>
                <w:szCs w:val="26"/>
              </w:rPr>
              <w:t>客服：</w:t>
            </w: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原則上</w:t>
            </w:r>
            <w:r w:rsidR="00F23BAD" w:rsidRPr="00630595">
              <w:rPr>
                <w:rFonts w:ascii="Arial" w:eastAsia="標楷體" w:hAnsi="Arial" w:cs="Arial" w:hint="eastAsia"/>
                <w:sz w:val="26"/>
                <w:szCs w:val="26"/>
              </w:rPr>
              <w:t>只要</w:t>
            </w:r>
            <w:proofErr w:type="gramStart"/>
            <w:r w:rsidR="00F23BAD" w:rsidRPr="00630595">
              <w:rPr>
                <w:rFonts w:ascii="Arial" w:eastAsia="標楷體" w:hAnsi="Arial" w:cs="Arial" w:hint="eastAsia"/>
                <w:sz w:val="26"/>
                <w:szCs w:val="26"/>
              </w:rPr>
              <w:t>客戶進線</w:t>
            </w:r>
            <w:proofErr w:type="gramEnd"/>
            <w:r w:rsidR="00F23BAD" w:rsidRPr="00630595">
              <w:rPr>
                <w:rFonts w:ascii="Arial" w:eastAsia="標楷體" w:hAnsi="Arial" w:cs="Arial" w:hint="eastAsia"/>
                <w:sz w:val="26"/>
                <w:szCs w:val="26"/>
              </w:rPr>
              <w:t>，即通報排除共銷。</w:t>
            </w:r>
          </w:p>
          <w:p w:rsidR="00F23BAD" w:rsidRPr="00630595" w:rsidRDefault="00F23BAD" w:rsidP="006951DD">
            <w:pPr>
              <w:pStyle w:val="a4"/>
              <w:widowControl/>
              <w:numPr>
                <w:ilvl w:val="1"/>
                <w:numId w:val="4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人壽客服：分辨為排除銀行或排除人壽之後再進行通報。</w:t>
            </w:r>
          </w:p>
          <w:p w:rsidR="00F23BAD" w:rsidRPr="00936144" w:rsidRDefault="00F23BAD" w:rsidP="006951DD">
            <w:pPr>
              <w:pStyle w:val="a4"/>
              <w:widowControl/>
              <w:numPr>
                <w:ilvl w:val="1"/>
                <w:numId w:val="4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建議保留現行銀行、人壽各自做法，請法務室針對之前提供人壽法務看過的版本修訂，以提供人壽客服及</w:t>
            </w: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TMR</w:t>
            </w:r>
            <w:r w:rsidRPr="00630595">
              <w:rPr>
                <w:rFonts w:ascii="Arial" w:eastAsia="標楷體" w:hAnsi="Arial" w:cs="Arial" w:hint="eastAsia"/>
                <w:sz w:val="26"/>
                <w:szCs w:val="26"/>
              </w:rPr>
              <w:t>話術。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C06014">
            <w:pPr>
              <w:pStyle w:val="a4"/>
              <w:widowControl/>
              <w:numPr>
                <w:ilvl w:val="0"/>
                <w:numId w:val="3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C06014">
            <w:pPr>
              <w:pStyle w:val="a4"/>
              <w:widowControl/>
              <w:numPr>
                <w:ilvl w:val="0"/>
                <w:numId w:val="31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C06014">
            <w:pPr>
              <w:pStyle w:val="a4"/>
              <w:widowControl/>
              <w:numPr>
                <w:ilvl w:val="0"/>
                <w:numId w:val="23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C06014">
            <w:pPr>
              <w:pStyle w:val="a4"/>
              <w:widowControl/>
              <w:numPr>
                <w:ilvl w:val="0"/>
                <w:numId w:val="25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C06014">
            <w:pPr>
              <w:pStyle w:val="a4"/>
              <w:numPr>
                <w:ilvl w:val="0"/>
                <w:numId w:val="28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C06014">
            <w:pPr>
              <w:pStyle w:val="a4"/>
              <w:numPr>
                <w:ilvl w:val="0"/>
                <w:numId w:val="28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C6758C" w:rsidRDefault="00E72B86" w:rsidP="00C06014">
            <w:pPr>
              <w:pStyle w:val="a4"/>
              <w:numPr>
                <w:ilvl w:val="0"/>
                <w:numId w:val="28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E22CC1" w:rsidRPr="00E22CC1" w:rsidRDefault="00C6758C" w:rsidP="00C06014">
            <w:pPr>
              <w:pStyle w:val="a4"/>
              <w:numPr>
                <w:ilvl w:val="0"/>
                <w:numId w:val="28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</w:t>
            </w:r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proofErr w:type="gramStart"/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="00403D29"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A25AB1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第一次調整分析大綱以及資料範圍界定，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="00C43436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</w:t>
            </w:r>
            <w:r w:rsidR="00403D2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資料範圍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確認。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分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報告內容，預定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035A0D" w:rsidRPr="00EA0647" w:rsidRDefault="00E22CC1" w:rsidP="00C06014">
            <w:pPr>
              <w:pStyle w:val="a4"/>
              <w:numPr>
                <w:ilvl w:val="0"/>
                <w:numId w:val="28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ayout w:type="fixed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7A3EA9" w:rsidRPr="000E68F1" w:rsidRDefault="006F73E2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035A0D" w:rsidRPr="00EA0647" w:rsidRDefault="002D0428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</w:t>
                  </w:r>
                  <w:r w:rsidR="00EB0134"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035A0D" w:rsidRPr="00EA0647" w:rsidRDefault="00DC316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035A0D" w:rsidRDefault="003E2CE4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4/26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E72B86" w:rsidRPr="00053D7D" w:rsidRDefault="00E72B86" w:rsidP="00C06014">
            <w:pPr>
              <w:pStyle w:val="a4"/>
              <w:widowControl/>
              <w:numPr>
                <w:ilvl w:val="0"/>
                <w:numId w:val="25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="008D3502"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正式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提案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，惟考量成本效益，將</w:t>
            </w:r>
            <w:proofErr w:type="gramStart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EF3780" w:rsidRPr="00506A8F" w:rsidRDefault="00455D13" w:rsidP="00C06014">
            <w:pPr>
              <w:pStyle w:val="a4"/>
              <w:widowControl/>
              <w:numPr>
                <w:ilvl w:val="0"/>
                <w:numId w:val="23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市調進度</w:t>
            </w:r>
            <w:r w:rsidRPr="009528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="001C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簽呈已完簽，並</w:t>
            </w:r>
            <w:bookmarkStart w:id="0" w:name="_GoBack"/>
            <w:bookmarkEnd w:id="0"/>
            <w:r w:rsidR="002C0B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議價完成，尼爾森將以稅後</w:t>
            </w:r>
            <w:r w:rsidR="002C0B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860,000</w:t>
            </w:r>
            <w:r w:rsidR="001C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承接，合約法務調整中，另將於</w:t>
            </w:r>
            <w:r w:rsidR="001C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5/9</w:t>
            </w:r>
            <w:r w:rsidR="001C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內部討論相關執行細節及分工。</w:t>
            </w:r>
          </w:p>
        </w:tc>
      </w:tr>
      <w:tr w:rsidR="00D90F32" w:rsidTr="007E5A87">
        <w:trPr>
          <w:trHeight w:val="3521"/>
        </w:trPr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Pr="00BB0CE3" w:rsidRDefault="00D90F32" w:rsidP="00C06014">
            <w:pPr>
              <w:numPr>
                <w:ilvl w:val="0"/>
                <w:numId w:val="20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E6D9B" w:rsidRPr="00BB0CE3" w:rsidRDefault="00D90F32" w:rsidP="00C06014">
            <w:pPr>
              <w:numPr>
                <w:ilvl w:val="0"/>
                <w:numId w:val="20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E6D9B" w:rsidRPr="00BB0CE3" w:rsidRDefault="00DE6D9B" w:rsidP="00C06014">
            <w:pPr>
              <w:pStyle w:val="a4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人壽：目前將著重於場站合作，並進行小量的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專案，含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括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洗車服務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土城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、門禁服務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調整為信義經貿大樓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E6D9B" w:rsidRPr="00BB0CE3" w:rsidRDefault="00DE6D9B" w:rsidP="00C06014">
            <w:pPr>
              <w:pStyle w:val="a4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國泰優惠服務：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爾提出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可針對案場費率提供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折優惠，惟後續使用情境尚在規劃中。</w:t>
            </w:r>
          </w:p>
          <w:p w:rsidR="00D90F32" w:rsidRPr="00BB0CE3" w:rsidRDefault="00E3038A" w:rsidP="00C06014">
            <w:pPr>
              <w:pStyle w:val="a4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數數發專案：</w:t>
            </w:r>
            <w:r w:rsidR="00D7016E"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新型態商業發展科目前正規劃產險轉型專案，原</w:t>
            </w:r>
            <w:r w:rsidR="00D7016E" w:rsidRPr="00BB0CE3">
              <w:rPr>
                <w:rFonts w:ascii="Arial" w:eastAsia="標楷體" w:hAnsi="Arial" w:cs="Arial" w:hint="eastAsia"/>
                <w:sz w:val="26"/>
                <w:szCs w:val="26"/>
              </w:rPr>
              <w:t>車主心服務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將納入專案規劃</w:t>
            </w:r>
            <w:r w:rsidR="00D7016E" w:rsidRPr="00BB0CE3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近期</w:t>
            </w:r>
            <w:r w:rsidR="00DD0121" w:rsidRPr="00BB0CE3">
              <w:rPr>
                <w:rFonts w:ascii="Arial" w:eastAsia="標楷體" w:hAnsi="Arial" w:cs="Arial" w:hint="eastAsia"/>
                <w:sz w:val="26"/>
                <w:szCs w:val="26"/>
              </w:rPr>
              <w:t>評估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gramStart"/>
            <w:r w:rsidR="00DD0121" w:rsidRPr="00BB0CE3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="00DD0121" w:rsidRPr="00BB0CE3">
              <w:rPr>
                <w:rFonts w:ascii="Arial" w:eastAsia="標楷體" w:hAnsi="Arial" w:cs="Arial" w:hint="eastAsia"/>
                <w:sz w:val="26"/>
                <w:szCs w:val="26"/>
              </w:rPr>
              <w:t>爾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合作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API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串接之</w:t>
            </w:r>
            <w:r w:rsidR="00DD0121" w:rsidRPr="00BB0CE3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專案，尚在規劃中。</w:t>
            </w:r>
          </w:p>
        </w:tc>
      </w:tr>
      <w:tr w:rsidR="004A5529" w:rsidTr="000806B2">
        <w:trPr>
          <w:trHeight w:val="7936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Default="004A5529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1D4601" w:rsidRPr="0019368D" w:rsidRDefault="001D4601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C06014">
            <w:pPr>
              <w:numPr>
                <w:ilvl w:val="0"/>
                <w:numId w:val="24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4A5529" w:rsidRPr="0076561D" w:rsidRDefault="004A5529" w:rsidP="00C06014">
            <w:pPr>
              <w:numPr>
                <w:ilvl w:val="0"/>
                <w:numId w:val="21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6A2487">
              <w:rPr>
                <w:rFonts w:ascii="Arial" w:eastAsia="標楷體" w:hAnsi="Arial" w:cs="Arial"/>
                <w:sz w:val="26"/>
                <w:szCs w:val="26"/>
              </w:rPr>
              <w:t>108</w:t>
            </w:r>
            <w:proofErr w:type="gramEnd"/>
            <w:r w:rsidRPr="006A2487">
              <w:rPr>
                <w:rFonts w:ascii="Arial" w:eastAsia="標楷體" w:hAnsi="Arial" w:cs="Arial" w:hint="eastAsia"/>
                <w:sz w:val="26"/>
                <w:szCs w:val="26"/>
              </w:rPr>
              <w:t>年度贊助內容規劃：</w:t>
            </w:r>
            <w:r w:rsidR="00EE7AD6" w:rsidRPr="0076561D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tblInd w:w="4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6270"/>
            </w:tblGrid>
            <w:tr w:rsidR="004A5529" w:rsidRPr="004A5529" w:rsidTr="00DB489E">
              <w:trPr>
                <w:trHeight w:val="393"/>
              </w:trPr>
              <w:tc>
                <w:tcPr>
                  <w:tcW w:w="1843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EE7AD6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EE7AD6" w:rsidRPr="00D42C56" w:rsidRDefault="00EE7AD6" w:rsidP="00D12B6B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spell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Gastromonth</w:t>
                  </w:r>
                  <w:proofErr w:type="spellEnd"/>
                </w:p>
              </w:tc>
              <w:tc>
                <w:tcPr>
                  <w:tcW w:w="6270" w:type="dxa"/>
                  <w:shd w:val="clear" w:color="auto" w:fill="auto"/>
                </w:tcPr>
                <w:p w:rsidR="00BB0CE3" w:rsidRPr="001E67DC" w:rsidRDefault="00EE7AD6" w:rsidP="00BB0CE3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同意除持</w:t>
                  </w:r>
                  <w:r w:rsidR="001C363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票之國泰客戶可享有優先訂位外，將開放給國泰信用卡享有優先</w:t>
                  </w:r>
                  <w:proofErr w:type="gramStart"/>
                  <w:r w:rsidR="001C363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訂位權</w:t>
                  </w:r>
                  <w:proofErr w:type="gramEnd"/>
                  <w:r w:rsidRPr="00FE4B3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1C363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原訂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國泰優惠於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月中下旬舉辦客戶抽獎活動，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然因主視覺資料延至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5/8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提供，故相關</w:t>
                  </w:r>
                  <w:r w:rsidR="00BB0CE3"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活動規劃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將順延，並待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回覆是否可於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6/17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前提前曝光，待確認後將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booking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集團內</w:t>
                  </w:r>
                  <w:r w:rsidR="00BB0CE3"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廣宣管道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，並</w:t>
                  </w:r>
                  <w:r w:rsidR="00BB0CE3"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製作後續網頁及</w:t>
                  </w:r>
                  <w:r w:rsidR="00BB0CE3"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banner</w:t>
                  </w:r>
                  <w:r w:rsidR="00BB0CE3"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  <w:p w:rsidR="00BB0CE3" w:rsidRPr="001E67DC" w:rsidRDefault="00BB0CE3" w:rsidP="00C06014">
                  <w:pPr>
                    <w:pStyle w:val="a4"/>
                    <w:numPr>
                      <w:ilvl w:val="1"/>
                      <w:numId w:val="23"/>
                    </w:numPr>
                    <w:ind w:leftChars="15" w:left="317" w:hangingChars="108" w:hanging="281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E67DC">
                    <w:rPr>
                      <w:rFonts w:ascii="Arial" w:eastAsia="標楷體" w:hAnsi="Arial" w:cs="Arial" w:hint="eastAsia"/>
                      <w:b/>
                      <w:color w:val="FF0000"/>
                      <w:sz w:val="26"/>
                      <w:szCs w:val="26"/>
                    </w:rPr>
                    <w:t>必比登美食節：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5/17~5/26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於國泰優惠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App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「必比登美食活動」網頁留言你的工作地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+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曬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出附近小吃，就有機會抽免費「跑跑腿外送服務」。</w:t>
                  </w:r>
                </w:p>
                <w:p w:rsidR="00BB0CE3" w:rsidRPr="001E67DC" w:rsidRDefault="00BB0CE3" w:rsidP="00C06014">
                  <w:pPr>
                    <w:pStyle w:val="a4"/>
                    <w:numPr>
                      <w:ilvl w:val="1"/>
                      <w:numId w:val="23"/>
                    </w:numPr>
                    <w:ind w:leftChars="15" w:left="317" w:hangingChars="108" w:hanging="281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蒐集台灣美食</w:t>
                  </w:r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+</w:t>
                  </w:r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星星</w:t>
                  </w:r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抽米其</w:t>
                  </w:r>
                  <w:proofErr w:type="gramEnd"/>
                  <w:r w:rsidRPr="001E67DC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林月餐券</w:t>
                  </w:r>
                  <w:r w:rsidRPr="001E67DC">
                    <w:rPr>
                      <w:rFonts w:ascii="Arial" w:eastAsia="標楷體" w:hAnsi="Arial" w:cs="Arial" w:hint="eastAsia"/>
                      <w:b/>
                      <w:color w:val="FF0000"/>
                      <w:sz w:val="26"/>
                      <w:szCs w:val="26"/>
                    </w:rPr>
                    <w:t>：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透過『我要送禮』和別人交換美食活動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券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，集滿即可參加抽獎。</w:t>
                  </w:r>
                </w:p>
                <w:p w:rsidR="001D4601" w:rsidRPr="00BB0CE3" w:rsidRDefault="00BB0CE3" w:rsidP="00C06014">
                  <w:pPr>
                    <w:pStyle w:val="a4"/>
                    <w:numPr>
                      <w:ilvl w:val="1"/>
                      <w:numId w:val="23"/>
                    </w:numPr>
                    <w:ind w:leftChars="15" w:left="317" w:hangingChars="108" w:hanging="281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67DC">
                    <w:rPr>
                      <w:rFonts w:ascii="Arial" w:eastAsia="標楷體" w:hAnsi="Arial" w:cs="Arial" w:hint="eastAsia"/>
                      <w:b/>
                      <w:color w:val="FF0000"/>
                      <w:sz w:val="26"/>
                      <w:szCs w:val="26"/>
                    </w:rPr>
                    <w:t>米其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b/>
                      <w:color w:val="FF0000"/>
                      <w:sz w:val="26"/>
                      <w:szCs w:val="26"/>
                    </w:rPr>
                    <w:t>林集字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b/>
                      <w:color w:val="FF0000"/>
                      <w:sz w:val="26"/>
                      <w:szCs w:val="26"/>
                    </w:rPr>
                    <w:t>搖一搖：</w:t>
                  </w:r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活動期間週一搖【米】，週三搖【其】，週五搖【林】，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搖中三個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字或任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兩個字抽好禮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proofErr w:type="gramStart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即可抽擴箱</w:t>
                  </w:r>
                  <w:proofErr w:type="gramEnd"/>
                  <w:r w:rsidRPr="001E67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或指南。</w:t>
                  </w:r>
                </w:p>
              </w:tc>
            </w:tr>
            <w:tr w:rsidR="00EE7AD6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EE7AD6" w:rsidRPr="00D42C56" w:rsidRDefault="00EE7AD6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Min Gala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因財管客戶高達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 xml:space="preserve">82% 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>140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席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，故將以財管部為主，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活動日期暫訂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11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月，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回覆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相關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規劃如下：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29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受邀客群</w:t>
                  </w:r>
                  <w:proofErr w:type="gramEnd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170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人，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50~70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歲，男女各半，以大台北地區為主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29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場地：五星級飯店宴會廳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29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雙主廚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Four hands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：海外星級主廚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+ 2019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台北星級主廚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29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建議主題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: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Innovation  (40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歲以下主廚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EE7AD6" w:rsidRDefault="00EE7AD6" w:rsidP="00C06014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傳承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Generation (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第二三代主廚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EE7AD6" w:rsidRPr="00DB489E" w:rsidRDefault="00EE7AD6" w:rsidP="00C06014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已提供主廚可能名單，其他相關資訊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1C363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整理中</w:t>
                  </w:r>
                  <w:r w:rsidRPr="00506A8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</w:tr>
          </w:tbl>
          <w:p w:rsidR="004A5529" w:rsidRPr="00936770" w:rsidRDefault="004A5529" w:rsidP="00CF024D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703299" w:rsidRPr="00BD54B7" w:rsidRDefault="00703299" w:rsidP="00C06014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D54B7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="00EC1D5D" w:rsidRPr="00BD54B7">
              <w:rPr>
                <w:rFonts w:ascii="Arial" w:eastAsia="標楷體" w:hAnsi="Arial" w:cs="Arial" w:hint="eastAsia"/>
                <w:sz w:val="26"/>
                <w:szCs w:val="26"/>
              </w:rPr>
              <w:t>月會議紀錄已</w:t>
            </w:r>
            <w:r w:rsidRPr="00BD54B7">
              <w:rPr>
                <w:rFonts w:ascii="Arial" w:eastAsia="標楷體" w:hAnsi="Arial" w:cs="Arial" w:hint="eastAsia"/>
                <w:sz w:val="26"/>
                <w:szCs w:val="26"/>
              </w:rPr>
              <w:t>上簽</w:t>
            </w:r>
          </w:p>
          <w:p w:rsidR="00703299" w:rsidRPr="00EC1D5D" w:rsidRDefault="00BD54B7" w:rsidP="00C06014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正在</w:t>
            </w:r>
            <w:r w:rsidR="00703299" w:rsidRPr="00EC1D5D">
              <w:rPr>
                <w:rFonts w:ascii="Arial" w:eastAsia="標楷體" w:hAnsi="Arial" w:cs="Arial" w:hint="eastAsia"/>
                <w:sz w:val="26"/>
                <w:szCs w:val="26"/>
              </w:rPr>
              <w:t>詢問下半年議題</w:t>
            </w:r>
          </w:p>
          <w:p w:rsidR="00F116D3" w:rsidRPr="00C507C9" w:rsidRDefault="00F116D3" w:rsidP="00C06014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C507C9" w:rsidRPr="00EF6F7F" w:rsidTr="002529C3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6C187A" w:rsidRPr="00EF6F7F" w:rsidTr="002529C3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EF6F7F" w:rsidRDefault="006C187A" w:rsidP="006C187A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693BF9" w:rsidRDefault="006C187A" w:rsidP="006C187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5/29(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三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)</w:t>
                  </w:r>
                </w:p>
                <w:p w:rsidR="006C187A" w:rsidRPr="00693BF9" w:rsidRDefault="006C187A" w:rsidP="006C187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392BEB" w:rsidRDefault="006C187A" w:rsidP="006C187A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/>
                      <w:color w:val="FF0000"/>
                    </w:rPr>
                    <w:t xml:space="preserve">(1) </w:t>
                  </w:r>
                  <w:proofErr w:type="gramStart"/>
                  <w:r w:rsidR="002529C3" w:rsidRPr="00392BEB">
                    <w:rPr>
                      <w:rFonts w:ascii="Arial" w:eastAsia="標楷體" w:hAnsi="Arial" w:cs="Arial"/>
                      <w:color w:val="FF0000"/>
                    </w:rPr>
                    <w:t>銀行</w:t>
                  </w:r>
                  <w:r w:rsidR="002529C3" w:rsidRPr="00392BEB">
                    <w:rPr>
                      <w:rFonts w:ascii="Arial" w:eastAsia="標楷體" w:hAnsi="Arial" w:cs="Arial" w:hint="eastAsia"/>
                      <w:color w:val="FF0000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392BEB" w:rsidRDefault="002529C3" w:rsidP="002529C3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/>
                      <w:color w:val="FF0000"/>
                    </w:rPr>
                    <w:t>人臉</w:t>
                  </w:r>
                  <w:r w:rsidRPr="00392BEB">
                    <w:rPr>
                      <w:rFonts w:ascii="Arial" w:eastAsia="標楷體" w:hAnsi="Arial" w:cs="Arial"/>
                      <w:color w:val="FF0000"/>
                    </w:rPr>
                    <w:t>/</w:t>
                  </w:r>
                  <w:r w:rsidRPr="00392BEB">
                    <w:rPr>
                      <w:rFonts w:ascii="Arial" w:eastAsia="標楷體" w:hAnsi="Arial" w:cs="Arial"/>
                      <w:color w:val="FF0000"/>
                    </w:rPr>
                    <w:t>視訊服務介紹</w:t>
                  </w:r>
                </w:p>
              </w:tc>
            </w:tr>
            <w:tr w:rsidR="0085501E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EF6F7F" w:rsidRDefault="0085501E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693BF9" w:rsidRDefault="0085501E" w:rsidP="000E1391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A215E" w:rsidRPr="00392BEB" w:rsidRDefault="009A215E" w:rsidP="009A215E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(2)</w:t>
                  </w:r>
                  <w:r w:rsidRPr="00392BEB">
                    <w:rPr>
                      <w:rFonts w:ascii="Arial" w:eastAsia="標楷體" w:hAnsi="Arial" w:cs="Arial"/>
                      <w:color w:val="FF0000"/>
                    </w:rPr>
                    <w:br/>
                  </w: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銀行系統開發部</w:t>
                  </w:r>
                </w:p>
                <w:p w:rsidR="009A215E" w:rsidRPr="00392BEB" w:rsidRDefault="009A215E" w:rsidP="009A215E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銀行數位資訊部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392BEB" w:rsidRDefault="009A215E" w:rsidP="002529C3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行動</w:t>
                  </w:r>
                  <w:proofErr w:type="gramStart"/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企網銀</w:t>
                  </w:r>
                  <w:proofErr w:type="gramEnd"/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APP</w:t>
                  </w: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專案</w:t>
                  </w:r>
                </w:p>
              </w:tc>
            </w:tr>
            <w:tr w:rsidR="000E1391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392BEB" w:rsidRDefault="0085501E" w:rsidP="000E1391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/>
                      <w:color w:val="FF0000"/>
                    </w:rPr>
                    <w:t>(3)</w:t>
                  </w:r>
                  <w:r w:rsidR="000E1391" w:rsidRPr="00392BEB">
                    <w:rPr>
                      <w:rFonts w:ascii="Arial" w:eastAsia="標楷體" w:hAnsi="Arial" w:cs="Arial"/>
                      <w:color w:val="FF0000"/>
                    </w:rPr>
                    <w:t xml:space="preserve"> </w:t>
                  </w:r>
                  <w:r w:rsidR="002529C3" w:rsidRPr="00392BEB">
                    <w:rPr>
                      <w:rFonts w:ascii="Arial" w:eastAsia="標楷體" w:hAnsi="Arial" w:cs="Arial"/>
                      <w:color w:val="FF0000"/>
                    </w:rPr>
                    <w:t>產險</w:t>
                  </w:r>
                  <w:r w:rsidR="002529C3" w:rsidRPr="00392BEB">
                    <w:rPr>
                      <w:rFonts w:ascii="Arial" w:eastAsia="標楷體" w:hAnsi="Arial" w:cs="Arial" w:hint="eastAsia"/>
                      <w:color w:val="FF0000"/>
                    </w:rPr>
                    <w:t>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392BEB" w:rsidRDefault="002529C3" w:rsidP="002529C3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392BEB">
                    <w:rPr>
                      <w:rFonts w:ascii="Arial" w:eastAsia="標楷體" w:hAnsi="Arial" w:cs="Arial" w:hint="eastAsia"/>
                      <w:color w:val="FF0000"/>
                    </w:rPr>
                    <w:t>學界診斷書判讀合作專案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both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(1</w:t>
                  </w:r>
                  <w:r w:rsidRPr="00EF6F7F">
                    <w:rPr>
                      <w:rFonts w:ascii="Arial" w:eastAsia="標楷體" w:hAnsi="Arial" w:cs="Arial"/>
                    </w:rPr>
                    <w:t xml:space="preserve">) </w:t>
                  </w:r>
                  <w:proofErr w:type="gramStart"/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銀行</w:t>
                  </w:r>
                  <w:r w:rsidRPr="00693BF9">
                    <w:rPr>
                      <w:rFonts w:ascii="Arial" w:eastAsia="標楷體" w:hAnsi="Arial" w:cs="Arial" w:hint="eastAsia"/>
                      <w:color w:val="000000" w:themeColor="text1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 xml:space="preserve">SSO </w:t>
                  </w:r>
                  <w:r w:rsidRPr="00693BF9">
                    <w:rPr>
                      <w:rFonts w:ascii="Arial" w:eastAsia="標楷體" w:hAnsi="Arial" w:cs="Arial"/>
                      <w:color w:val="000000" w:themeColor="text1"/>
                    </w:rPr>
                    <w:t>身分認證機制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29C3" w:rsidRDefault="002529C3" w:rsidP="002529C3">
                  <w:r>
                    <w:rPr>
                      <w:rFonts w:ascii="Arial" w:eastAsia="標楷體" w:hAnsi="Arial" w:cs="Arial" w:hint="eastAsia"/>
                    </w:rPr>
                    <w:t>(2)</w:t>
                  </w:r>
                  <w:r>
                    <w:rPr>
                      <w:rFonts w:ascii="Arial" w:eastAsia="標楷體" w:hAnsi="Arial" w:cs="Arial"/>
                    </w:rPr>
                    <w:t xml:space="preserve"> </w:t>
                  </w:r>
                  <w:r w:rsidRPr="002529C3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Default="002529C3" w:rsidP="002529C3">
                  <w:pPr>
                    <w:jc w:val="center"/>
                  </w:pPr>
                  <w:r w:rsidRPr="00F01735">
                    <w:rPr>
                      <w:rFonts w:ascii="Arial" w:eastAsia="標楷體" w:hAnsi="Arial" w:cs="Arial"/>
                    </w:rPr>
                    <w:t>CRM2.0</w:t>
                  </w:r>
                  <w:r w:rsidRPr="00F01735">
                    <w:rPr>
                      <w:rFonts w:ascii="Arial" w:eastAsia="標楷體" w:hAnsi="Arial" w:cs="Arial"/>
                    </w:rPr>
                    <w:t>專案改版規劃與執行進展</w:t>
                  </w:r>
                </w:p>
              </w:tc>
            </w:tr>
          </w:tbl>
          <w:p w:rsidR="006A664B" w:rsidRPr="00CF02DC" w:rsidRDefault="00F116D3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CF02DC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E5446A" w:rsidRPr="001261F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戰隊</w:t>
            </w:r>
            <w:r w:rsidR="00E5446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營運</w:t>
            </w:r>
          </w:p>
          <w:p w:rsidR="006A664B" w:rsidRDefault="006A664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CC265B" w:rsidRDefault="006A664B" w:rsidP="00E211F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林祐任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907757" w:rsidRDefault="00307FC7" w:rsidP="00C06014">
            <w:pPr>
              <w:widowControl/>
              <w:numPr>
                <w:ilvl w:val="0"/>
                <w:numId w:val="7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薪資及</w:t>
            </w:r>
            <w:r w:rsidR="00907757" w:rsidRPr="00907757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款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項</w:t>
            </w:r>
            <w:r w:rsidR="00907757" w:rsidRPr="00907757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907757" w:rsidRPr="00C960B5" w:rsidRDefault="007E5A87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1. </w:t>
            </w:r>
            <w:proofErr w:type="gramStart"/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小奈資遣</w:t>
            </w:r>
            <w:proofErr w:type="gramEnd"/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費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40</w:t>
            </w:r>
            <w:r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000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、宮廷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1~4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月補助款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80</w:t>
            </w:r>
            <w:r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000</w:t>
            </w:r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proofErr w:type="gramStart"/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待金控</w:t>
            </w:r>
            <w:proofErr w:type="gramEnd"/>
            <w:r w:rsidR="00C960B5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贊助西瓜皮款項匯款後撥款</w:t>
            </w:r>
            <w:r w:rsidR="00964EAC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F32481" w:rsidRDefault="00F32481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2.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宿舍傢俱總額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335,000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動工時間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號。</w:t>
            </w:r>
          </w:p>
          <w:p w:rsidR="007E5A87" w:rsidRDefault="00F32481" w:rsidP="0090775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3.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家電總額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237</w:t>
            </w:r>
            <w:r w:rsidR="007E5A87" w:rsidRPr="00C960B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,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387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5/3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前陸續到貨</w:t>
            </w:r>
            <w:r w:rsidR="007E5A87" w:rsidRPr="00C960B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E04CF1" w:rsidRPr="00F32481" w:rsidRDefault="00F32481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</w:t>
            </w:r>
            <w:r w:rsidR="007E5A87"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.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五木媒體費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142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含稅</w:t>
            </w:r>
            <w:r w:rsidR="00E04CF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 w:rsidR="007E5A87"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3963F3" w:rsidRPr="004322A7" w:rsidRDefault="007E5A87" w:rsidP="00C06014">
            <w:pPr>
              <w:widowControl/>
              <w:numPr>
                <w:ilvl w:val="0"/>
                <w:numId w:val="7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戰隊獎金</w:t>
            </w:r>
            <w:r w:rsidR="00C16C22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4322A7" w:rsidRPr="00F32481" w:rsidRDefault="004322A7" w:rsidP="004322A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新版獎金架構表已於</w:t>
            </w: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4/17</w:t>
            </w:r>
            <w:r w:rsidRPr="00F3248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寄出給相關人員。</w:t>
            </w:r>
          </w:p>
          <w:tbl>
            <w:tblPr>
              <w:tblW w:w="0" w:type="auto"/>
              <w:tblInd w:w="1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0"/>
              <w:gridCol w:w="2410"/>
              <w:gridCol w:w="2693"/>
            </w:tblGrid>
            <w:tr w:rsidR="007E5A87" w:rsidRPr="00F32481" w:rsidTr="007E5A87">
              <w:trPr>
                <w:trHeight w:val="393"/>
              </w:trPr>
              <w:tc>
                <w:tcPr>
                  <w:tcW w:w="3260" w:type="dxa"/>
                  <w:shd w:val="clear" w:color="auto" w:fill="auto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發放項目</w:t>
                  </w:r>
                </w:p>
              </w:tc>
              <w:tc>
                <w:tcPr>
                  <w:tcW w:w="2410" w:type="dxa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選手領獎金額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/6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人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教練團領獎金額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/3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人</w:t>
                  </w:r>
                </w:p>
              </w:tc>
            </w:tr>
            <w:tr w:rsidR="007E5A87" w:rsidRPr="00F32481" w:rsidTr="007E5A8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F32481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第二輪賽事結算第三名</w:t>
                  </w:r>
                </w:p>
              </w:tc>
              <w:tc>
                <w:tcPr>
                  <w:tcW w:w="2410" w:type="dxa"/>
                </w:tcPr>
                <w:p w:rsidR="007E5A87" w:rsidRPr="00F32481" w:rsidRDefault="007E5A87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60</w:t>
                  </w:r>
                  <w:r w:rsidRPr="00F32481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t>,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000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F32481" w:rsidRDefault="007E5A87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F32481"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  <w:t>,</w:t>
                  </w:r>
                  <w:r w:rsidRPr="00F32481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000</w:t>
                  </w:r>
                </w:p>
              </w:tc>
            </w:tr>
            <w:tr w:rsidR="007E5A87" w:rsidRPr="004A5529" w:rsidTr="007E5A8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0674B7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績效獎金</w:t>
                  </w: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-</w:t>
                  </w: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取得季後賽資格</w:t>
                  </w:r>
                </w:p>
              </w:tc>
              <w:tc>
                <w:tcPr>
                  <w:tcW w:w="2410" w:type="dxa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6</w:t>
                  </w:r>
                  <w:r w:rsidR="007E5A8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</w:t>
                  </w:r>
                  <w:r w:rsidR="007E5A87" w:rsidRPr="000674B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,000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 w:rsidR="007E5A8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0,000</w:t>
                  </w:r>
                </w:p>
              </w:tc>
            </w:tr>
            <w:tr w:rsidR="007E5A87" w:rsidRPr="004A5529" w:rsidTr="000674B7">
              <w:trPr>
                <w:trHeight w:val="408"/>
              </w:trPr>
              <w:tc>
                <w:tcPr>
                  <w:tcW w:w="3260" w:type="dxa"/>
                  <w:shd w:val="clear" w:color="auto" w:fill="auto"/>
                  <w:vAlign w:val="center"/>
                </w:tcPr>
                <w:p w:rsidR="007E5A87" w:rsidRPr="000674B7" w:rsidRDefault="007E5A87" w:rsidP="007E5A87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總計</w:t>
                  </w:r>
                </w:p>
              </w:tc>
              <w:tc>
                <w:tcPr>
                  <w:tcW w:w="5103" w:type="dxa"/>
                  <w:gridSpan w:val="2"/>
                </w:tcPr>
                <w:p w:rsidR="007E5A87" w:rsidRPr="000674B7" w:rsidRDefault="00F32481" w:rsidP="007E5A87">
                  <w:pPr>
                    <w:pStyle w:val="a4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16</w:t>
                  </w:r>
                  <w:r w:rsidR="000674B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 w:rsidR="000674B7" w:rsidRPr="000674B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,</w:t>
                  </w:r>
                  <w:r w:rsidR="000674B7" w:rsidRPr="000674B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000</w:t>
                  </w:r>
                </w:p>
              </w:tc>
            </w:tr>
          </w:tbl>
          <w:p w:rsidR="002B50FD" w:rsidRPr="00F016AC" w:rsidRDefault="007F6099" w:rsidP="00C06014">
            <w:pPr>
              <w:widowControl/>
              <w:numPr>
                <w:ilvl w:val="0"/>
                <w:numId w:val="7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CI</w:t>
            </w:r>
            <w:proofErr w:type="gramStart"/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暨</w:t>
            </w:r>
            <w:r w:rsidR="00E00F08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</w:t>
            </w:r>
            <w:r w:rsidR="00AB6D4E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服</w:t>
            </w:r>
            <w:proofErr w:type="gramEnd"/>
            <w:r w:rsidR="009B1CE4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0A5FE2" w:rsidRDefault="007F6099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1.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已準備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間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廠商，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4/26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前決議廠商後開始進行設計。</w:t>
            </w:r>
          </w:p>
          <w:p w:rsidR="007F6099" w:rsidRPr="005D6519" w:rsidRDefault="007F6099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2.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待西瓜皮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</w:t>
            </w:r>
            <w:proofErr w:type="spell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ONETeam</w:t>
            </w:r>
            <w:proofErr w:type="spell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新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設計完成後，在開始設計服裝</w:t>
            </w:r>
            <w:r w:rsidRPr="006C7A1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04634D" w:rsidRPr="00A80920" w:rsidRDefault="00777B60" w:rsidP="00C06014">
            <w:pPr>
              <w:widowControl/>
              <w:numPr>
                <w:ilvl w:val="0"/>
                <w:numId w:val="7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777B60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運營相關事宜：</w:t>
            </w:r>
            <w:r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1.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宿舍傢俱進駐時間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 0900~1700</w:t>
            </w:r>
            <w:r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943E6E" w:rsidRP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2.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宿舍打掃廠商場</w:t>
            </w:r>
            <w:proofErr w:type="gramStart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勘</w:t>
            </w:r>
            <w:proofErr w:type="gramEnd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時間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4/29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0674B7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3.</w:t>
            </w:r>
            <w:r w:rsidR="00512A36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</w:t>
            </w:r>
            <w:r w:rsidR="00964EAC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辦公室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地點：基隆路二段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217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號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2F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，六張</w:t>
            </w:r>
            <w:proofErr w:type="gramStart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犁</w:t>
            </w:r>
            <w:proofErr w:type="gramEnd"/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捷運站步行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3~5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分鐘</w:t>
            </w:r>
            <w:r w:rsidR="00943E6E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0674B7" w:rsidRP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實用坪數：約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153</w:t>
            </w:r>
            <w:r w:rsidR="000674B7" w:rsidRPr="00512A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坪</w:t>
            </w:r>
            <w:r w:rsidR="00512A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 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租金：原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168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000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sym w:font="Wingdings" w:char="F0E0"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138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000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 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管理費：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11</w:t>
            </w:r>
            <w:r w:rsidR="00512A36" w:rsidRPr="00512A3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,</w:t>
            </w:r>
            <w:r w:rsidR="00512A36" w:rsidRPr="00512A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644</w:t>
            </w:r>
            <w:r w:rsid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A8092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</w:t>
            </w:r>
            <w:r w:rsidR="00034A0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進度：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Jerry</w:t>
            </w:r>
            <w:r w:rsidR="00034A0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已快速跟</w:t>
            </w:r>
            <w:r w:rsidR="00034A0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Jeffery </w:t>
            </w:r>
            <w:r w:rsidR="00034A0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跟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David</w:t>
            </w:r>
            <w:r w:rsidR="00034A0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口頭</w:t>
            </w:r>
            <w:r w:rsidR="00034A0C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報告</w:t>
            </w:r>
            <w:r w:rsidR="00A80920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 w:rsidR="006C7A15" w:rsidRP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674B7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lastRenderedPageBreak/>
              <w:t>4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三星家電剩一台冰箱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4/30</w:t>
            </w:r>
            <w:r w:rsidR="00512A36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前運走。</w:t>
            </w:r>
            <w:r w:rsidR="006C7A15" w:rsidRPr="00A80920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西瓜皮與</w:t>
            </w:r>
            <w:r w:rsidR="000A77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宮廷</w:t>
            </w:r>
            <w:r w:rsidR="007F6099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簽宿舍租約一事，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西瓜皮已與</w:t>
            </w:r>
            <w:r w:rsidR="000A77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宮廷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簽約，</w:t>
            </w:r>
            <w:r w:rsidR="002C3D2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</w:t>
            </w:r>
            <w:r w:rsidR="002C3D2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</w:t>
            </w:r>
            <w:r w:rsidR="002C3D2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已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打款給</w:t>
            </w:r>
            <w:r w:rsidR="000A77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宮廷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="000A774D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/15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</w:t>
            </w:r>
            <w:r w:rsidR="000A77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宮廷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付款給房東</w:t>
            </w:r>
            <w:r w:rsidR="006C7A15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 w:rsidR="0004634D" w:rsidRPr="00A80920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</w:t>
            </w:r>
            <w:r w:rsidR="000463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.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</w:t>
            </w:r>
            <w:r w:rsidR="000463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5/17</w:t>
            </w:r>
            <w:r w:rsidR="0004634D" w:rsidRPr="00A8092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前完成宿舍網路申請。</w:t>
            </w:r>
          </w:p>
          <w:p w:rsidR="00307FC7" w:rsidRPr="00F37311" w:rsidRDefault="00307FC7" w:rsidP="00C06014">
            <w:pPr>
              <w:widowControl/>
              <w:numPr>
                <w:ilvl w:val="0"/>
                <w:numId w:val="7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戰隊人事</w:t>
            </w: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307FC7" w:rsidRDefault="00FD2CDB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1.</w:t>
            </w:r>
            <w:r w:rsidR="006C7A1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人事合約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皆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回收完畢</w:t>
            </w:r>
            <w:r w:rsidR="00A6547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</w:t>
            </w:r>
            <w:proofErr w:type="gramStart"/>
            <w:r w:rsidR="00A6547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送至神坊</w:t>
            </w:r>
            <w:proofErr w:type="gramEnd"/>
            <w:r w:rsidR="00A6547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簽約</w:t>
            </w:r>
            <w:r w:rsidR="00307FC7" w:rsidRPr="00307FC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FD2CDB" w:rsidRDefault="00FD2CDB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D2CD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2.</w:t>
            </w:r>
            <w:r w:rsidR="000674B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領隊</w:t>
            </w:r>
            <w:r w:rsidR="00141D0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：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明天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(5/10)</w:t>
            </w:r>
            <w:r w:rsidR="000A774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上工</w:t>
            </w:r>
            <w:r w:rsidRPr="00FD2CD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0674B7" w:rsidRPr="000A774D" w:rsidRDefault="000674B7" w:rsidP="00307FC7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社群專員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：</w:t>
            </w:r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4/25</w:t>
            </w:r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與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Jerry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確認是否</w:t>
            </w:r>
            <w:r w:rsidR="000A774D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錄取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與薪資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E04CF1" w:rsidRPr="000A774D" w:rsidRDefault="000674B7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4.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戰隊選手交易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：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4/25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法務會提供合約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，合約無誤後進行簽約，簽約對象有與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NVM</w:t>
            </w:r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簽約</w:t>
            </w:r>
            <w:proofErr w:type="spellStart"/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Soka</w:t>
            </w:r>
            <w:proofErr w:type="spellEnd"/>
            <w:r w:rsidR="00141D07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及</w:t>
            </w:r>
            <w:r w:rsidR="00551BF5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與</w:t>
            </w:r>
            <w:r w:rsidR="00551BF5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HKA</w:t>
            </w:r>
            <w:r w:rsidR="00551BF5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簽約</w:t>
            </w:r>
            <w:proofErr w:type="spellStart"/>
            <w:r w:rsidR="00551BF5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Goddog</w:t>
            </w:r>
            <w:proofErr w:type="spellEnd"/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補充說明：</w:t>
            </w:r>
            <w:proofErr w:type="spellStart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</w:t>
            </w:r>
            <w:r w:rsidR="00E04CF1" w:rsidRPr="000A774D">
              <w:rPr>
                <w:rFonts w:ascii="Arial" w:eastAsia="標楷體" w:hAnsi="Arial" w:cs="Arial"/>
                <w:kern w:val="0"/>
                <w:sz w:val="26"/>
                <w:szCs w:val="26"/>
              </w:rPr>
              <w:t>oddog</w:t>
            </w:r>
            <w:proofErr w:type="spellEnd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移除登錄</w:t>
            </w:r>
            <w:proofErr w:type="spellStart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ONETeam</w:t>
            </w:r>
            <w:proofErr w:type="spellEnd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後，</w:t>
            </w:r>
            <w:proofErr w:type="spellStart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Garena</w:t>
            </w:r>
            <w:proofErr w:type="spellEnd"/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補助金額會下修。</w:t>
            </w:r>
            <w:r w:rsidR="00E04CF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</w:p>
          <w:p w:rsidR="00C21FEC" w:rsidRPr="000A774D" w:rsidRDefault="00C21FEC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5.</w:t>
            </w:r>
            <w:r w:rsidR="005F552C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J</w:t>
            </w:r>
            <w:r w:rsidR="005F552C" w:rsidRPr="000A774D">
              <w:rPr>
                <w:rFonts w:ascii="Arial" w:eastAsia="標楷體" w:hAnsi="Arial" w:cs="Arial"/>
                <w:kern w:val="0"/>
                <w:sz w:val="26"/>
                <w:szCs w:val="26"/>
              </w:rPr>
              <w:t>erry</w:t>
            </w:r>
            <w:r w:rsidR="005F552C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 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 w:rsidR="005F552C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與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情人</w:t>
            </w:r>
            <w:r w:rsidR="005F552C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談定</w:t>
            </w: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="000753C1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先幫助他就學與提供他生活費，到這季結束，另行約時間討論停損時間。</w:t>
            </w:r>
          </w:p>
          <w:p w:rsidR="00F01676" w:rsidRPr="000A774D" w:rsidRDefault="00C21FEC" w:rsidP="00E04CF1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</w:t>
            </w:r>
            <w:r w:rsidR="00F01676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.</w:t>
            </w:r>
            <w:r w:rsidR="00F01676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桔梗</w:t>
            </w:r>
            <w:r w:rsidR="00B22B24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僱用至</w:t>
            </w:r>
            <w:r w:rsidR="00B22B24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5/31</w:t>
            </w:r>
            <w:r w:rsidR="00B22B24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，流程細節於</w:t>
            </w:r>
            <w:r w:rsidR="00B22B24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4/25</w:t>
            </w:r>
            <w:r w:rsidR="00B22B24" w:rsidRPr="000A774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前會與人資確認完畢。</w:t>
            </w:r>
          </w:p>
          <w:p w:rsidR="00FE0153" w:rsidRPr="00F37311" w:rsidRDefault="001C3632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9" w:anchor="gid=951986653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行程表</w:t>
              </w:r>
            </w:hyperlink>
          </w:p>
          <w:p w:rsidR="00FE0153" w:rsidRPr="00E211F7" w:rsidRDefault="001C3632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10" w:anchor="gid=1939112774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規章與訓練表</w:t>
              </w:r>
            </w:hyperlink>
          </w:p>
        </w:tc>
      </w:tr>
      <w:tr w:rsidR="00B96F90" w:rsidTr="006C7A15">
        <w:trPr>
          <w:trHeight w:val="557"/>
        </w:trPr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F46352" w:rsidRDefault="006A4722" w:rsidP="00C06014">
            <w:pPr>
              <w:pStyle w:val="a4"/>
              <w:widowControl/>
              <w:numPr>
                <w:ilvl w:val="0"/>
                <w:numId w:val="34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</w:rPr>
              <w:t>社群方向：增加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電競類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議題，提升戰隊專業形象，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配合投廣觸及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非傳說對決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TA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。</w:t>
            </w:r>
          </w:p>
          <w:p w:rsidR="00F73FD8" w:rsidRPr="00F46352" w:rsidRDefault="00F73FD8" w:rsidP="00C06014">
            <w:pPr>
              <w:pStyle w:val="a4"/>
              <w:widowControl/>
              <w:numPr>
                <w:ilvl w:val="0"/>
                <w:numId w:val="34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               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A7553D" w:rsidRPr="00F46352" w:rsidTr="00C960B5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825B1D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vAlign w:val="center"/>
                </w:tcPr>
                <w:p w:rsidR="00825B1D" w:rsidRP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APR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22</w:t>
                  </w:r>
                  <w:r w:rsidRPr="00600EA6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,</w:t>
                  </w: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969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638</w:t>
                  </w:r>
                  <w:r w:rsidRPr="00600EA6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(20.83%)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29.89%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21.71%</w:t>
                  </w:r>
                </w:p>
              </w:tc>
            </w:tr>
            <w:tr w:rsidR="00825B1D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W5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23,666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697(9.25%)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32.73%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825B1D" w:rsidRPr="00600EA6" w:rsidRDefault="00825B1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600EA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30.33%</w:t>
                  </w:r>
                </w:p>
              </w:tc>
            </w:tr>
            <w:tr w:rsidR="00600EA6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Align w:val="center"/>
                </w:tcPr>
                <w:p w:rsidR="00600EA6" w:rsidRPr="008A2335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MAY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24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</w:rPr>
                    <w:t>,581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915(31.28%)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36.46%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600EA6" w:rsidRDefault="00600EA6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31.74%</w:t>
                  </w:r>
                </w:p>
              </w:tc>
            </w:tr>
          </w:tbl>
          <w:p w:rsidR="00244F18" w:rsidRPr="00F46352" w:rsidRDefault="00244F18" w:rsidP="00C06014">
            <w:pPr>
              <w:pStyle w:val="a4"/>
              <w:widowControl/>
              <w:numPr>
                <w:ilvl w:val="0"/>
                <w:numId w:val="34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EE6168" w:rsidRDefault="00EE6168" w:rsidP="00C06014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社群行銷</w:t>
            </w:r>
          </w:p>
          <w:p w:rsidR="00E352FE" w:rsidRDefault="00EE6168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(1)</w:t>
            </w:r>
            <w:r w:rsid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季後賽行銷活動規劃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6194"/>
            </w:tblGrid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類別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說明</w:t>
                  </w:r>
                </w:p>
              </w:tc>
            </w:tr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社群行銷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4/22~4/28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季後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賽貼文預</w:t>
                  </w:r>
                  <w:proofErr w:type="gramEnd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熱、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官方粉專主動</w:t>
                  </w:r>
                  <w:proofErr w:type="gramEnd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分享貼文</w:t>
                  </w:r>
                </w:p>
                <w:p w:rsidR="00A7553D" w:rsidRPr="00696466" w:rsidRDefault="00C308A1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5/3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 xml:space="preserve"> Team Building</w:t>
                  </w:r>
                  <w:proofErr w:type="gramStart"/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貼文及</w:t>
                  </w:r>
                  <w:proofErr w:type="gramEnd"/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影片</w:t>
                  </w:r>
                </w:p>
                <w:p w:rsidR="00A7553D" w:rsidRPr="00696466" w:rsidRDefault="00C308A1" w:rsidP="00A7553D">
                  <w:pPr>
                    <w:rPr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季後賽影片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+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主活動正式上線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(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三星贊助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S10+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一支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)</w:t>
                  </w:r>
                </w:p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5/8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、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5/9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粉絲觀賽動員活動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(</w:t>
                  </w:r>
                  <w:proofErr w:type="spellStart"/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U</w:t>
                  </w:r>
                  <w:r w:rsidR="00C308A1" w:rsidRPr="00696466">
                    <w:rPr>
                      <w:rFonts w:ascii="Arial" w:eastAsia="標楷體" w:hAnsi="Arial" w:cs="Arial"/>
                      <w:color w:val="0D0D0D" w:themeColor="text1" w:themeTint="F2"/>
                    </w:rPr>
                    <w:t>ber</w:t>
                  </w:r>
                  <w:proofErr w:type="spellEnd"/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贊助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250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組優惠序號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)</w:t>
                  </w:r>
                </w:p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5/10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、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5/12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頭號粉絲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專屬禮包</w:t>
                  </w:r>
                  <w:proofErr w:type="gramEnd"/>
                </w:p>
              </w:tc>
            </w:tr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廣宣規劃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4/29~5/25</w:t>
                  </w: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投放廣告</w:t>
                  </w:r>
                </w:p>
              </w:tc>
            </w:tr>
            <w:tr w:rsidR="00C308A1" w:rsidRPr="00C308A1" w:rsidTr="00C960B5">
              <w:trPr>
                <w:trHeight w:val="395"/>
                <w:jc w:val="center"/>
              </w:trPr>
              <w:tc>
                <w:tcPr>
                  <w:tcW w:w="1464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活動獎項</w:t>
                  </w:r>
                </w:p>
              </w:tc>
              <w:tc>
                <w:tcPr>
                  <w:tcW w:w="619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ONE T</w:t>
                  </w: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eam</w:t>
                  </w:r>
                  <w:proofErr w:type="gramStart"/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週</w:t>
                  </w:r>
                  <w:proofErr w:type="gramEnd"/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邊、貝殼幣、三星手機、電影票</w:t>
                  </w:r>
                </w:p>
              </w:tc>
            </w:tr>
          </w:tbl>
          <w:p w:rsidR="00EE6168" w:rsidRPr="00EE6168" w:rsidRDefault="00EE6168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EE61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(2)</w:t>
            </w:r>
            <w:r w:rsidRPr="00EE61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下半年社群行銷規劃預計本</w:t>
            </w:r>
            <w:proofErr w:type="gramStart"/>
            <w:r w:rsidRPr="00EE61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週</w:t>
            </w:r>
            <w:proofErr w:type="gramEnd"/>
            <w:r w:rsidRPr="00EE61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賽事結束後開始討論</w:t>
            </w:r>
          </w:p>
          <w:p w:rsidR="00244F18" w:rsidRPr="00F46352" w:rsidRDefault="00244F18" w:rsidP="00C06014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lastRenderedPageBreak/>
              <w:t>FB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廣告投放：</w:t>
            </w:r>
          </w:p>
          <w:tbl>
            <w:tblPr>
              <w:tblStyle w:val="a3"/>
              <w:tblW w:w="7712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928"/>
              <w:gridCol w:w="1928"/>
            </w:tblGrid>
            <w:tr w:rsidR="00E326BA" w:rsidRPr="00F46352" w:rsidTr="005E44DD">
              <w:trPr>
                <w:trHeight w:val="20"/>
              </w:trPr>
              <w:tc>
                <w:tcPr>
                  <w:tcW w:w="1928" w:type="dxa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E326BA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326BA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2019</w:t>
                  </w:r>
                  <w:r w:rsidRPr="00E326BA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年</w:t>
                  </w:r>
                  <w:r w:rsidRPr="00E326BA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4</w:t>
                  </w:r>
                  <w:r w:rsidRPr="00E326BA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月</w:t>
                  </w:r>
                </w:p>
              </w:tc>
            </w:tr>
            <w:tr w:rsidR="00E326BA" w:rsidRPr="00F46352" w:rsidTr="005E44DD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Facebook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$51,794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$70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$0.17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$136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,928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$88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E326BA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326BA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$1</w:t>
                  </w:r>
                  <w:r w:rsidRPr="00E326BA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02,174</w:t>
                  </w:r>
                </w:p>
                <w:p w:rsidR="00E326BA" w:rsidRPr="00E326BA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326BA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CPM $138</w:t>
                  </w:r>
                </w:p>
                <w:p w:rsidR="00E326BA" w:rsidRPr="00E326BA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326BA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CPV $0.1</w:t>
                  </w:r>
                </w:p>
              </w:tc>
            </w:tr>
            <w:tr w:rsidR="00E326BA" w:rsidRPr="00F46352" w:rsidTr="005E44DD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Google Ads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E326BA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E326BA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-</w:t>
                  </w:r>
                </w:p>
              </w:tc>
            </w:tr>
          </w:tbl>
          <w:p w:rsidR="00F46352" w:rsidRPr="00F46352" w:rsidRDefault="00F46352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CC265B" w:rsidTr="00842FB6">
        <w:trPr>
          <w:trHeight w:val="841"/>
        </w:trPr>
        <w:tc>
          <w:tcPr>
            <w:tcW w:w="510" w:type="dxa"/>
            <w:vAlign w:val="center"/>
          </w:tcPr>
          <w:p w:rsidR="00CC265B" w:rsidRPr="003E453E" w:rsidRDefault="00CC26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3963F3" w:rsidRDefault="00830C77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CC265B" w:rsidRPr="001261FB" w:rsidRDefault="00CC265B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商務</w:t>
            </w:r>
            <w:r w:rsidR="007B5CE4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合作暨媒體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公關</w:t>
            </w:r>
          </w:p>
          <w:p w:rsidR="00CC265B" w:rsidRDefault="00CC265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77432E" w:rsidRPr="00CB63B8" w:rsidRDefault="00650ECB" w:rsidP="00C0601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Twitch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限制條件為每月最低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10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小時直播</w:t>
            </w:r>
            <w:r w:rsidR="00C01B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，待評估我方是否能支援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23ED3" w:rsidRPr="006C7A15" w:rsidRDefault="00547AF3" w:rsidP="00C0601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PUBG M</w:t>
            </w: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B6279A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4/1</w:t>
            </w:r>
            <w:r w:rsidR="006C7A15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B6279A" w:rsidRPr="006C7A1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遊戲上線</w:t>
            </w:r>
            <w:r w:rsidR="00E34DE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廠商待我方提供戰隊介紹後，會給我方今年營運計畫及遊戲相關運營、行銷數字，以便斟酌是否加日後續成立之聯盟</w:t>
            </w:r>
            <w:r w:rsidRPr="00551BF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法務室保密條款會於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5/1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前提供，</w:t>
            </w:r>
            <w:proofErr w:type="gramStart"/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收到後</w:t>
            </w:r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且無誤</w:t>
            </w:r>
            <w:proofErr w:type="gramEnd"/>
            <w:r w:rsid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將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提供</w:t>
            </w:r>
            <w:proofErr w:type="gramStart"/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給熱酷</w:t>
            </w:r>
            <w:proofErr w:type="gramEnd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科技有限公司，該公司</w:t>
            </w:r>
            <w:proofErr w:type="gramStart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為騰訊</w:t>
            </w:r>
            <w:proofErr w:type="gramEnd"/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在台灣執行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PUBG M</w:t>
            </w:r>
            <w:r w:rsidR="00F0167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的公司</w:t>
            </w:r>
            <w:r w:rsidR="00551BF5" w:rsidRPr="00551BF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B6279A" w:rsidRPr="00A80920" w:rsidRDefault="00907757" w:rsidP="00C0601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6/1 FB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會邀請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ONE T</w:t>
            </w:r>
            <w:r w:rsidRPr="00B6279A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eam</w:t>
            </w:r>
            <w:r w:rsidRPr="00B6279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五位選手出席直播節目，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詳情待</w:t>
            </w:r>
            <w:proofErr w:type="spellStart"/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G</w:t>
            </w:r>
            <w:r w:rsidR="00E34DE9" w:rsidRPr="00551BF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arena</w:t>
            </w:r>
            <w:proofErr w:type="spellEnd"/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確認售權及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FB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回覆最終拍攝時間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</w:tc>
      </w:tr>
      <w:tr w:rsidR="00D90F32" w:rsidRPr="00B22B24" w:rsidTr="00CF024D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電競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育樂</w:t>
            </w:r>
            <w:proofErr w:type="gramEnd"/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公司成立案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D90F32" w:rsidRPr="00CB63B8" w:rsidRDefault="00D90F32" w:rsidP="00C06014">
            <w:pPr>
              <w:numPr>
                <w:ilvl w:val="0"/>
                <w:numId w:val="2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案由：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集團冠名贊助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ONE Team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傳說對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決電競戰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隊，營運商五木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町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創意有意出售戰隊經營權，擬成立育樂公司承接經營權。</w:t>
            </w:r>
          </w:p>
          <w:p w:rsidR="00D90F32" w:rsidRPr="00CB63B8" w:rsidRDefault="00D90F32" w:rsidP="00C06014">
            <w:pPr>
              <w:numPr>
                <w:ilvl w:val="0"/>
                <w:numId w:val="2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進度：規劃由神坊資訊出資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500</w:t>
            </w:r>
            <w:proofErr w:type="gramStart"/>
            <w:r w:rsidR="003A4FBC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萬成立電競育樂</w:t>
            </w:r>
            <w:proofErr w:type="gramEnd"/>
            <w:r w:rsidR="003A4FBC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子公司承接戰隊經營權，</w:t>
            </w:r>
            <w:r w:rsidR="0015503E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請示案</w:t>
            </w:r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已通過</w:t>
            </w:r>
            <w:r w:rsidR="0015503E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proofErr w:type="gramStart"/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="003B5A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董事會</w:t>
            </w:r>
            <w:r w:rsidR="00EE5B66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通過成立公司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：</w:t>
            </w:r>
          </w:p>
          <w:p w:rsidR="00D90F32" w:rsidRPr="00CB63B8" w:rsidRDefault="00353875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贊助契約</w:t>
            </w:r>
            <w:r w:rsidR="002C3D2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請</w:t>
            </w:r>
            <w:proofErr w:type="gramStart"/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神坊先協助</w:t>
            </w:r>
            <w:proofErr w:type="gramEnd"/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西瓜皮簽約，</w:t>
            </w:r>
            <w:proofErr w:type="gramStart"/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金控待</w:t>
            </w:r>
            <w:proofErr w:type="gramEnd"/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5/15</w:t>
            </w: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董事會後簽約</w:t>
            </w:r>
            <w:r w:rsidR="00D90F32" w:rsidRPr="00CB63B8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1B0E69" w:rsidRPr="00353875" w:rsidRDefault="00591C5D" w:rsidP="00353875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裝潢設計公司已準備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8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間，</w:t>
            </w:r>
            <w:proofErr w:type="gramStart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決策會後討論執行時間與決議執行廠商。</w:t>
            </w:r>
          </w:p>
          <w:p w:rsidR="001B0E69" w:rsidRPr="00353875" w:rsidRDefault="00353875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西瓜皮已向政府進行勞保健保勞退申請，等待政府回覆</w:t>
            </w:r>
            <w:r w:rsidR="00307FC7" w:rsidRPr="0035387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1B0E69" w:rsidRPr="00353875" w:rsidRDefault="001B0E69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團保申請</w:t>
            </w:r>
            <w:r w:rsidR="00703299"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項目</w:t>
            </w:r>
            <w:r w:rsidR="00353875"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正在等人壽報價</w:t>
            </w:r>
            <w:r w:rsidR="00353875" w:rsidRPr="0035387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693BF9" w:rsidRPr="000A774D" w:rsidRDefault="00353875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已確認健檢方案，</w:t>
            </w:r>
            <w:r w:rsidR="001B0E69"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季後賽後完成</w:t>
            </w:r>
            <w:r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本年度</w:t>
            </w:r>
            <w:r w:rsidR="001B0E69" w:rsidRPr="0035387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隊員健檢作業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A774D" w:rsidRPr="000A774D" w:rsidRDefault="000A774D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已統整第二輪賽季獎金，預計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月底發放</w:t>
            </w:r>
          </w:p>
          <w:p w:rsidR="000A774D" w:rsidRDefault="000A774D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正在確認學雜費補助細項，預計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月底發放</w:t>
            </w:r>
          </w:p>
          <w:p w:rsidR="00500CBA" w:rsidRPr="00A80920" w:rsidRDefault="00A80920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Pr="000E7C77">
              <w:rPr>
                <w:rFonts w:ascii="Arial" w:eastAsia="標楷體" w:hAnsi="Arial" w:cs="Arial" w:hint="eastAsia"/>
                <w:sz w:val="26"/>
                <w:szCs w:val="26"/>
              </w:rPr>
              <w:t>4/25</w:t>
            </w:r>
            <w:r w:rsidRPr="000E7C77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0E7C77">
              <w:rPr>
                <w:rFonts w:ascii="Arial" w:eastAsia="標楷體" w:hAnsi="Arial" w:cs="Arial" w:hint="eastAsia"/>
                <w:sz w:val="26"/>
                <w:szCs w:val="26"/>
              </w:rPr>
              <w:t>Jerry</w:t>
            </w:r>
            <w:r w:rsidRPr="000E7C77">
              <w:rPr>
                <w:rFonts w:ascii="Arial" w:eastAsia="標楷體" w:hAnsi="Arial" w:cs="Arial" w:hint="eastAsia"/>
                <w:sz w:val="26"/>
                <w:szCs w:val="26"/>
              </w:rPr>
              <w:t>確認印鑑管理報表各章保管人。</w:t>
            </w:r>
          </w:p>
          <w:p w:rsidR="00E04CF1" w:rsidRPr="00353875" w:rsidRDefault="00E04CF1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ind w:left="964"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proofErr w:type="gramStart"/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待神坊</w:t>
            </w:r>
            <w:proofErr w:type="gramEnd"/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提供初版分層負責表、採購管理要點後進行修改。</w:t>
            </w:r>
          </w:p>
          <w:p w:rsidR="00F01676" w:rsidRPr="00353875" w:rsidRDefault="0004634D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ind w:left="964"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 xml:space="preserve"> 15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份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HR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表單修改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招募、任用、報到等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5/17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前修改完成。</w:t>
            </w:r>
          </w:p>
          <w:p w:rsidR="00703299" w:rsidRPr="00353875" w:rsidRDefault="00F01676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因合約起始日錯誤，</w:t>
            </w:r>
            <w:r w:rsidR="00B22B24" w:rsidRPr="00353875">
              <w:rPr>
                <w:rFonts w:ascii="Arial" w:eastAsia="標楷體" w:hAnsi="Arial" w:cs="Arial" w:hint="eastAsia"/>
                <w:sz w:val="26"/>
                <w:szCs w:val="26"/>
              </w:rPr>
              <w:t>有進行修正，雙方就修正處需用印，</w:t>
            </w:r>
            <w:r w:rsidR="00551BF5" w:rsidRPr="00353875">
              <w:rPr>
                <w:rFonts w:ascii="Arial" w:eastAsia="標楷體" w:hAnsi="Arial" w:cs="Arial" w:hint="eastAsia"/>
                <w:sz w:val="26"/>
                <w:szCs w:val="26"/>
              </w:rPr>
              <w:t>待</w:t>
            </w:r>
            <w:proofErr w:type="spellStart"/>
            <w:r w:rsidR="00551BF5" w:rsidRPr="00353875">
              <w:rPr>
                <w:rFonts w:ascii="Arial" w:eastAsia="標楷體" w:hAnsi="Arial" w:cs="Arial" w:hint="eastAsia"/>
                <w:sz w:val="26"/>
                <w:szCs w:val="26"/>
              </w:rPr>
              <w:t>Garena</w:t>
            </w:r>
            <w:proofErr w:type="spellEnd"/>
            <w:r w:rsidR="00551BF5" w:rsidRPr="00353875">
              <w:rPr>
                <w:rFonts w:ascii="Arial" w:eastAsia="標楷體" w:hAnsi="Arial" w:cs="Arial" w:hint="eastAsia"/>
                <w:sz w:val="26"/>
                <w:szCs w:val="26"/>
              </w:rPr>
              <w:t>將用印後</w:t>
            </w:r>
            <w:r w:rsidR="00B22B24" w:rsidRPr="00353875">
              <w:rPr>
                <w:rFonts w:ascii="Arial" w:eastAsia="標楷體" w:hAnsi="Arial" w:cs="Arial" w:hint="eastAsia"/>
                <w:sz w:val="26"/>
                <w:szCs w:val="26"/>
              </w:rPr>
              <w:t>將</w:t>
            </w:r>
            <w:r w:rsidR="00551BF5" w:rsidRPr="00353875">
              <w:rPr>
                <w:rFonts w:ascii="Arial" w:eastAsia="標楷體" w:hAnsi="Arial" w:cs="Arial" w:hint="eastAsia"/>
                <w:sz w:val="26"/>
                <w:szCs w:val="26"/>
              </w:rPr>
              <w:t>寄回神坊進行用印。</w:t>
            </w:r>
          </w:p>
          <w:p w:rsidR="000E7C77" w:rsidRPr="00703299" w:rsidRDefault="000E7C77" w:rsidP="00C06014">
            <w:pPr>
              <w:numPr>
                <w:ilvl w:val="0"/>
                <w:numId w:val="2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353875">
              <w:rPr>
                <w:rFonts w:ascii="Arial" w:eastAsia="標楷體" w:hAnsi="Arial" w:cs="Arial" w:hint="eastAsia"/>
                <w:sz w:val="26"/>
                <w:szCs w:val="26"/>
              </w:rPr>
              <w:t>彙整需要建立的規範及表單</w:t>
            </w:r>
          </w:p>
        </w:tc>
      </w:tr>
      <w:tr w:rsidR="009B1CE4" w:rsidRPr="002D1564" w:rsidTr="005E5973">
        <w:tc>
          <w:tcPr>
            <w:tcW w:w="510" w:type="dxa"/>
            <w:vAlign w:val="center"/>
          </w:tcPr>
          <w:p w:rsidR="009B1CE4" w:rsidRPr="003E453E" w:rsidRDefault="009B1CE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963F3" w:rsidRPr="009B1CE4" w:rsidRDefault="003963F3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13A67" w:rsidRPr="00CB63B8" w:rsidRDefault="006B045D" w:rsidP="009B1CE4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案由：為提升團隊凝聚心、更貼近年輕族群、促進公司部門交流，將舉辦集團內部電子競技大賽。</w:t>
            </w:r>
          </w:p>
          <w:p w:rsidR="006B045D" w:rsidRPr="00CB63B8" w:rsidRDefault="00671631" w:rsidP="0067163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說明：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賽事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地點於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總行金融會議廳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舉行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，已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借用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15~2019/06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等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日，將於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強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事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B045D" w:rsidRPr="00CB63B8" w:rsidRDefault="00514797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聯合</w:t>
            </w:r>
            <w:r w:rsidR="001C46E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議價會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後承辦總金額為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243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萬含稅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405132" w:rsidRPr="00CB63B8" w:rsidRDefault="003D39A6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03/06</w:t>
            </w:r>
            <w:r w:rsidR="0040513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人壽派人借用國際金融會議廳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E9696B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已借用完成</w:t>
            </w:r>
            <w:r w:rsidR="0040513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E9696B" w:rsidRPr="00551BF5" w:rsidRDefault="006E1895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t>5/20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需回覆承辦廠商</w:t>
            </w:r>
            <w:r w:rsidR="00E9696B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長官參與</w:t>
            </w:r>
            <w:r w:rsidR="00E76257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活動之</w:t>
            </w:r>
            <w:r w:rsidRPr="00551BF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人數、基本資料、服裝尺寸</w:t>
            </w:r>
            <w:r w:rsidR="00514797" w:rsidRPr="00551BF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3963F3" w:rsidRPr="006903E1" w:rsidRDefault="003963F3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Garena</w:t>
            </w:r>
            <w:proofErr w:type="spellEnd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授權：</w:t>
            </w:r>
            <w:r w:rsidR="006E189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4/2</w:t>
            </w:r>
            <w:r w:rsidR="00551BF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</w:t>
            </w:r>
            <w:r w:rsidR="006E1895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前交由林辰發信於</w:t>
            </w:r>
            <w:proofErr w:type="spellStart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Garena</w:t>
            </w:r>
            <w:proofErr w:type="spellEnd"/>
            <w:r w:rsidRPr="006903E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商務進行授權商談。</w:t>
            </w:r>
          </w:p>
          <w:p w:rsidR="00500CBA" w:rsidRPr="00B910EE" w:rsidRDefault="00500CBA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報名進度：</w:t>
            </w:r>
          </w:p>
          <w:tbl>
            <w:tblPr>
              <w:tblStyle w:val="a3"/>
              <w:tblW w:w="804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134"/>
              <w:gridCol w:w="1067"/>
              <w:gridCol w:w="1060"/>
              <w:gridCol w:w="992"/>
              <w:gridCol w:w="1134"/>
              <w:gridCol w:w="1134"/>
            </w:tblGrid>
            <w:tr w:rsidR="006903E1" w:rsidRPr="00B910EE" w:rsidTr="006903E1">
              <w:trPr>
                <w:trHeight w:val="20"/>
              </w:trPr>
              <w:tc>
                <w:tcPr>
                  <w:tcW w:w="1526" w:type="dxa"/>
                </w:tcPr>
                <w:p w:rsidR="006903E1" w:rsidRPr="006903E1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結算日期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proofErr w:type="gramStart"/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金控</w:t>
                  </w:r>
                  <w:proofErr w:type="gramEnd"/>
                </w:p>
              </w:tc>
              <w:tc>
                <w:tcPr>
                  <w:tcW w:w="1067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060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992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總計</w:t>
                  </w:r>
                </w:p>
              </w:tc>
            </w:tr>
            <w:tr w:rsidR="006903E1" w:rsidRPr="00B910EE" w:rsidTr="006903E1">
              <w:trPr>
                <w:trHeight w:val="422"/>
              </w:trPr>
              <w:tc>
                <w:tcPr>
                  <w:tcW w:w="1526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2019/4/17</w:t>
                  </w: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0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55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13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6903E1" w:rsidRPr="006903E1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75</w:t>
                  </w:r>
                  <w:r w:rsidRPr="006903E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  <w:tr w:rsidR="006903E1" w:rsidRPr="00B910EE" w:rsidTr="006903E1">
              <w:trPr>
                <w:trHeight w:val="630"/>
              </w:trPr>
              <w:tc>
                <w:tcPr>
                  <w:tcW w:w="1526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2019/4/24</w:t>
                  </w:r>
                </w:p>
              </w:tc>
              <w:tc>
                <w:tcPr>
                  <w:tcW w:w="1134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0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81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22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4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3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6903E1" w:rsidRPr="00B910E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110</w:t>
                  </w:r>
                  <w:r w:rsidRPr="00B910E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</w:tbl>
          <w:p w:rsidR="00E04CF1" w:rsidRPr="00D32B81" w:rsidRDefault="00B910EE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合約</w:t>
            </w:r>
            <w:r w:rsidR="002D1564" w:rsidRPr="00D32B8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</w:t>
            </w:r>
            <w:r w:rsidR="00967F0B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承辦單位</w:t>
            </w:r>
            <w:r w:rsidR="00500CBA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4</w:t>
            </w:r>
            <w:r w:rsidR="00D32B81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/26</w:t>
            </w:r>
            <w:r w:rsidR="00500CBA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</w:t>
            </w:r>
            <w:r w:rsidR="00967F0B" w:rsidRPr="00D32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會回覆合約附件一狀況</w:t>
            </w:r>
            <w:r w:rsidR="00991EE0" w:rsidRPr="00D32B81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A928C1" w:rsidRPr="00A928C1" w:rsidRDefault="0004634D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獎盃製作：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4/26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前回覆廠商獎盃預算，並請廠商於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5/13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前提供設計稿與報價。</w:t>
            </w:r>
          </w:p>
          <w:p w:rsidR="00B910EE" w:rsidRPr="006903E1" w:rsidRDefault="00B910EE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進度排程：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新增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EDM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設計與規劃需求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3</w:t>
            </w:r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封，承辦廠商設計中，用途為宣傳</w:t>
            </w:r>
            <w:proofErr w:type="gramStart"/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線下賽相關</w:t>
            </w:r>
            <w:proofErr w:type="gramEnd"/>
            <w:r w:rsidR="00E34DE9" w:rsidRPr="006903E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活動。</w:t>
            </w:r>
          </w:p>
          <w:tbl>
            <w:tblPr>
              <w:tblW w:w="829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4678"/>
              <w:gridCol w:w="1213"/>
            </w:tblGrid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項目名稱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項目內容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時程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widowControl/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CSN檔案製作完成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提供三款T-Shirt設計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CSN影片露出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第二波Banner設計確認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第二波Banner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設計進稿</w:t>
                  </w:r>
                  <w:proofErr w:type="gramEnd"/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確認T-Shirt設計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提供16強總決賽宣傳影片_OT(Final Copy)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16強總決賽宣傳影片_OT(Final Copy)上線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提供線下總決賽rundown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報名截止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線上預賽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公布預賽晉級表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提供線下總決賽輸出設計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提供線下總決賽周邊設計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提供線下總決賽直播素材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確認線下總決賽資訊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lastRenderedPageBreak/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公布16強總決賽晉級表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6月14日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進場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活動當天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6月16日</w:t>
                  </w:r>
                </w:p>
              </w:tc>
            </w:tr>
          </w:tbl>
          <w:p w:rsidR="00B910EE" w:rsidRPr="00B910EE" w:rsidRDefault="00B910EE" w:rsidP="00B910EE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6A664B" w:rsidTr="006634C8">
        <w:trPr>
          <w:trHeight w:val="240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204D78" w:rsidRPr="003E453E" w:rsidRDefault="00204D78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907A72" w:rsidRPr="00CB63B8" w:rsidRDefault="00907A72" w:rsidP="00A04BCA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671A4" w:rsidRPr="00A6547A" w:rsidRDefault="00521B52" w:rsidP="00C06014">
            <w:pPr>
              <w:numPr>
                <w:ilvl w:val="0"/>
                <w:numId w:val="8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="00467152" w:rsidRPr="00A6547A">
              <w:rPr>
                <w:rFonts w:ascii="Arial" w:eastAsia="標楷體" w:hAnsi="Arial" w:cs="Arial"/>
                <w:sz w:val="26"/>
                <w:szCs w:val="26"/>
              </w:rPr>
              <w:t>WEBA</w:t>
            </w:r>
            <w:r w:rsidR="00703299" w:rsidRPr="00A6547A"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之後只可在銀行網域使用，創新提案專區需另找方案</w:t>
            </w:r>
          </w:p>
          <w:p w:rsidR="00CB1AF6" w:rsidRPr="00CB1AF6" w:rsidRDefault="00CB1AF6" w:rsidP="00C06014">
            <w:pPr>
              <w:pStyle w:val="a4"/>
              <w:numPr>
                <w:ilvl w:val="0"/>
                <w:numId w:val="8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1~4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月提案預計於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日下午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1:30~3:00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</w:p>
          <w:tbl>
            <w:tblPr>
              <w:tblStyle w:val="a3"/>
              <w:tblW w:w="8378" w:type="dxa"/>
              <w:tblLayout w:type="fixed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CB1AF6" w:rsidRPr="00390F79" w:rsidTr="00BB0CE3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產險開售</w:t>
                  </w:r>
                  <w:proofErr w:type="gramEnd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~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寵愛毛小孩一生一事完全照護寵物保險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含喪葬費用後事規劃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國泰產險商品科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2019-02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在網路投保活動上加入低價競標的想法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國泰人壽</w:t>
                  </w: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商品部、商品行銷科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2019-03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國泰世紀產險的</w:t>
                  </w:r>
                  <w:proofErr w:type="gramStart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旅綜險</w:t>
                  </w:r>
                  <w:proofErr w:type="gramEnd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經手人直接在產險核心輸入要保資料後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直接產生繳費單至超商或銀行繳費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無需再擔心現金流問題。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國泰產險保費部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國泰金控整合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行銷部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2019-04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基於事故偵測系統的防護保費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意外險加上軟體訂閱的服務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國泰產險車險相關部門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2019-05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1.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集中各子公司採購人員合署辦公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，發揮集團採購效益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2.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擴大引進優良廠商，設計公開招標網站及運作機制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2019-06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100E5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彈性上下班，自己的下班時間自己決定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2019-07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贊助均一教育平台成為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CSR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企業夥伴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公關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2019-08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B16C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strike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數位暨數據發展中心生活金融科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2019-09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整合國泰入口網站『幸福大亨』休假輕旅行與『國泰福利網』集團佈告欄各項優惠訊息，讓集團員工共享相關優惠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各公司福委會、</w:t>
                  </w:r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人資部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2019-10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為什麼我們與他企業如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NBA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、米其林等品牌合作策略是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國泰金送錢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給對方，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而非收它們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的錢？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國泰金控公關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lastRenderedPageBreak/>
                    <w:t>2019-11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CD28DD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752E6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將影印機設定為員工識別證感應辨識後才可操作印出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D71A4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各子公司總務部</w:t>
                  </w:r>
                </w:p>
              </w:tc>
            </w:tr>
            <w:tr w:rsidR="006634C8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6634C8" w:rsidRDefault="006634C8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6634C8" w:rsidRPr="00752E6D" w:rsidRDefault="006634C8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634C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建議公司開始關注高齡化社會對員工的影響，並新增相關休假制度及福利。</w:t>
                  </w:r>
                </w:p>
              </w:tc>
              <w:tc>
                <w:tcPr>
                  <w:tcW w:w="3969" w:type="dxa"/>
                  <w:vAlign w:val="center"/>
                </w:tcPr>
                <w:p w:rsidR="006634C8" w:rsidRPr="009D71A4" w:rsidRDefault="006634C8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</w:tbl>
          <w:p w:rsidR="00CB1AF6" w:rsidRPr="00CB63B8" w:rsidRDefault="00CB1AF6" w:rsidP="00CB1AF6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460BDB">
        <w:trPr>
          <w:trHeight w:val="29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6A664B" w:rsidRPr="0053541C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A24066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CB63B8" w:rsidRDefault="006A664B" w:rsidP="00C06014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="00793618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004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="0071561B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004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</w:t>
            </w:r>
            <w:r w:rsidR="007B4A24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E6786B" w:rsidRPr="00CB63B8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E6786B" w:rsidRPr="00CB63B8" w:rsidRDefault="00DB60E3" w:rsidP="005A2FA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0042E3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711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0042E3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354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E6786B" w:rsidRPr="00CB63B8" w:rsidRDefault="00FC3E25" w:rsidP="009A2954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0042E3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661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0042E3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670</w:t>
                  </w:r>
                </w:p>
              </w:tc>
            </w:tr>
          </w:tbl>
          <w:p w:rsidR="00842FB6" w:rsidRDefault="006A664B" w:rsidP="00C06014">
            <w:pPr>
              <w:numPr>
                <w:ilvl w:val="0"/>
                <w:numId w:val="9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275"/>
              <w:gridCol w:w="1559"/>
              <w:gridCol w:w="1559"/>
              <w:gridCol w:w="1559"/>
              <w:gridCol w:w="1418"/>
            </w:tblGrid>
            <w:tr w:rsidR="000042E3" w:rsidRPr="009B3257" w:rsidTr="000042E3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1275" w:type="dxa"/>
                  <w:shd w:val="clear" w:color="auto" w:fill="D9D9D9"/>
                  <w:vAlign w:val="center"/>
                </w:tcPr>
                <w:p w:rsidR="000042E3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4</w:t>
                  </w:r>
                  <w:r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szCs w:val="22"/>
                    </w:rPr>
                    <w:t>4/1-4/</w:t>
                  </w:r>
                  <w:r>
                    <w:rPr>
                      <w:rFonts w:ascii="Arial" w:hAnsi="Arial" w:cs="Arial" w:hint="eastAsia"/>
                      <w:szCs w:val="22"/>
                    </w:rPr>
                    <w:t>29)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042E3" w:rsidRPr="000042E3" w:rsidRDefault="000042E3" w:rsidP="000042E3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0042E3" w:rsidRPr="009B3257" w:rsidRDefault="000042E3" w:rsidP="000042E3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(5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7)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0042E3" w:rsidRPr="000042E3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5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7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0042E3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1275" w:type="dxa"/>
                  <w:vAlign w:val="center"/>
                </w:tcPr>
                <w:p w:rsidR="000042E3" w:rsidRPr="000042E3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6,266</w:t>
                  </w:r>
                </w:p>
              </w:tc>
              <w:tc>
                <w:tcPr>
                  <w:tcW w:w="1559" w:type="dxa"/>
                </w:tcPr>
                <w:p w:rsidR="000042E3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1,045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4</w:t>
                  </w:r>
                  <w:r>
                    <w:rPr>
                      <w:rFonts w:ascii="Arial" w:hAnsi="Arial" w:cs="Arial"/>
                      <w:color w:val="FF0000"/>
                    </w:rPr>
                    <w:t>,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691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9B3257" w:rsidRDefault="000042E3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0042E3" w:rsidRPr="0008262C" w:rsidRDefault="000042E3" w:rsidP="00271391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6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3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84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0042E3" w:rsidRPr="009B3257" w:rsidTr="000042E3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1275" w:type="dxa"/>
                  <w:vAlign w:val="center"/>
                </w:tcPr>
                <w:p w:rsidR="000042E3" w:rsidRPr="000042E3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299</w:t>
                  </w:r>
                </w:p>
              </w:tc>
              <w:tc>
                <w:tcPr>
                  <w:tcW w:w="1559" w:type="dxa"/>
                </w:tcPr>
                <w:p w:rsidR="000042E3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45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4,026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9B3257" w:rsidRDefault="000042E3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47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0042E3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1275" w:type="dxa"/>
                  <w:vAlign w:val="center"/>
                </w:tcPr>
                <w:p w:rsidR="000042E3" w:rsidRPr="000042E3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1,541</w:t>
                  </w:r>
                </w:p>
              </w:tc>
              <w:tc>
                <w:tcPr>
                  <w:tcW w:w="1559" w:type="dxa"/>
                </w:tcPr>
                <w:p w:rsidR="000042E3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455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</w:t>
                  </w:r>
                  <w:r>
                    <w:rPr>
                      <w:rFonts w:ascii="Arial" w:hAnsi="Arial" w:cs="Arial"/>
                      <w:color w:val="FF0000"/>
                    </w:rPr>
                    <w:t>,444</w:t>
                  </w:r>
                </w:p>
              </w:tc>
              <w:tc>
                <w:tcPr>
                  <w:tcW w:w="1559" w:type="dxa"/>
                  <w:vAlign w:val="center"/>
                </w:tcPr>
                <w:p w:rsidR="000042E3" w:rsidRPr="009B3257" w:rsidRDefault="000042E3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3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3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73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0042E3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0042E3" w:rsidRPr="009B3257" w:rsidRDefault="000042E3" w:rsidP="00271391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1275" w:type="dxa"/>
                  <w:shd w:val="clear" w:color="auto" w:fill="F2F2F2"/>
                  <w:vAlign w:val="center"/>
                </w:tcPr>
                <w:p w:rsidR="000042E3" w:rsidRPr="000042E3" w:rsidRDefault="000042E3" w:rsidP="00271391">
                  <w:pPr>
                    <w:spacing w:line="276" w:lineRule="auto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bCs/>
                      <w:szCs w:val="22"/>
                    </w:rPr>
                    <w:t>8,106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0042E3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1,545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58</w:t>
                  </w:r>
                  <w:r>
                    <w:rPr>
                      <w:rFonts w:ascii="Arial" w:hAnsi="Arial" w:cs="Arial"/>
                      <w:color w:val="FF0000"/>
                    </w:rPr>
                    <w:t>,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161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0042E3" w:rsidRPr="009B3257" w:rsidRDefault="000042E3" w:rsidP="00271391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  <w:vAlign w:val="center"/>
                </w:tcPr>
                <w:p w:rsidR="000042E3" w:rsidRPr="0008262C" w:rsidRDefault="000042E3" w:rsidP="00271391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30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94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6068C5" w:rsidRPr="000042E3" w:rsidRDefault="00CF6E5F" w:rsidP="00C06014">
            <w:pPr>
              <w:pStyle w:val="a4"/>
              <w:numPr>
                <w:ilvl w:val="0"/>
                <w:numId w:val="40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經人壽整行開會決議，自</w:t>
            </w: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Q3</w:t>
            </w:r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起因應獎勵辦法整</w:t>
            </w:r>
            <w:proofErr w:type="gramStart"/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，將不推行信用卡單位及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區部的獎勵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，國泰優惠若要推廣可能須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採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單獨推廣</w:t>
            </w:r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，須與營企再討論。</w:t>
            </w:r>
          </w:p>
          <w:p w:rsidR="00480151" w:rsidRDefault="002C0BA5" w:rsidP="00C06014">
            <w:pPr>
              <w:pStyle w:val="a4"/>
              <w:numPr>
                <w:ilvl w:val="0"/>
                <w:numId w:val="40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DS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將於</w:t>
            </w:r>
            <w:r w:rsidR="000042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Q4(9-11</w:t>
            </w:r>
            <w:r w:rsidR="000042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="000042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推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，已告知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A36C24" w:rsidRPr="00A36C24" w:rsidRDefault="00A36C24" w:rsidP="00C06014">
            <w:pPr>
              <w:pStyle w:val="a4"/>
              <w:numPr>
                <w:ilvl w:val="0"/>
                <w:numId w:val="40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分行第三季獎勵已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與卡企達成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協議，將搭配信用卡獎勵專案推廣，國泰優惠預算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萬元整，搭配信用卡推廣獎勵整個專案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56.7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萬元。</w:t>
            </w:r>
            <w:r>
              <w:rPr>
                <w:rFonts w:ascii="Arial" w:eastAsia="標楷體" w:hAnsi="Arial" w:cs="Arial"/>
                <w:color w:val="FF0000"/>
                <w:sz w:val="26"/>
                <w:szCs w:val="26"/>
              </w:rPr>
              <w:br/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預計純增會員</w:t>
            </w:r>
            <w:proofErr w:type="gramEnd"/>
            <w:r w:rsidRPr="00A36C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35,000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人，</w:t>
            </w:r>
            <w:r w:rsidRPr="00A36C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綁定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</w:t>
            </w:r>
            <w:r w:rsidRPr="00A36C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功能新戶</w:t>
            </w:r>
            <w:r w:rsidRPr="00A36C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10,000</w:t>
            </w:r>
            <w:r w:rsidRPr="00A36C2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D947D1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6A664B" w:rsidRPr="00BB2F17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6A664B" w:rsidRDefault="006A664B" w:rsidP="00C06014">
            <w:pPr>
              <w:numPr>
                <w:ilvl w:val="0"/>
                <w:numId w:val="10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7B4A24" w:rsidRDefault="007B4A24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1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5D38E6" w:rsidRPr="00D12B6B" w:rsidRDefault="005D38E6" w:rsidP="00C06014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r w:rsidR="001C3632">
              <w:fldChar w:fldCharType="begin"/>
            </w:r>
            <w:r w:rsidR="001C3632">
              <w:instrText xml:space="preserve"> HYPERLINK "https://reurl.cc/8qrog" </w:instrText>
            </w:r>
            <w:r w:rsidR="001C3632">
              <w:fldChar w:fldCharType="separate"/>
            </w:r>
            <w:r w:rsidR="00D46038">
              <w:rPr>
                <w:rStyle w:val="ae"/>
              </w:rPr>
              <w:t>https://reurl.cc/8qrog</w:t>
            </w:r>
            <w:r w:rsidR="001C3632">
              <w:rPr>
                <w:rStyle w:val="ae"/>
              </w:rPr>
              <w:fldChar w:fldCharType="end"/>
            </w:r>
          </w:p>
          <w:p w:rsidR="006A664B" w:rsidRDefault="006A664B" w:rsidP="00D12B6B">
            <w:pPr>
              <w:spacing w:line="360" w:lineRule="exact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284901" w:rsidRPr="00651079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CF6E5F" w:rsidRDefault="00D12B6B" w:rsidP="00225906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293C13">
                    <w:rPr>
                      <w:rFonts w:ascii="Arial" w:eastAsia="標楷體" w:hAnsi="Arial" w:cs="Arial" w:hint="eastAsia"/>
                      <w:color w:val="FF0000"/>
                    </w:rPr>
                    <w:t>UDN</w:t>
                  </w:r>
                  <w:r w:rsidRPr="00293C13">
                    <w:rPr>
                      <w:rFonts w:ascii="Arial" w:eastAsia="標楷體" w:hAnsi="Arial" w:cs="Arial" w:hint="eastAsia"/>
                      <w:color w:val="FF0000"/>
                    </w:rPr>
                    <w:t>用印</w:t>
                  </w:r>
                  <w:r w:rsidR="00293C13" w:rsidRPr="00293C13">
                    <w:rPr>
                      <w:rFonts w:ascii="Arial" w:eastAsia="標楷體" w:hAnsi="Arial" w:cs="Arial" w:hint="eastAsia"/>
                      <w:color w:val="FF0000"/>
                    </w:rPr>
                    <w:t>完成，</w:t>
                  </w:r>
                  <w:proofErr w:type="gramStart"/>
                  <w:r w:rsidR="00293C13" w:rsidRPr="00293C13">
                    <w:rPr>
                      <w:rFonts w:ascii="Arial" w:eastAsia="標楷體" w:hAnsi="Arial" w:cs="Arial" w:hint="eastAsia"/>
                      <w:color w:val="FF0000"/>
                    </w:rPr>
                    <w:t>金控準備</w:t>
                  </w:r>
                  <w:proofErr w:type="gramEnd"/>
                  <w:r w:rsidR="00293C13" w:rsidRPr="00293C13">
                    <w:rPr>
                      <w:rFonts w:ascii="Arial" w:eastAsia="標楷體" w:hAnsi="Arial" w:cs="Arial" w:hint="eastAsia"/>
                      <w:color w:val="FF0000"/>
                    </w:rPr>
                    <w:t>用印</w:t>
                  </w:r>
                  <w:r w:rsidRPr="00293C13">
                    <w:rPr>
                      <w:rFonts w:ascii="Arial" w:eastAsia="標楷體" w:hAnsi="Arial" w:cs="Arial" w:hint="eastAsia"/>
                      <w:color w:val="FF0000"/>
                    </w:rPr>
                    <w:t>。</w:t>
                  </w:r>
                </w:p>
              </w:tc>
            </w:tr>
            <w:tr w:rsidR="00284901" w:rsidRPr="00F62BAE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lastRenderedPageBreak/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D12B6B" w:rsidRPr="00CF6E5F" w:rsidRDefault="00284901" w:rsidP="00CF6E5F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CF6E5F">
                    <w:rPr>
                      <w:rFonts w:ascii="Arial" w:eastAsia="標楷體" w:hAnsi="Arial" w:cs="Arial" w:hint="eastAsia"/>
                    </w:rPr>
                    <w:t>廣宣排程</w:t>
                  </w:r>
                  <w:proofErr w:type="gramEnd"/>
                  <w:r w:rsidRPr="00CF6E5F">
                    <w:rPr>
                      <w:rFonts w:ascii="Arial" w:eastAsia="標楷體" w:hAnsi="Arial" w:cs="Arial" w:hint="eastAsia"/>
                    </w:rPr>
                    <w:t>：</w:t>
                  </w:r>
                  <w:r w:rsidR="001C3632">
                    <w:fldChar w:fldCharType="begin"/>
                  </w:r>
                  <w:r w:rsidR="001C3632">
                    <w:instrText xml:space="preserve"> HYPERLINK "https://reurl.cc/bG25y" </w:instrText>
                  </w:r>
                  <w:r w:rsidR="001C3632">
                    <w:fldChar w:fldCharType="separate"/>
                  </w:r>
                  <w:r w:rsidRPr="00CF6E5F">
                    <w:rPr>
                      <w:rStyle w:val="ae"/>
                      <w:rFonts w:ascii="Arial" w:eastAsia="標楷體" w:hAnsi="Arial" w:cs="Arial"/>
                      <w:color w:val="auto"/>
                    </w:rPr>
                    <w:t>https://reurl.cc/bG25y</w:t>
                  </w:r>
                  <w:r w:rsidR="001C3632">
                    <w:rPr>
                      <w:rStyle w:val="ae"/>
                      <w:rFonts w:ascii="Arial" w:eastAsia="標楷體" w:hAnsi="Arial" w:cs="Arial"/>
                      <w:color w:val="auto"/>
                    </w:rPr>
                    <w:fldChar w:fldCharType="end"/>
                  </w:r>
                  <w:r w:rsidRPr="00CF6E5F">
                    <w:rPr>
                      <w:rFonts w:ascii="Arial" w:eastAsia="標楷體" w:hAnsi="Arial" w:cs="Arial" w:hint="eastAsia"/>
                    </w:rPr>
                    <w:t xml:space="preserve"> </w:t>
                  </w:r>
                </w:p>
              </w:tc>
            </w:tr>
            <w:tr w:rsidR="00284901" w:rsidRPr="0061352F" w:rsidTr="000A5FE2">
              <w:trPr>
                <w:trHeight w:val="395"/>
                <w:jc w:val="center"/>
              </w:trPr>
              <w:tc>
                <w:tcPr>
                  <w:tcW w:w="117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活動獎項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2BAE" w:rsidRPr="00CF6E5F" w:rsidRDefault="00225906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CF6E5F">
                    <w:rPr>
                      <w:rFonts w:ascii="Arial" w:eastAsia="標楷體" w:hAnsi="Arial" w:cs="Arial" w:hint="eastAsia"/>
                    </w:rPr>
                    <w:t>7-11</w:t>
                  </w:r>
                  <w:r w:rsidRPr="00CF6E5F">
                    <w:rPr>
                      <w:rFonts w:ascii="Arial" w:eastAsia="標楷體" w:hAnsi="Arial" w:cs="Arial" w:hint="eastAsia"/>
                    </w:rPr>
                    <w:t>禮券出借已達</w:t>
                  </w:r>
                  <w:r w:rsidRPr="00CF6E5F">
                    <w:rPr>
                      <w:rFonts w:ascii="Arial" w:eastAsia="標楷體" w:hAnsi="Arial" w:cs="Arial" w:hint="eastAsia"/>
                    </w:rPr>
                    <w:t>MR</w:t>
                  </w:r>
                  <w:r w:rsidRPr="00CF6E5F">
                    <w:rPr>
                      <w:rFonts w:ascii="Arial" w:eastAsia="標楷體" w:hAnsi="Arial" w:cs="Arial" w:hint="eastAsia"/>
                    </w:rPr>
                    <w:t>極限，本</w:t>
                  </w:r>
                  <w:proofErr w:type="gramStart"/>
                  <w:r w:rsidRPr="00CF6E5F">
                    <w:rPr>
                      <w:rFonts w:ascii="Arial" w:eastAsia="標楷體" w:hAnsi="Arial" w:cs="Arial" w:hint="eastAsia"/>
                    </w:rPr>
                    <w:t>週</w:t>
                  </w:r>
                  <w:proofErr w:type="gramEnd"/>
                  <w:r w:rsidRPr="00CF6E5F">
                    <w:rPr>
                      <w:rFonts w:ascii="Arial" w:eastAsia="標楷體" w:hAnsi="Arial" w:cs="Arial" w:hint="eastAsia"/>
                    </w:rPr>
                    <w:t>將會開始發布獎項延後通知。</w:t>
                  </w:r>
                </w:p>
              </w:tc>
            </w:tr>
          </w:tbl>
          <w:p w:rsidR="00D50B62" w:rsidRDefault="00F579F9" w:rsidP="00D50B62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NBA3X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proofErr w:type="gram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線上活動</w:t>
            </w:r>
            <w:proofErr w:type="gram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-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#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百發百中挑戰賽</w:t>
            </w:r>
          </w:p>
          <w:p w:rsidR="00F579F9" w:rsidRPr="00D50B62" w:rsidRDefault="00F579F9" w:rsidP="00D50B62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已邀請球星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Rashard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Lewis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及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KOL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拍攝完畢有趣的神</w:t>
            </w:r>
            <w:proofErr w:type="gram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準</w:t>
            </w:r>
            <w:proofErr w:type="gram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投球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短片，活動期間為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4/19-5/12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，將協助於國泰相關管道作曝光。</w:t>
            </w:r>
          </w:p>
          <w:p w:rsidR="002C0BA5" w:rsidRPr="00D50B62" w:rsidRDefault="002C0BA5" w:rsidP="00D50B62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預計於總冠軍加碼，購買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200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份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100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元家樂福電子禮券，以吸引新玩加入；購買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</w:t>
            </w:r>
            <w:r w:rsidRPr="00D50B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件總冠軍賽獲勝隊伍球衣，新舊玩家皆可抽。</w:t>
            </w:r>
          </w:p>
          <w:p w:rsidR="00D50B62" w:rsidRPr="00D50B62" w:rsidRDefault="00D50B62" w:rsidP="00D50B62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KOKO Lab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策展：預計於五月底至八月進行籃球主題策展，活動主題為暫定為「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初心籃球場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」。</w:t>
            </w:r>
          </w:p>
          <w:p w:rsidR="009C7BA7" w:rsidRPr="002C0BA5" w:rsidRDefault="009C7BA7" w:rsidP="002C0BA5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3E453E" w:rsidRDefault="006A664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DF10CC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6A664B" w:rsidRPr="00596E38" w:rsidRDefault="006A664B" w:rsidP="00C06014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6A664B" w:rsidRPr="00B61EE6" w:rsidRDefault="006A664B" w:rsidP="00C06014">
            <w:pPr>
              <w:numPr>
                <w:ilvl w:val="0"/>
                <w:numId w:val="13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6A664B" w:rsidRPr="00225906" w:rsidRDefault="00F45EC7" w:rsidP="00C06014">
            <w:pPr>
              <w:numPr>
                <w:ilvl w:val="0"/>
                <w:numId w:val="11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持續追藍新進度</w:t>
            </w:r>
            <w:r w:rsidR="00190ECE" w:rsidRPr="00225906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9964C0" w:rsidRPr="009964C0" w:rsidRDefault="006A664B" w:rsidP="00C06014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524D2D" w:rsidRPr="004D6D5B" w:rsidRDefault="00353875" w:rsidP="004D6D5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五</w:t>
            </w:r>
            <w:r w:rsidR="006A664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</w:t>
            </w:r>
            <w:r w:rsidR="0022680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詳見表單</w:t>
            </w:r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2" w:history="1">
              <w:r w:rsidR="00E20E82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</w:tc>
      </w:tr>
      <w:tr w:rsidR="00B30D42" w:rsidTr="005E5973">
        <w:trPr>
          <w:gridAfter w:val="2"/>
          <w:wAfter w:w="10290" w:type="dxa"/>
        </w:trPr>
        <w:tc>
          <w:tcPr>
            <w:tcW w:w="510" w:type="dxa"/>
            <w:vAlign w:val="center"/>
          </w:tcPr>
          <w:p w:rsidR="00B30D42" w:rsidRPr="003E453E" w:rsidRDefault="00B30D4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E3" w:rsidRDefault="000042E3" w:rsidP="009F1F0B">
      <w:r>
        <w:separator/>
      </w:r>
    </w:p>
  </w:endnote>
  <w:endnote w:type="continuationSeparator" w:id="0">
    <w:p w:rsidR="000042E3" w:rsidRDefault="000042E3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E3" w:rsidRDefault="000042E3" w:rsidP="009F1F0B">
      <w:r>
        <w:separator/>
      </w:r>
    </w:p>
  </w:footnote>
  <w:footnote w:type="continuationSeparator" w:id="0">
    <w:p w:rsidR="000042E3" w:rsidRDefault="000042E3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82"/>
    <w:multiLevelType w:val="hybridMultilevel"/>
    <w:tmpl w:val="3FD2DE16"/>
    <w:lvl w:ilvl="0" w:tplc="C4B8422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2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4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1963B3"/>
    <w:multiLevelType w:val="hybridMultilevel"/>
    <w:tmpl w:val="E3A4B5E2"/>
    <w:lvl w:ilvl="0" w:tplc="02A2708E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1F57E2"/>
    <w:multiLevelType w:val="hybridMultilevel"/>
    <w:tmpl w:val="9D566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B856F0"/>
    <w:multiLevelType w:val="hybridMultilevel"/>
    <w:tmpl w:val="BF2E03BA"/>
    <w:lvl w:ilvl="0" w:tplc="5FEA1106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17B31DB"/>
    <w:multiLevelType w:val="hybridMultilevel"/>
    <w:tmpl w:val="0ADA96E2"/>
    <w:lvl w:ilvl="0" w:tplc="E63AC5B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7E62B7"/>
    <w:multiLevelType w:val="hybridMultilevel"/>
    <w:tmpl w:val="63F87688"/>
    <w:lvl w:ilvl="0" w:tplc="B366FAF2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6B76EFD"/>
    <w:multiLevelType w:val="hybridMultilevel"/>
    <w:tmpl w:val="4C444E4A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5621EC2"/>
    <w:multiLevelType w:val="hybridMultilevel"/>
    <w:tmpl w:val="6A7EF060"/>
    <w:lvl w:ilvl="0" w:tplc="96CC7EB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9A47B29"/>
    <w:multiLevelType w:val="hybridMultilevel"/>
    <w:tmpl w:val="2D30D82E"/>
    <w:lvl w:ilvl="0" w:tplc="9BDAA556">
      <w:start w:val="1"/>
      <w:numFmt w:val="decimal"/>
      <w:lvlText w:val="(%1)"/>
      <w:lvlJc w:val="left"/>
      <w:pPr>
        <w:ind w:left="960" w:hanging="48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C1D651E"/>
    <w:multiLevelType w:val="hybridMultilevel"/>
    <w:tmpl w:val="38A0B1DC"/>
    <w:lvl w:ilvl="0" w:tplc="EC7A8F5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E9C33A5"/>
    <w:multiLevelType w:val="hybridMultilevel"/>
    <w:tmpl w:val="B084501C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71D210EC">
      <w:start w:val="3"/>
      <w:numFmt w:val="taiwaneseCountingThousand"/>
      <w:lvlText w:val="（%2）"/>
      <w:lvlJc w:val="left"/>
      <w:pPr>
        <w:ind w:left="1245" w:hanging="765"/>
      </w:pPr>
      <w:rPr>
        <w:rFonts w:hint="default"/>
      </w:rPr>
    </w:lvl>
    <w:lvl w:ilvl="2" w:tplc="A6DCB374">
      <w:start w:val="1"/>
      <w:numFmt w:val="taiwaneseCountingThousand"/>
      <w:lvlText w:val="%3、"/>
      <w:lvlJc w:val="left"/>
      <w:pPr>
        <w:ind w:left="168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5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82E5321"/>
    <w:multiLevelType w:val="hybridMultilevel"/>
    <w:tmpl w:val="9EF0DDD8"/>
    <w:lvl w:ilvl="0" w:tplc="BB1CD4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8896612"/>
    <w:multiLevelType w:val="hybridMultilevel"/>
    <w:tmpl w:val="8A44FC02"/>
    <w:lvl w:ilvl="0" w:tplc="E5CC421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99E7A59"/>
    <w:multiLevelType w:val="hybridMultilevel"/>
    <w:tmpl w:val="284A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D102AF5"/>
    <w:multiLevelType w:val="hybridMultilevel"/>
    <w:tmpl w:val="78442534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21A7D91"/>
    <w:multiLevelType w:val="hybridMultilevel"/>
    <w:tmpl w:val="2F8EBF72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36353D8"/>
    <w:multiLevelType w:val="hybridMultilevel"/>
    <w:tmpl w:val="BF2A4892"/>
    <w:lvl w:ilvl="0" w:tplc="E5CC421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51E7E04"/>
    <w:multiLevelType w:val="hybridMultilevel"/>
    <w:tmpl w:val="4DAC16B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6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7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9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>
    <w:nsid w:val="73F55E44"/>
    <w:multiLevelType w:val="hybridMultilevel"/>
    <w:tmpl w:val="E774FA14"/>
    <w:lvl w:ilvl="0" w:tplc="682AAEB0">
      <w:start w:val="1"/>
      <w:numFmt w:val="decimal"/>
      <w:lvlText w:val="(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3">
    <w:nsid w:val="7D340CC5"/>
    <w:multiLevelType w:val="hybridMultilevel"/>
    <w:tmpl w:val="207EEBBC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5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26"/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4"/>
  </w:num>
  <w:num w:numId="6">
    <w:abstractNumId w:val="39"/>
  </w:num>
  <w:num w:numId="7">
    <w:abstractNumId w:val="2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0"/>
  </w:num>
  <w:num w:numId="11">
    <w:abstractNumId w:val="1"/>
  </w:num>
  <w:num w:numId="12">
    <w:abstractNumId w:val="41"/>
  </w:num>
  <w:num w:numId="13">
    <w:abstractNumId w:val="3"/>
  </w:num>
  <w:num w:numId="14">
    <w:abstractNumId w:val="25"/>
  </w:num>
  <w:num w:numId="15">
    <w:abstractNumId w:val="2"/>
  </w:num>
  <w:num w:numId="16">
    <w:abstractNumId w:val="7"/>
  </w:num>
  <w:num w:numId="17">
    <w:abstractNumId w:val="22"/>
  </w:num>
  <w:num w:numId="18">
    <w:abstractNumId w:val="42"/>
  </w:num>
  <w:num w:numId="19">
    <w:abstractNumId w:val="4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8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8"/>
  </w:num>
  <w:num w:numId="27">
    <w:abstractNumId w:val="20"/>
  </w:num>
  <w:num w:numId="28">
    <w:abstractNumId w:val="15"/>
  </w:num>
  <w:num w:numId="29">
    <w:abstractNumId w:val="5"/>
  </w:num>
  <w:num w:numId="30">
    <w:abstractNumId w:val="12"/>
  </w:num>
  <w:num w:numId="31">
    <w:abstractNumId w:val="11"/>
  </w:num>
  <w:num w:numId="32">
    <w:abstractNumId w:val="21"/>
  </w:num>
  <w:num w:numId="33">
    <w:abstractNumId w:val="36"/>
  </w:num>
  <w:num w:numId="34">
    <w:abstractNumId w:val="19"/>
  </w:num>
  <w:num w:numId="35">
    <w:abstractNumId w:val="40"/>
  </w:num>
  <w:num w:numId="36">
    <w:abstractNumId w:val="38"/>
  </w:num>
  <w:num w:numId="37">
    <w:abstractNumId w:val="16"/>
  </w:num>
  <w:num w:numId="38">
    <w:abstractNumId w:val="9"/>
  </w:num>
  <w:num w:numId="39">
    <w:abstractNumId w:val="45"/>
  </w:num>
  <w:num w:numId="40">
    <w:abstractNumId w:val="35"/>
  </w:num>
  <w:num w:numId="41">
    <w:abstractNumId w:val="34"/>
  </w:num>
  <w:num w:numId="42">
    <w:abstractNumId w:val="17"/>
  </w:num>
  <w:num w:numId="43">
    <w:abstractNumId w:val="13"/>
  </w:num>
  <w:num w:numId="44">
    <w:abstractNumId w:val="31"/>
  </w:num>
  <w:num w:numId="45">
    <w:abstractNumId w:val="43"/>
  </w:num>
  <w:num w:numId="46">
    <w:abstractNumId w:val="29"/>
  </w:num>
  <w:num w:numId="47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69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42E3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27B09"/>
    <w:rsid w:val="000300D1"/>
    <w:rsid w:val="000313A2"/>
    <w:rsid w:val="00032E3F"/>
    <w:rsid w:val="00033C22"/>
    <w:rsid w:val="00034A0C"/>
    <w:rsid w:val="00035A0D"/>
    <w:rsid w:val="0003765B"/>
    <w:rsid w:val="00043F45"/>
    <w:rsid w:val="0004634D"/>
    <w:rsid w:val="000465F1"/>
    <w:rsid w:val="00053D7D"/>
    <w:rsid w:val="0005733C"/>
    <w:rsid w:val="00057757"/>
    <w:rsid w:val="00057D30"/>
    <w:rsid w:val="00061DC7"/>
    <w:rsid w:val="000651B1"/>
    <w:rsid w:val="000674B7"/>
    <w:rsid w:val="00067E10"/>
    <w:rsid w:val="00070ABA"/>
    <w:rsid w:val="00070E61"/>
    <w:rsid w:val="00071555"/>
    <w:rsid w:val="000753C1"/>
    <w:rsid w:val="00077C98"/>
    <w:rsid w:val="000806B2"/>
    <w:rsid w:val="0008228C"/>
    <w:rsid w:val="0008262C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E1391"/>
    <w:rsid w:val="000E299F"/>
    <w:rsid w:val="000E55BE"/>
    <w:rsid w:val="000E68F1"/>
    <w:rsid w:val="000E7C77"/>
    <w:rsid w:val="000F04AF"/>
    <w:rsid w:val="00101407"/>
    <w:rsid w:val="00113A67"/>
    <w:rsid w:val="00116241"/>
    <w:rsid w:val="00117CE8"/>
    <w:rsid w:val="00117EF3"/>
    <w:rsid w:val="00123498"/>
    <w:rsid w:val="00123D6A"/>
    <w:rsid w:val="001275A1"/>
    <w:rsid w:val="00130648"/>
    <w:rsid w:val="0013223C"/>
    <w:rsid w:val="00135C59"/>
    <w:rsid w:val="00141D07"/>
    <w:rsid w:val="00144D6D"/>
    <w:rsid w:val="001502F0"/>
    <w:rsid w:val="001531EF"/>
    <w:rsid w:val="001536F0"/>
    <w:rsid w:val="0015503E"/>
    <w:rsid w:val="001552AA"/>
    <w:rsid w:val="00156D62"/>
    <w:rsid w:val="00163B03"/>
    <w:rsid w:val="00167462"/>
    <w:rsid w:val="00170562"/>
    <w:rsid w:val="001712BF"/>
    <w:rsid w:val="001743D4"/>
    <w:rsid w:val="001749B4"/>
    <w:rsid w:val="00176EC4"/>
    <w:rsid w:val="0018623C"/>
    <w:rsid w:val="00190ECE"/>
    <w:rsid w:val="0019140E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3632"/>
    <w:rsid w:val="001C46E2"/>
    <w:rsid w:val="001C5378"/>
    <w:rsid w:val="001C552C"/>
    <w:rsid w:val="001C5C67"/>
    <w:rsid w:val="001C68A9"/>
    <w:rsid w:val="001C727E"/>
    <w:rsid w:val="001D0EA9"/>
    <w:rsid w:val="001D25DC"/>
    <w:rsid w:val="001D4601"/>
    <w:rsid w:val="001D4B26"/>
    <w:rsid w:val="001D635F"/>
    <w:rsid w:val="001E0B0C"/>
    <w:rsid w:val="001E5B81"/>
    <w:rsid w:val="001E67DC"/>
    <w:rsid w:val="001F1EA2"/>
    <w:rsid w:val="001F417C"/>
    <w:rsid w:val="001F6D47"/>
    <w:rsid w:val="001F7EDE"/>
    <w:rsid w:val="0020334D"/>
    <w:rsid w:val="00204D78"/>
    <w:rsid w:val="0020509D"/>
    <w:rsid w:val="00205550"/>
    <w:rsid w:val="002133F0"/>
    <w:rsid w:val="00213DDC"/>
    <w:rsid w:val="002141F8"/>
    <w:rsid w:val="00214AD8"/>
    <w:rsid w:val="00217F6D"/>
    <w:rsid w:val="002206D5"/>
    <w:rsid w:val="002220B8"/>
    <w:rsid w:val="00225906"/>
    <w:rsid w:val="00226808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F28"/>
    <w:rsid w:val="002529C3"/>
    <w:rsid w:val="002529F0"/>
    <w:rsid w:val="002543E1"/>
    <w:rsid w:val="002557FA"/>
    <w:rsid w:val="00256B53"/>
    <w:rsid w:val="00263521"/>
    <w:rsid w:val="0026357D"/>
    <w:rsid w:val="00265073"/>
    <w:rsid w:val="00267D3C"/>
    <w:rsid w:val="00270512"/>
    <w:rsid w:val="00270CEF"/>
    <w:rsid w:val="00271391"/>
    <w:rsid w:val="002737E3"/>
    <w:rsid w:val="00274519"/>
    <w:rsid w:val="00274CB8"/>
    <w:rsid w:val="002774C8"/>
    <w:rsid w:val="002808FC"/>
    <w:rsid w:val="00281260"/>
    <w:rsid w:val="00282B60"/>
    <w:rsid w:val="00284901"/>
    <w:rsid w:val="0029067C"/>
    <w:rsid w:val="00290F4D"/>
    <w:rsid w:val="0029132F"/>
    <w:rsid w:val="00293C13"/>
    <w:rsid w:val="00294BC8"/>
    <w:rsid w:val="00294C2F"/>
    <w:rsid w:val="002A1468"/>
    <w:rsid w:val="002A3D59"/>
    <w:rsid w:val="002A6DF2"/>
    <w:rsid w:val="002B0ECD"/>
    <w:rsid w:val="002B2B8D"/>
    <w:rsid w:val="002B48EF"/>
    <w:rsid w:val="002B50FD"/>
    <w:rsid w:val="002B7475"/>
    <w:rsid w:val="002B7816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58C2"/>
    <w:rsid w:val="002D5C27"/>
    <w:rsid w:val="002E297F"/>
    <w:rsid w:val="002E3D44"/>
    <w:rsid w:val="002E5812"/>
    <w:rsid w:val="002E5EF3"/>
    <w:rsid w:val="002E7578"/>
    <w:rsid w:val="002F0664"/>
    <w:rsid w:val="002F0ED6"/>
    <w:rsid w:val="002F4157"/>
    <w:rsid w:val="002F6768"/>
    <w:rsid w:val="003004F0"/>
    <w:rsid w:val="00300FF8"/>
    <w:rsid w:val="00301DB3"/>
    <w:rsid w:val="003042DB"/>
    <w:rsid w:val="003046B8"/>
    <w:rsid w:val="00304F2D"/>
    <w:rsid w:val="00307FC7"/>
    <w:rsid w:val="00310002"/>
    <w:rsid w:val="00310DDE"/>
    <w:rsid w:val="00312A11"/>
    <w:rsid w:val="00312C4F"/>
    <w:rsid w:val="00315ECF"/>
    <w:rsid w:val="0031680A"/>
    <w:rsid w:val="00322292"/>
    <w:rsid w:val="00324307"/>
    <w:rsid w:val="0033092E"/>
    <w:rsid w:val="00330A08"/>
    <w:rsid w:val="0033783A"/>
    <w:rsid w:val="00342244"/>
    <w:rsid w:val="00347704"/>
    <w:rsid w:val="0035017F"/>
    <w:rsid w:val="003518C7"/>
    <w:rsid w:val="00353875"/>
    <w:rsid w:val="0036142D"/>
    <w:rsid w:val="00374941"/>
    <w:rsid w:val="00376CB8"/>
    <w:rsid w:val="00381CFD"/>
    <w:rsid w:val="00381DED"/>
    <w:rsid w:val="003838A2"/>
    <w:rsid w:val="00384287"/>
    <w:rsid w:val="00385758"/>
    <w:rsid w:val="00390335"/>
    <w:rsid w:val="00390F79"/>
    <w:rsid w:val="00391C99"/>
    <w:rsid w:val="003922C6"/>
    <w:rsid w:val="00392BEB"/>
    <w:rsid w:val="00395418"/>
    <w:rsid w:val="003963F3"/>
    <w:rsid w:val="0039763C"/>
    <w:rsid w:val="003A0313"/>
    <w:rsid w:val="003A283E"/>
    <w:rsid w:val="003A3C6D"/>
    <w:rsid w:val="003A4FBC"/>
    <w:rsid w:val="003A524D"/>
    <w:rsid w:val="003B01D4"/>
    <w:rsid w:val="003B1C7C"/>
    <w:rsid w:val="003B1F82"/>
    <w:rsid w:val="003B5AB9"/>
    <w:rsid w:val="003B5F26"/>
    <w:rsid w:val="003B652B"/>
    <w:rsid w:val="003C06BE"/>
    <w:rsid w:val="003C16EA"/>
    <w:rsid w:val="003C4235"/>
    <w:rsid w:val="003C6CE4"/>
    <w:rsid w:val="003C6FC9"/>
    <w:rsid w:val="003D02C1"/>
    <w:rsid w:val="003D14DB"/>
    <w:rsid w:val="003D262A"/>
    <w:rsid w:val="003D39A6"/>
    <w:rsid w:val="003D430E"/>
    <w:rsid w:val="003D5346"/>
    <w:rsid w:val="003D68AF"/>
    <w:rsid w:val="003E2CE4"/>
    <w:rsid w:val="003E3597"/>
    <w:rsid w:val="003F09FC"/>
    <w:rsid w:val="003F2213"/>
    <w:rsid w:val="0040076E"/>
    <w:rsid w:val="00403D29"/>
    <w:rsid w:val="00405132"/>
    <w:rsid w:val="00405863"/>
    <w:rsid w:val="004062F0"/>
    <w:rsid w:val="00406699"/>
    <w:rsid w:val="00410043"/>
    <w:rsid w:val="004126C5"/>
    <w:rsid w:val="0041730A"/>
    <w:rsid w:val="00421E2E"/>
    <w:rsid w:val="00424215"/>
    <w:rsid w:val="00430D14"/>
    <w:rsid w:val="004322A7"/>
    <w:rsid w:val="00434244"/>
    <w:rsid w:val="00440259"/>
    <w:rsid w:val="0044197C"/>
    <w:rsid w:val="00442411"/>
    <w:rsid w:val="00447AD1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70309"/>
    <w:rsid w:val="004731B1"/>
    <w:rsid w:val="0047364C"/>
    <w:rsid w:val="00475F0E"/>
    <w:rsid w:val="00476B61"/>
    <w:rsid w:val="00480151"/>
    <w:rsid w:val="00482C82"/>
    <w:rsid w:val="004871EF"/>
    <w:rsid w:val="00487FD2"/>
    <w:rsid w:val="004A1670"/>
    <w:rsid w:val="004A52F4"/>
    <w:rsid w:val="004A5529"/>
    <w:rsid w:val="004A5769"/>
    <w:rsid w:val="004A63BE"/>
    <w:rsid w:val="004A7367"/>
    <w:rsid w:val="004B3BDB"/>
    <w:rsid w:val="004B45C4"/>
    <w:rsid w:val="004B48FB"/>
    <w:rsid w:val="004C1CB3"/>
    <w:rsid w:val="004C41B3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E1BE5"/>
    <w:rsid w:val="004E42C8"/>
    <w:rsid w:val="004E4F27"/>
    <w:rsid w:val="004F1473"/>
    <w:rsid w:val="004F2F3C"/>
    <w:rsid w:val="004F3EEF"/>
    <w:rsid w:val="004F4704"/>
    <w:rsid w:val="004F52BA"/>
    <w:rsid w:val="004F6EB5"/>
    <w:rsid w:val="004F73EC"/>
    <w:rsid w:val="00500CBA"/>
    <w:rsid w:val="0050261E"/>
    <w:rsid w:val="0050495C"/>
    <w:rsid w:val="00506A8F"/>
    <w:rsid w:val="00512A36"/>
    <w:rsid w:val="00512FDC"/>
    <w:rsid w:val="00514797"/>
    <w:rsid w:val="005166F5"/>
    <w:rsid w:val="00516A9C"/>
    <w:rsid w:val="00521B52"/>
    <w:rsid w:val="00523462"/>
    <w:rsid w:val="00524D2D"/>
    <w:rsid w:val="005319A3"/>
    <w:rsid w:val="00533555"/>
    <w:rsid w:val="00542E5B"/>
    <w:rsid w:val="00542E68"/>
    <w:rsid w:val="00545C7D"/>
    <w:rsid w:val="00547AF3"/>
    <w:rsid w:val="00551BF5"/>
    <w:rsid w:val="005523CE"/>
    <w:rsid w:val="00554263"/>
    <w:rsid w:val="00554EC0"/>
    <w:rsid w:val="00557104"/>
    <w:rsid w:val="00557B82"/>
    <w:rsid w:val="00563CC8"/>
    <w:rsid w:val="00564700"/>
    <w:rsid w:val="00565273"/>
    <w:rsid w:val="00565456"/>
    <w:rsid w:val="00565C80"/>
    <w:rsid w:val="005660BE"/>
    <w:rsid w:val="00567531"/>
    <w:rsid w:val="005679C2"/>
    <w:rsid w:val="005715E6"/>
    <w:rsid w:val="00571FF3"/>
    <w:rsid w:val="0057470A"/>
    <w:rsid w:val="00574FF6"/>
    <w:rsid w:val="00577A0D"/>
    <w:rsid w:val="0058554F"/>
    <w:rsid w:val="005863C7"/>
    <w:rsid w:val="005867CF"/>
    <w:rsid w:val="00586A16"/>
    <w:rsid w:val="0059115D"/>
    <w:rsid w:val="00591C5D"/>
    <w:rsid w:val="00596E38"/>
    <w:rsid w:val="00597066"/>
    <w:rsid w:val="00597B81"/>
    <w:rsid w:val="005A1A80"/>
    <w:rsid w:val="005A2FAB"/>
    <w:rsid w:val="005A600C"/>
    <w:rsid w:val="005A7E7F"/>
    <w:rsid w:val="005A7EE5"/>
    <w:rsid w:val="005B0655"/>
    <w:rsid w:val="005B3D6F"/>
    <w:rsid w:val="005B7553"/>
    <w:rsid w:val="005C1FEF"/>
    <w:rsid w:val="005C2EF0"/>
    <w:rsid w:val="005C69CA"/>
    <w:rsid w:val="005D3444"/>
    <w:rsid w:val="005D38E6"/>
    <w:rsid w:val="005D4144"/>
    <w:rsid w:val="005D6519"/>
    <w:rsid w:val="005E29EA"/>
    <w:rsid w:val="005E43D3"/>
    <w:rsid w:val="005E5973"/>
    <w:rsid w:val="005E66D4"/>
    <w:rsid w:val="005F4181"/>
    <w:rsid w:val="005F552C"/>
    <w:rsid w:val="005F7B9D"/>
    <w:rsid w:val="00600DFF"/>
    <w:rsid w:val="00600EA6"/>
    <w:rsid w:val="00602046"/>
    <w:rsid w:val="00602129"/>
    <w:rsid w:val="0060468C"/>
    <w:rsid w:val="006068C5"/>
    <w:rsid w:val="00612E92"/>
    <w:rsid w:val="00615C8E"/>
    <w:rsid w:val="00615DAE"/>
    <w:rsid w:val="00620684"/>
    <w:rsid w:val="00620F08"/>
    <w:rsid w:val="00623ED3"/>
    <w:rsid w:val="00625DE7"/>
    <w:rsid w:val="006265E9"/>
    <w:rsid w:val="006276CE"/>
    <w:rsid w:val="00627CD7"/>
    <w:rsid w:val="00630595"/>
    <w:rsid w:val="006405DE"/>
    <w:rsid w:val="00640F64"/>
    <w:rsid w:val="00643961"/>
    <w:rsid w:val="00643C1C"/>
    <w:rsid w:val="006449A8"/>
    <w:rsid w:val="006455F2"/>
    <w:rsid w:val="00650ECB"/>
    <w:rsid w:val="00651079"/>
    <w:rsid w:val="00651A2E"/>
    <w:rsid w:val="006554C4"/>
    <w:rsid w:val="0065657F"/>
    <w:rsid w:val="006634C8"/>
    <w:rsid w:val="00664F17"/>
    <w:rsid w:val="00665AFC"/>
    <w:rsid w:val="006660E4"/>
    <w:rsid w:val="00667B3E"/>
    <w:rsid w:val="00667F3B"/>
    <w:rsid w:val="00671617"/>
    <w:rsid w:val="00671631"/>
    <w:rsid w:val="00671A13"/>
    <w:rsid w:val="00680048"/>
    <w:rsid w:val="006816A6"/>
    <w:rsid w:val="00685412"/>
    <w:rsid w:val="00685441"/>
    <w:rsid w:val="00687737"/>
    <w:rsid w:val="006903E1"/>
    <w:rsid w:val="00693BF9"/>
    <w:rsid w:val="006951DD"/>
    <w:rsid w:val="00696466"/>
    <w:rsid w:val="00696AF5"/>
    <w:rsid w:val="00696C3E"/>
    <w:rsid w:val="00696EF4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6F9"/>
    <w:rsid w:val="006B5B71"/>
    <w:rsid w:val="006C0E3E"/>
    <w:rsid w:val="006C1142"/>
    <w:rsid w:val="006C187A"/>
    <w:rsid w:val="006C5226"/>
    <w:rsid w:val="006C609C"/>
    <w:rsid w:val="006C73F7"/>
    <w:rsid w:val="006C7A15"/>
    <w:rsid w:val="006D2FF4"/>
    <w:rsid w:val="006D5AB4"/>
    <w:rsid w:val="006D6082"/>
    <w:rsid w:val="006D64EC"/>
    <w:rsid w:val="006E0235"/>
    <w:rsid w:val="006E1895"/>
    <w:rsid w:val="006E3675"/>
    <w:rsid w:val="006E5176"/>
    <w:rsid w:val="006F0D7E"/>
    <w:rsid w:val="006F11E5"/>
    <w:rsid w:val="006F32A7"/>
    <w:rsid w:val="006F3309"/>
    <w:rsid w:val="006F4D19"/>
    <w:rsid w:val="006F5C89"/>
    <w:rsid w:val="006F73E2"/>
    <w:rsid w:val="00703299"/>
    <w:rsid w:val="00705C96"/>
    <w:rsid w:val="00706A85"/>
    <w:rsid w:val="00710091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5852"/>
    <w:rsid w:val="00734ED9"/>
    <w:rsid w:val="00740729"/>
    <w:rsid w:val="007420D7"/>
    <w:rsid w:val="00742431"/>
    <w:rsid w:val="0074280E"/>
    <w:rsid w:val="00743A2F"/>
    <w:rsid w:val="0074729D"/>
    <w:rsid w:val="00747E85"/>
    <w:rsid w:val="00750AB5"/>
    <w:rsid w:val="00750C4E"/>
    <w:rsid w:val="00753B79"/>
    <w:rsid w:val="00756F2B"/>
    <w:rsid w:val="00763A0F"/>
    <w:rsid w:val="00764CAE"/>
    <w:rsid w:val="0076561D"/>
    <w:rsid w:val="007735C0"/>
    <w:rsid w:val="0077432E"/>
    <w:rsid w:val="00777B60"/>
    <w:rsid w:val="00780D50"/>
    <w:rsid w:val="007815AF"/>
    <w:rsid w:val="00782937"/>
    <w:rsid w:val="007834C9"/>
    <w:rsid w:val="007837C3"/>
    <w:rsid w:val="00785FA3"/>
    <w:rsid w:val="0078647C"/>
    <w:rsid w:val="00790DF2"/>
    <w:rsid w:val="00792282"/>
    <w:rsid w:val="00792957"/>
    <w:rsid w:val="00793618"/>
    <w:rsid w:val="00794363"/>
    <w:rsid w:val="007949BE"/>
    <w:rsid w:val="007A3231"/>
    <w:rsid w:val="007A3EA9"/>
    <w:rsid w:val="007A62D9"/>
    <w:rsid w:val="007A6628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3781"/>
    <w:rsid w:val="007C6F91"/>
    <w:rsid w:val="007D0C8E"/>
    <w:rsid w:val="007D222E"/>
    <w:rsid w:val="007D2690"/>
    <w:rsid w:val="007D446B"/>
    <w:rsid w:val="007E10F3"/>
    <w:rsid w:val="007E3152"/>
    <w:rsid w:val="007E5015"/>
    <w:rsid w:val="007E5A87"/>
    <w:rsid w:val="007E5C2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335"/>
    <w:rsid w:val="00815B2B"/>
    <w:rsid w:val="008200D3"/>
    <w:rsid w:val="0082495A"/>
    <w:rsid w:val="00825443"/>
    <w:rsid w:val="0082572D"/>
    <w:rsid w:val="00825B1D"/>
    <w:rsid w:val="0082663A"/>
    <w:rsid w:val="00830355"/>
    <w:rsid w:val="00830C50"/>
    <w:rsid w:val="00830C6D"/>
    <w:rsid w:val="00830C77"/>
    <w:rsid w:val="00831FE4"/>
    <w:rsid w:val="00833A83"/>
    <w:rsid w:val="00834466"/>
    <w:rsid w:val="008356D2"/>
    <w:rsid w:val="00835CC9"/>
    <w:rsid w:val="008405F6"/>
    <w:rsid w:val="00842FB6"/>
    <w:rsid w:val="00846879"/>
    <w:rsid w:val="008469BC"/>
    <w:rsid w:val="0085501E"/>
    <w:rsid w:val="00855CFA"/>
    <w:rsid w:val="00860302"/>
    <w:rsid w:val="008606BB"/>
    <w:rsid w:val="00861F07"/>
    <w:rsid w:val="00862309"/>
    <w:rsid w:val="00870203"/>
    <w:rsid w:val="008708AE"/>
    <w:rsid w:val="00870EB5"/>
    <w:rsid w:val="00871402"/>
    <w:rsid w:val="008725E5"/>
    <w:rsid w:val="0088069E"/>
    <w:rsid w:val="008806A7"/>
    <w:rsid w:val="00886534"/>
    <w:rsid w:val="00886586"/>
    <w:rsid w:val="008911D9"/>
    <w:rsid w:val="00891D19"/>
    <w:rsid w:val="00891FC0"/>
    <w:rsid w:val="00895F6A"/>
    <w:rsid w:val="0089602F"/>
    <w:rsid w:val="00896FF8"/>
    <w:rsid w:val="008A15B2"/>
    <w:rsid w:val="008A1BAB"/>
    <w:rsid w:val="008A2335"/>
    <w:rsid w:val="008A44FB"/>
    <w:rsid w:val="008B0120"/>
    <w:rsid w:val="008B4CF5"/>
    <w:rsid w:val="008B7D9C"/>
    <w:rsid w:val="008C0659"/>
    <w:rsid w:val="008C2B9F"/>
    <w:rsid w:val="008C3F05"/>
    <w:rsid w:val="008D3502"/>
    <w:rsid w:val="008D37F1"/>
    <w:rsid w:val="008E3711"/>
    <w:rsid w:val="008E415C"/>
    <w:rsid w:val="008E5550"/>
    <w:rsid w:val="008F09A3"/>
    <w:rsid w:val="008F0E02"/>
    <w:rsid w:val="008F7985"/>
    <w:rsid w:val="008F7F63"/>
    <w:rsid w:val="00902899"/>
    <w:rsid w:val="00904BD0"/>
    <w:rsid w:val="00905090"/>
    <w:rsid w:val="0090603B"/>
    <w:rsid w:val="00907757"/>
    <w:rsid w:val="00907A72"/>
    <w:rsid w:val="00912349"/>
    <w:rsid w:val="00916AEC"/>
    <w:rsid w:val="00916CE0"/>
    <w:rsid w:val="00920BC6"/>
    <w:rsid w:val="00920CD7"/>
    <w:rsid w:val="00921840"/>
    <w:rsid w:val="00922579"/>
    <w:rsid w:val="00924C08"/>
    <w:rsid w:val="00925C66"/>
    <w:rsid w:val="0093014D"/>
    <w:rsid w:val="00932445"/>
    <w:rsid w:val="00932839"/>
    <w:rsid w:val="00932C82"/>
    <w:rsid w:val="00933050"/>
    <w:rsid w:val="00936144"/>
    <w:rsid w:val="0094180F"/>
    <w:rsid w:val="009421B8"/>
    <w:rsid w:val="00943E6E"/>
    <w:rsid w:val="00946B72"/>
    <w:rsid w:val="0094747F"/>
    <w:rsid w:val="00952849"/>
    <w:rsid w:val="00952EA9"/>
    <w:rsid w:val="00953CA5"/>
    <w:rsid w:val="0095698C"/>
    <w:rsid w:val="0096009F"/>
    <w:rsid w:val="00960F82"/>
    <w:rsid w:val="009613D6"/>
    <w:rsid w:val="00964423"/>
    <w:rsid w:val="00964EAC"/>
    <w:rsid w:val="00964F78"/>
    <w:rsid w:val="00967F0B"/>
    <w:rsid w:val="009713DD"/>
    <w:rsid w:val="00980431"/>
    <w:rsid w:val="00984450"/>
    <w:rsid w:val="009865FB"/>
    <w:rsid w:val="00991EE0"/>
    <w:rsid w:val="00992DFE"/>
    <w:rsid w:val="009939C8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B0F67"/>
    <w:rsid w:val="009B1CE4"/>
    <w:rsid w:val="009B262C"/>
    <w:rsid w:val="009B3257"/>
    <w:rsid w:val="009B4FCF"/>
    <w:rsid w:val="009C12CF"/>
    <w:rsid w:val="009C31C9"/>
    <w:rsid w:val="009C3FED"/>
    <w:rsid w:val="009C577A"/>
    <w:rsid w:val="009C7BA7"/>
    <w:rsid w:val="009D7080"/>
    <w:rsid w:val="009D731D"/>
    <w:rsid w:val="009D73E4"/>
    <w:rsid w:val="009D73E9"/>
    <w:rsid w:val="009E12AE"/>
    <w:rsid w:val="009E221C"/>
    <w:rsid w:val="009E526F"/>
    <w:rsid w:val="009E7A0A"/>
    <w:rsid w:val="009F1F0B"/>
    <w:rsid w:val="009F26F6"/>
    <w:rsid w:val="009F500F"/>
    <w:rsid w:val="009F6F72"/>
    <w:rsid w:val="009F76CD"/>
    <w:rsid w:val="00A0151D"/>
    <w:rsid w:val="00A0456D"/>
    <w:rsid w:val="00A04BCA"/>
    <w:rsid w:val="00A1233C"/>
    <w:rsid w:val="00A13EAC"/>
    <w:rsid w:val="00A16843"/>
    <w:rsid w:val="00A1686C"/>
    <w:rsid w:val="00A16AB8"/>
    <w:rsid w:val="00A17067"/>
    <w:rsid w:val="00A2080B"/>
    <w:rsid w:val="00A22BC4"/>
    <w:rsid w:val="00A25409"/>
    <w:rsid w:val="00A25AB1"/>
    <w:rsid w:val="00A326A7"/>
    <w:rsid w:val="00A3496B"/>
    <w:rsid w:val="00A36C24"/>
    <w:rsid w:val="00A37ED5"/>
    <w:rsid w:val="00A41EA0"/>
    <w:rsid w:val="00A429CF"/>
    <w:rsid w:val="00A44A50"/>
    <w:rsid w:val="00A50443"/>
    <w:rsid w:val="00A50475"/>
    <w:rsid w:val="00A50A54"/>
    <w:rsid w:val="00A50FD3"/>
    <w:rsid w:val="00A51345"/>
    <w:rsid w:val="00A53A07"/>
    <w:rsid w:val="00A54121"/>
    <w:rsid w:val="00A54422"/>
    <w:rsid w:val="00A5449C"/>
    <w:rsid w:val="00A56EF8"/>
    <w:rsid w:val="00A5798E"/>
    <w:rsid w:val="00A57C02"/>
    <w:rsid w:val="00A612D2"/>
    <w:rsid w:val="00A6547A"/>
    <w:rsid w:val="00A671A4"/>
    <w:rsid w:val="00A67AC2"/>
    <w:rsid w:val="00A714F9"/>
    <w:rsid w:val="00A72404"/>
    <w:rsid w:val="00A72A51"/>
    <w:rsid w:val="00A7553D"/>
    <w:rsid w:val="00A778B4"/>
    <w:rsid w:val="00A80920"/>
    <w:rsid w:val="00A827EA"/>
    <w:rsid w:val="00A878D4"/>
    <w:rsid w:val="00A928C1"/>
    <w:rsid w:val="00A92CF5"/>
    <w:rsid w:val="00A93D4F"/>
    <w:rsid w:val="00A93F98"/>
    <w:rsid w:val="00A97B59"/>
    <w:rsid w:val="00A97FFE"/>
    <w:rsid w:val="00AA2BBB"/>
    <w:rsid w:val="00AA47C3"/>
    <w:rsid w:val="00AB0948"/>
    <w:rsid w:val="00AB16B1"/>
    <w:rsid w:val="00AB2F01"/>
    <w:rsid w:val="00AB3459"/>
    <w:rsid w:val="00AB6D4E"/>
    <w:rsid w:val="00AB7FDF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B00601"/>
    <w:rsid w:val="00B01CB0"/>
    <w:rsid w:val="00B02492"/>
    <w:rsid w:val="00B11AED"/>
    <w:rsid w:val="00B140A8"/>
    <w:rsid w:val="00B167F7"/>
    <w:rsid w:val="00B20527"/>
    <w:rsid w:val="00B22B24"/>
    <w:rsid w:val="00B23A40"/>
    <w:rsid w:val="00B25B1A"/>
    <w:rsid w:val="00B25ED4"/>
    <w:rsid w:val="00B269B4"/>
    <w:rsid w:val="00B30912"/>
    <w:rsid w:val="00B30D42"/>
    <w:rsid w:val="00B352C0"/>
    <w:rsid w:val="00B408BA"/>
    <w:rsid w:val="00B42BB9"/>
    <w:rsid w:val="00B45509"/>
    <w:rsid w:val="00B45769"/>
    <w:rsid w:val="00B463C4"/>
    <w:rsid w:val="00B47360"/>
    <w:rsid w:val="00B4752B"/>
    <w:rsid w:val="00B52983"/>
    <w:rsid w:val="00B52FD8"/>
    <w:rsid w:val="00B5377E"/>
    <w:rsid w:val="00B53C5E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803CC"/>
    <w:rsid w:val="00B806B6"/>
    <w:rsid w:val="00B84AD9"/>
    <w:rsid w:val="00B878BE"/>
    <w:rsid w:val="00B910EE"/>
    <w:rsid w:val="00B93721"/>
    <w:rsid w:val="00B958CE"/>
    <w:rsid w:val="00B95F9E"/>
    <w:rsid w:val="00B96422"/>
    <w:rsid w:val="00B964FD"/>
    <w:rsid w:val="00B96F90"/>
    <w:rsid w:val="00B97308"/>
    <w:rsid w:val="00BA4761"/>
    <w:rsid w:val="00BA6DB4"/>
    <w:rsid w:val="00BA7C37"/>
    <w:rsid w:val="00BB02D1"/>
    <w:rsid w:val="00BB0CE3"/>
    <w:rsid w:val="00BB20C3"/>
    <w:rsid w:val="00BB27BA"/>
    <w:rsid w:val="00BB2DA5"/>
    <w:rsid w:val="00BB34BC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D92"/>
    <w:rsid w:val="00BC6709"/>
    <w:rsid w:val="00BD0787"/>
    <w:rsid w:val="00BD10E7"/>
    <w:rsid w:val="00BD54B7"/>
    <w:rsid w:val="00BD602C"/>
    <w:rsid w:val="00BD6CAF"/>
    <w:rsid w:val="00BE1963"/>
    <w:rsid w:val="00BE3017"/>
    <w:rsid w:val="00BE3598"/>
    <w:rsid w:val="00BE3A23"/>
    <w:rsid w:val="00BF3D9A"/>
    <w:rsid w:val="00BF4E00"/>
    <w:rsid w:val="00BF6BB4"/>
    <w:rsid w:val="00BF7ABF"/>
    <w:rsid w:val="00C001B3"/>
    <w:rsid w:val="00C009DA"/>
    <w:rsid w:val="00C01B67"/>
    <w:rsid w:val="00C03E8A"/>
    <w:rsid w:val="00C03F8C"/>
    <w:rsid w:val="00C0445E"/>
    <w:rsid w:val="00C04691"/>
    <w:rsid w:val="00C06014"/>
    <w:rsid w:val="00C10AA1"/>
    <w:rsid w:val="00C119B3"/>
    <w:rsid w:val="00C12A6B"/>
    <w:rsid w:val="00C14A0E"/>
    <w:rsid w:val="00C16C22"/>
    <w:rsid w:val="00C21FEC"/>
    <w:rsid w:val="00C261EA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3926"/>
    <w:rsid w:val="00C54D78"/>
    <w:rsid w:val="00C5757D"/>
    <w:rsid w:val="00C60E53"/>
    <w:rsid w:val="00C619FE"/>
    <w:rsid w:val="00C63270"/>
    <w:rsid w:val="00C6349A"/>
    <w:rsid w:val="00C64A4E"/>
    <w:rsid w:val="00C6758C"/>
    <w:rsid w:val="00C714D4"/>
    <w:rsid w:val="00C72F66"/>
    <w:rsid w:val="00C7449F"/>
    <w:rsid w:val="00C747A0"/>
    <w:rsid w:val="00C76AB9"/>
    <w:rsid w:val="00C84674"/>
    <w:rsid w:val="00C85EB5"/>
    <w:rsid w:val="00C85EC8"/>
    <w:rsid w:val="00C87910"/>
    <w:rsid w:val="00C9133C"/>
    <w:rsid w:val="00C92841"/>
    <w:rsid w:val="00C92BFF"/>
    <w:rsid w:val="00C953CC"/>
    <w:rsid w:val="00C960B5"/>
    <w:rsid w:val="00CA1239"/>
    <w:rsid w:val="00CA19E1"/>
    <w:rsid w:val="00CA2D5E"/>
    <w:rsid w:val="00CA60E1"/>
    <w:rsid w:val="00CA6401"/>
    <w:rsid w:val="00CA6FB9"/>
    <w:rsid w:val="00CB0492"/>
    <w:rsid w:val="00CB0941"/>
    <w:rsid w:val="00CB0AB2"/>
    <w:rsid w:val="00CB1AF6"/>
    <w:rsid w:val="00CB4996"/>
    <w:rsid w:val="00CB49CD"/>
    <w:rsid w:val="00CB63B8"/>
    <w:rsid w:val="00CB7807"/>
    <w:rsid w:val="00CC121B"/>
    <w:rsid w:val="00CC265B"/>
    <w:rsid w:val="00CC2803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31E3"/>
    <w:rsid w:val="00CE458A"/>
    <w:rsid w:val="00CE499F"/>
    <w:rsid w:val="00CE6791"/>
    <w:rsid w:val="00CF024D"/>
    <w:rsid w:val="00CF02DC"/>
    <w:rsid w:val="00CF30CA"/>
    <w:rsid w:val="00CF35F9"/>
    <w:rsid w:val="00CF57D7"/>
    <w:rsid w:val="00CF6459"/>
    <w:rsid w:val="00CF6E5F"/>
    <w:rsid w:val="00D01947"/>
    <w:rsid w:val="00D0284A"/>
    <w:rsid w:val="00D12037"/>
    <w:rsid w:val="00D12B6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6038"/>
    <w:rsid w:val="00D4629C"/>
    <w:rsid w:val="00D50340"/>
    <w:rsid w:val="00D50B62"/>
    <w:rsid w:val="00D51EFC"/>
    <w:rsid w:val="00D525FC"/>
    <w:rsid w:val="00D563AC"/>
    <w:rsid w:val="00D56DC3"/>
    <w:rsid w:val="00D60EB5"/>
    <w:rsid w:val="00D638A0"/>
    <w:rsid w:val="00D64714"/>
    <w:rsid w:val="00D7016E"/>
    <w:rsid w:val="00D70FC9"/>
    <w:rsid w:val="00D71589"/>
    <w:rsid w:val="00D71B01"/>
    <w:rsid w:val="00D71DCA"/>
    <w:rsid w:val="00D7306F"/>
    <w:rsid w:val="00D73719"/>
    <w:rsid w:val="00D77093"/>
    <w:rsid w:val="00D84768"/>
    <w:rsid w:val="00D90F32"/>
    <w:rsid w:val="00D94BD5"/>
    <w:rsid w:val="00D95ADC"/>
    <w:rsid w:val="00D961A9"/>
    <w:rsid w:val="00DB1D0E"/>
    <w:rsid w:val="00DB4030"/>
    <w:rsid w:val="00DB441D"/>
    <w:rsid w:val="00DB489E"/>
    <w:rsid w:val="00DB60E3"/>
    <w:rsid w:val="00DB6C50"/>
    <w:rsid w:val="00DC316B"/>
    <w:rsid w:val="00DC33EF"/>
    <w:rsid w:val="00DC748D"/>
    <w:rsid w:val="00DD0121"/>
    <w:rsid w:val="00DD28F6"/>
    <w:rsid w:val="00DD33A3"/>
    <w:rsid w:val="00DD7F16"/>
    <w:rsid w:val="00DE00AF"/>
    <w:rsid w:val="00DE0AF5"/>
    <w:rsid w:val="00DE46BF"/>
    <w:rsid w:val="00DE599F"/>
    <w:rsid w:val="00DE6D9B"/>
    <w:rsid w:val="00DF0896"/>
    <w:rsid w:val="00DF0E68"/>
    <w:rsid w:val="00DF13D7"/>
    <w:rsid w:val="00DF78F4"/>
    <w:rsid w:val="00E00F08"/>
    <w:rsid w:val="00E03887"/>
    <w:rsid w:val="00E04CF1"/>
    <w:rsid w:val="00E0562B"/>
    <w:rsid w:val="00E06026"/>
    <w:rsid w:val="00E06F15"/>
    <w:rsid w:val="00E0769D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2CC1"/>
    <w:rsid w:val="00E25759"/>
    <w:rsid w:val="00E268C6"/>
    <w:rsid w:val="00E26A91"/>
    <w:rsid w:val="00E2732A"/>
    <w:rsid w:val="00E3038A"/>
    <w:rsid w:val="00E320E6"/>
    <w:rsid w:val="00E326BA"/>
    <w:rsid w:val="00E348FC"/>
    <w:rsid w:val="00E34DE9"/>
    <w:rsid w:val="00E352FE"/>
    <w:rsid w:val="00E37029"/>
    <w:rsid w:val="00E371FD"/>
    <w:rsid w:val="00E4039D"/>
    <w:rsid w:val="00E4042E"/>
    <w:rsid w:val="00E4710F"/>
    <w:rsid w:val="00E51391"/>
    <w:rsid w:val="00E52F2D"/>
    <w:rsid w:val="00E53A2B"/>
    <w:rsid w:val="00E5446A"/>
    <w:rsid w:val="00E55BBC"/>
    <w:rsid w:val="00E57738"/>
    <w:rsid w:val="00E57F62"/>
    <w:rsid w:val="00E60CBB"/>
    <w:rsid w:val="00E61422"/>
    <w:rsid w:val="00E649B1"/>
    <w:rsid w:val="00E6786B"/>
    <w:rsid w:val="00E72B86"/>
    <w:rsid w:val="00E7623C"/>
    <w:rsid w:val="00E76257"/>
    <w:rsid w:val="00E821A0"/>
    <w:rsid w:val="00E82671"/>
    <w:rsid w:val="00E83D40"/>
    <w:rsid w:val="00E8489C"/>
    <w:rsid w:val="00E84E3A"/>
    <w:rsid w:val="00E854F0"/>
    <w:rsid w:val="00E90D57"/>
    <w:rsid w:val="00E9455B"/>
    <w:rsid w:val="00E9696B"/>
    <w:rsid w:val="00E96EAC"/>
    <w:rsid w:val="00E97263"/>
    <w:rsid w:val="00EA0647"/>
    <w:rsid w:val="00EA2150"/>
    <w:rsid w:val="00EA3EF4"/>
    <w:rsid w:val="00EA789C"/>
    <w:rsid w:val="00EB0134"/>
    <w:rsid w:val="00EB0C94"/>
    <w:rsid w:val="00EB3505"/>
    <w:rsid w:val="00EB5527"/>
    <w:rsid w:val="00EB58D0"/>
    <w:rsid w:val="00EC1D5D"/>
    <w:rsid w:val="00EC1F4F"/>
    <w:rsid w:val="00EC32E2"/>
    <w:rsid w:val="00EC3C3D"/>
    <w:rsid w:val="00EC4EF1"/>
    <w:rsid w:val="00EC64CA"/>
    <w:rsid w:val="00ED224C"/>
    <w:rsid w:val="00ED61EB"/>
    <w:rsid w:val="00ED7330"/>
    <w:rsid w:val="00ED7978"/>
    <w:rsid w:val="00ED7FF5"/>
    <w:rsid w:val="00EE5B66"/>
    <w:rsid w:val="00EE6168"/>
    <w:rsid w:val="00EE7AD6"/>
    <w:rsid w:val="00EF08B7"/>
    <w:rsid w:val="00EF2B89"/>
    <w:rsid w:val="00EF3780"/>
    <w:rsid w:val="00EF3E5F"/>
    <w:rsid w:val="00EF4DC9"/>
    <w:rsid w:val="00EF6F7F"/>
    <w:rsid w:val="00EF73B7"/>
    <w:rsid w:val="00F01676"/>
    <w:rsid w:val="00F016AC"/>
    <w:rsid w:val="00F058FA"/>
    <w:rsid w:val="00F05C7D"/>
    <w:rsid w:val="00F05DE6"/>
    <w:rsid w:val="00F060C7"/>
    <w:rsid w:val="00F116D3"/>
    <w:rsid w:val="00F149ED"/>
    <w:rsid w:val="00F15A1B"/>
    <w:rsid w:val="00F20601"/>
    <w:rsid w:val="00F20D93"/>
    <w:rsid w:val="00F23BAD"/>
    <w:rsid w:val="00F26C3B"/>
    <w:rsid w:val="00F32481"/>
    <w:rsid w:val="00F33A0F"/>
    <w:rsid w:val="00F33EB1"/>
    <w:rsid w:val="00F37311"/>
    <w:rsid w:val="00F4380A"/>
    <w:rsid w:val="00F43E92"/>
    <w:rsid w:val="00F45EC7"/>
    <w:rsid w:val="00F46352"/>
    <w:rsid w:val="00F50288"/>
    <w:rsid w:val="00F50EE6"/>
    <w:rsid w:val="00F51FAC"/>
    <w:rsid w:val="00F55354"/>
    <w:rsid w:val="00F579F9"/>
    <w:rsid w:val="00F60152"/>
    <w:rsid w:val="00F61108"/>
    <w:rsid w:val="00F6251E"/>
    <w:rsid w:val="00F629FC"/>
    <w:rsid w:val="00F62BAE"/>
    <w:rsid w:val="00F6344B"/>
    <w:rsid w:val="00F6772F"/>
    <w:rsid w:val="00F73FD8"/>
    <w:rsid w:val="00F75F8B"/>
    <w:rsid w:val="00F76445"/>
    <w:rsid w:val="00F800D6"/>
    <w:rsid w:val="00F815EA"/>
    <w:rsid w:val="00F85D54"/>
    <w:rsid w:val="00F90B3E"/>
    <w:rsid w:val="00F93A9B"/>
    <w:rsid w:val="00F93DC7"/>
    <w:rsid w:val="00F944D6"/>
    <w:rsid w:val="00F97B9B"/>
    <w:rsid w:val="00FA098F"/>
    <w:rsid w:val="00FA351D"/>
    <w:rsid w:val="00FA4ADA"/>
    <w:rsid w:val="00FB03F3"/>
    <w:rsid w:val="00FB6F76"/>
    <w:rsid w:val="00FC3E25"/>
    <w:rsid w:val="00FD2CDB"/>
    <w:rsid w:val="00FE0153"/>
    <w:rsid w:val="00FE122D"/>
    <w:rsid w:val="00FE4B31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6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o.gl/EGs5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ba.udn.com/Cathay_gameoftheday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google.com/spreadsheets/d/10szfDrX2xTit60X4r2eEow-Vlcu7LG5jm5FDIokmruU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Be-GkFqpVWc1NmoOvCxhs45UOLIEPKseeq2kzw9DQkY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9C8A-5BF8-40A8-9271-0D914E7C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12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FIS</cp:lastModifiedBy>
  <cp:revision>671</cp:revision>
  <cp:lastPrinted>2018-12-20T00:46:00Z</cp:lastPrinted>
  <dcterms:created xsi:type="dcterms:W3CDTF">2019-01-10T03:14:00Z</dcterms:created>
  <dcterms:modified xsi:type="dcterms:W3CDTF">2019-05-09T01:12:00Z</dcterms:modified>
</cp:coreProperties>
</file>