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auto" w:sz="0"/>
          <w:left w:val="none" w:color="auto" w:sz="0"/>
          <w:bottom w:val="single" w:color="0f172a" w:sz="18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spacing w:after="0" w:before="0" w:line="238" w:lineRule="exact"/>
            </w:pPr>
            <w:r>
              <w:rPr>
                <w:rFonts w:ascii="Arial" w:cs="Arial" w:eastAsia="Arial" w:hAnsi="Arial"/>
                <w:caps/>
                <w:color w:val="64748b"/>
                <w:spacing w:val="24"/>
                <w:sz w:val="17"/>
                <w:szCs w:val="17"/>
              </w:rPr>
              <w:t xml:space="preserve">Invoice</w:t>
            </w:r>
          </w:p>
          <w:p>
            <w:pPr>
              <w:spacing w:after="0" w:before="60" w:line="588" w:lineRule="exact"/>
            </w:pPr>
            <w:r>
              <w:rPr>
                <w:rFonts w:ascii="Arial" w:cs="Arial" w:eastAsia="Arial" w:hAnsi="Arial"/>
                <w:b/>
                <w:bCs/>
                <w:color w:val="0f172a"/>
                <w:sz w:val="42"/>
                <w:szCs w:val="42"/>
              </w:rPr>
              <w:t xml:space="preserve">#INV-4821</w:t>
            </w:r>
          </w:p>
        </w:tc>
        <w:tc>
          <w:tcPr>
            <w:tcW w:type="dxa" w:w="4680"/>
          </w:tcPr>
          <w:p>
            <w:pPr>
              <w:spacing w:after="0" w:before="0"/>
              <w:jc w:val="right"/>
            </w:pPr>
            <w:r>
              <w:drawing>
                <wp:inline distT="0" distB="0" distL="0" distR="0">
                  <wp:extent cx="1600200" cy="457200"/>
                  <wp:effectExtent t="0" r="0" b="0" l="0"/>
                  <wp:docPr id="1" name="Meridian Analytics logo" descr="Meridian Analytics logo" title="Meridian Analytics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0" w:line="280" w:lineRule="exact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Meridian Analytics, Inc.</w:t>
            </w:r>
          </w:p>
          <w:p>
            <w:pPr>
              <w:spacing w:after="0" w:before="60" w:line="280" w:lineRule="exact"/>
              <w:jc w:val="righ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1200 Market Street, Suite 400</w:t>
            </w:r>
          </w:p>
          <w:p>
            <w:pPr>
              <w:spacing w:after="0" w:before="0" w:line="280" w:lineRule="exact"/>
              <w:jc w:val="righ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San Francisco, CA 94103</w:t>
            </w:r>
          </w:p>
        </w:tc>
      </w:tr>
    </w:tbl>
    <w:p>
      <w:pPr>
        <w:spacing w:after="300" w:before="0" w:line="20" w:lineRule="exact"/>
      </w:pPr>
      <w:r>
        <w:rPr>
          <w:sz w:val="21"/>
          <w:szCs w:val="21"/>
        </w:rPr>
        <w:t xml:space="preserve"/>
      </w:r>
    </w:p>
    <w:tbl>
      <w:tblPr>
        <w:tblW w:type="pct" w:w="100%"/>
        <w:tblBorders>
          <w:top w:val="single" w:color="e2e8f0" w:sz="6"/>
          <w:left w:val="single" w:color="e2e8f0" w:sz="6"/>
          <w:bottom w:val="single" w:color="e2e8f0" w:sz="6"/>
          <w:right w:val="single" w:color="e2e8f0" w:sz="6"/>
          <w:insideH w:val="none" w:color="auto" w:sz="0"/>
          <w:insideV w:val="none" w:color="auto" w:sz="0"/>
        </w:tblBorders>
        <w:tblLayout w:type="fixed"/>
      </w:tblPr>
      <w:tblGrid>
        <w:gridCol w:w="4680"/>
        <w:gridCol w:w="2340"/>
        <w:gridCol w:w="2340"/>
      </w:tblGrid>
      <w:tr>
        <w:tc>
          <w:tcPr>
            <w:tcW w:type="dxa" w:w="4680"/>
            <w:vMerge w:val="restart"/>
            <w:tcBorders>
              <w:right w:val="single" w:color="e2e8f0" w:sz="6"/>
            </w:tcBorders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60" w:before="0" w:line="238" w:lineRule="exact"/>
            </w:pPr>
            <w:r>
              <w:rPr>
                <w:rFonts w:ascii="Arial" w:cs="Arial" w:eastAsia="Arial" w:hAnsi="Arial"/>
                <w:caps/>
                <w:color w:val="64748b"/>
                <w:spacing w:val="17"/>
                <w:sz w:val="17"/>
                <w:szCs w:val="17"/>
              </w:rPr>
              <w:t xml:space="preserve">Bill to</w:t>
            </w:r>
          </w:p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Northwind Traders LLC</w:t>
            </w:r>
          </w:p>
          <w:p>
            <w:pPr>
              <w:spacing w:after="0" w:before="60" w:line="280" w:lineRule="exac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Attn: Accounts Payable</w:t>
            </w:r>
          </w:p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88 Harbor Way · Boston, MA 02110</w:t>
            </w:r>
          </w:p>
        </w:tc>
        <w:tc>
          <w:tcPr>
            <w:tcW w:type="dxa" w:w="2340"/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Invoice date</w:t>
            </w:r>
          </w:p>
        </w:tc>
        <w:tc>
          <w:tcPr>
            <w:tcW w:type="dxa" w:w="2340"/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March 15</w:t>
            </w:r>
          </w:p>
        </w:tc>
      </w:tr>
      <w:tr>
        <w:tc>
          <w:tcPr>
            <w:vMerge w:val="continue"/>
            <w:tcBorders>
              <w:right w:val="single" w:color="e2e8f0" w:sz="6"/>
            </w:tcBorders>
          </w:tcPr>
          <w:p/>
        </w:tc>
        <w:tc>
          <w:tcPr>
            <w:tcW w:type="dxa" w:w="2340"/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Due date</w:t>
            </w:r>
          </w:p>
        </w:tc>
        <w:tc>
          <w:tcPr>
            <w:tcW w:type="dxa" w:w="2340"/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April 14</w:t>
            </w:r>
          </w:p>
        </w:tc>
      </w:tr>
      <w:tr>
        <w:tc>
          <w:tcPr>
            <w:vMerge w:val="continue"/>
            <w:tcBorders>
              <w:right w:val="single" w:color="e2e8f0" w:sz="6"/>
            </w:tcBorders>
          </w:tcPr>
          <w:p/>
        </w:tc>
        <w:tc>
          <w:tcPr>
            <w:tcW w:type="dxa" w:w="2340"/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Terms</w:t>
            </w:r>
          </w:p>
        </w:tc>
        <w:tc>
          <w:tcPr>
            <w:tcW w:type="dxa" w:w="2340"/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Net 30</w:t>
            </w:r>
          </w:p>
        </w:tc>
      </w:tr>
      <w:tr>
        <w:tc>
          <w:tcPr>
            <w:vMerge w:val="continue"/>
            <w:tcBorders>
              <w:right w:val="single" w:color="e2e8f0" w:sz="6"/>
            </w:tcBorders>
          </w:tcPr>
          <w:p/>
        </w:tc>
        <w:tc>
          <w:tcPr>
            <w:tcW w:type="dxa" w:w="2340"/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PO reference</w:t>
            </w:r>
          </w:p>
        </w:tc>
        <w:tc>
          <w:tcPr>
            <w:tcW w:type="dxa" w:w="2340"/>
            <w:shd w:fill="f8fafc" w:color="auto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NW-118</w:t>
            </w:r>
          </w:p>
        </w:tc>
      </w:tr>
    </w:tbl>
    <w:p>
      <w:pPr>
        <w:spacing w:after="270" w:before="0" w:line="20" w:lineRule="exact"/>
      </w:pPr>
      <w:r>
        <w:rPr>
          <w:sz w:val="21"/>
          <w:szCs w:val="21"/>
        </w:rPr>
        <w:t xml:space="preserve"/>
      </w: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single" w:color="cbd5e1" w:sz="2"/>
          <w:insideV w:val="single" w:color="cbd5e1" w:sz="2"/>
        </w:tblBorders>
        <w:tblLayout w:type="fixed"/>
      </w:tblPr>
      <w:tblGrid>
        <w:gridCol w:w="5428"/>
        <w:gridCol w:w="936"/>
        <w:gridCol w:w="1498"/>
        <w:gridCol w:w="1498"/>
      </w:tblGrid>
      <w:tr>
        <w:tc>
          <w:tcPr>
            <w:tcW w:type="dxa" w:w="5428"/>
            <w:shd w:fill="0f172a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36"/>
            <w:shd w:fill="0f172a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Qty</w:t>
            </w:r>
          </w:p>
        </w:tc>
        <w:tc>
          <w:tcPr>
            <w:tcW w:type="dxa" w:w="1498"/>
            <w:shd w:fill="0f172a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Rate</w:t>
            </w:r>
          </w:p>
        </w:tc>
        <w:tc>
          <w:tcPr>
            <w:tcW w:type="dxa" w:w="1498"/>
            <w:shd w:fill="0f172a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Arial" w:cs="Arial" w:eastAsia="Arial" w:hAnsi="Arial"/>
                <w:b/>
                <w:bCs/>
                <w:color w:val="f8fafc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5428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Platform migration — Phase 2 (engineering days)</w:t>
            </w:r>
          </w:p>
        </w:tc>
        <w:tc>
          <w:tcPr>
            <w:tcW w:type="dxa" w:w="936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12</w:t>
            </w:r>
          </w:p>
        </w:tc>
        <w:tc>
          <w:tcPr>
            <w:tcW w:type="dxa" w:w="1498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$185.00</w:t>
            </w:r>
          </w:p>
        </w:tc>
        <w:tc>
          <w:tcPr>
            <w:tcW w:type="dxa" w:w="1498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$2,220.00</w:t>
            </w:r>
          </w:p>
        </w:tc>
      </w:tr>
      <w:tr>
        <w:tc>
          <w:tcPr>
            <w:tcW w:type="dxa" w:w="5428"/>
            <w:shd w:fill="f8fafc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API integration support (hourly)</w:t>
            </w:r>
          </w:p>
        </w:tc>
        <w:tc>
          <w:tcPr>
            <w:tcW w:type="dxa" w:w="936"/>
            <w:shd w:fill="f8fafc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8</w:t>
            </w:r>
          </w:p>
        </w:tc>
        <w:tc>
          <w:tcPr>
            <w:tcW w:type="dxa" w:w="1498"/>
            <w:shd w:fill="f8fafc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$165.00</w:t>
            </w:r>
          </w:p>
        </w:tc>
        <w:tc>
          <w:tcPr>
            <w:tcW w:type="dxa" w:w="1498"/>
            <w:shd w:fill="f8fafc" w:color="auto" w:val="clear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$1,320.00</w:t>
            </w:r>
          </w:p>
        </w:tc>
      </w:tr>
      <w:tr>
        <w:tc>
          <w:tcPr>
            <w:tcW w:type="dxa" w:w="5428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On-site training — Boston (1 day)</w:t>
            </w:r>
          </w:p>
        </w:tc>
        <w:tc>
          <w:tcPr>
            <w:tcW w:type="dxa" w:w="936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  <w:jc w:val="center"/>
            </w:pPr>
            <w:r>
              <w:rPr>
                <w:rFonts w:ascii="Arial" w:cs="Arial" w:eastAsia="Arial" w:hAnsi="Arial"/>
                <w:color w:val="111111"/>
                <w:sz w:val="20"/>
                <w:szCs w:val="20"/>
              </w:rPr>
              <w:t xml:space="preserve">1</w:t>
            </w:r>
          </w:p>
        </w:tc>
        <w:tc>
          <w:tcPr>
            <w:tcW w:type="dxa" w:w="1498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$2,400.00</w:t>
            </w:r>
          </w:p>
        </w:tc>
        <w:tc>
          <w:tcPr>
            <w:tcW w:type="dxa" w:w="1498"/>
            <w:tcMar>
              <w:top w:type="dxa" w:w="150"/>
              <w:left w:type="dxa" w:w="150"/>
              <w:bottom w:type="dxa" w:w="150"/>
              <w:right w:type="dxa" w:w="15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$2,400.00</w:t>
            </w:r>
          </w:p>
        </w:tc>
      </w:tr>
    </w:tbl>
    <w:p>
      <w:pPr>
        <w:spacing w:after="180" w:before="0" w:line="20" w:lineRule="exact"/>
      </w:pPr>
      <w:r>
        <w:rPr>
          <w:sz w:val="21"/>
          <w:szCs w:val="21"/>
        </w:rPr>
        <w:t xml:space="preserve"/>
      </w:r>
    </w:p>
    <w:tbl>
      <w:tblPr>
        <w:tblW w:type="pct" w:w="100%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5148"/>
        <w:gridCol w:w="2059"/>
        <w:gridCol w:w="2153"/>
      </w:tblGrid>
      <w:tr>
        <w:tc>
          <w:tcPr>
            <w:tcW w:type="dxa" w:w="5148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before="0" w:line="280" w:lineRule="exact"/>
            </w:pPr>
            <w:r>
              <w:t xml:space="preserve"/>
            </w:r>
          </w:p>
        </w:tc>
        <w:tc>
          <w:tcPr>
            <w:tcW w:type="dxa" w:w="2059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Subtotal</w:t>
            </w:r>
          </w:p>
        </w:tc>
        <w:tc>
          <w:tcPr>
            <w:tcW w:type="dxa" w:w="2153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$5,940.00</w:t>
            </w:r>
          </w:p>
        </w:tc>
      </w:tr>
      <w:tr>
        <w:tc>
          <w:tcPr>
            <w:tcW w:type="dxa" w:w="5148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before="0" w:line="280" w:lineRule="exact"/>
            </w:pPr>
            <w:r>
              <w:t xml:space="preserve"/>
            </w:r>
          </w:p>
        </w:tc>
        <w:tc>
          <w:tcPr>
            <w:tcW w:type="dxa" w:w="2059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color w:val="64748b"/>
                <w:sz w:val="20"/>
                <w:szCs w:val="20"/>
              </w:rPr>
              <w:t xml:space="preserve">Sales tax (6.25%)</w:t>
            </w:r>
          </w:p>
        </w:tc>
        <w:tc>
          <w:tcPr>
            <w:tcW w:type="dxa" w:w="2153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Consolas" w:cs="Consolas" w:eastAsia="Consolas" w:hAnsi="Consolas"/>
                <w:color w:val="111111"/>
                <w:sz w:val="20"/>
                <w:szCs w:val="20"/>
              </w:rPr>
              <w:t xml:space="preserve">$371.25</w:t>
            </w:r>
          </w:p>
        </w:tc>
      </w:tr>
      <w:tr>
        <w:tc>
          <w:tcPr>
            <w:tcW w:type="dxa" w:w="5148"/>
            <w:shd w:fill="0f172a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before="0" w:line="280" w:lineRule="exact"/>
            </w:pPr>
            <w:r>
              <w:t xml:space="preserve"/>
            </w:r>
          </w:p>
        </w:tc>
        <w:tc>
          <w:tcPr>
            <w:tcW w:type="dxa" w:w="2059"/>
            <w:shd w:fill="0f172a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before="0" w:line="280" w:lineRule="exac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due</w:t>
            </w:r>
          </w:p>
        </w:tc>
        <w:tc>
          <w:tcPr>
            <w:tcW w:type="dxa" w:w="2153"/>
            <w:shd w:fill="0f172a" w:color="auto" w:val="clear"/>
            <w:tcMar>
              <w:top w:type="dxa" w:w="90"/>
              <w:left w:type="dxa" w:w="90"/>
              <w:bottom w:type="dxa" w:w="90"/>
              <w:right w:type="dxa" w:w="90"/>
            </w:tcMar>
          </w:tcPr>
          <w:p>
            <w:pPr>
              <w:spacing w:after="0" w:before="0" w:line="280" w:lineRule="exact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ffffff"/>
                <w:sz w:val="20"/>
                <w:szCs w:val="20"/>
              </w:rPr>
              <w:t xml:space="preserve">$6,311.25</w:t>
            </w:r>
          </w:p>
        </w:tc>
      </w:tr>
    </w:tbl>
    <w:p>
      <w:pPr>
        <w:spacing w:after="300" w:before="0" w:line="20" w:lineRule="exact"/>
      </w:pPr>
      <w:r>
        <w:rPr>
          <w:sz w:val="21"/>
          <w:szCs w:val="21"/>
        </w:rPr>
        <w:t xml:space="preserve"/>
      </w:r>
    </w:p>
    <w:tbl>
      <w:tblPr>
        <w:tblW w:type="dxa" w:w="936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none" w:color="auto" w:sz="0"/>
              <w:left w:val="single" w:color="2563eb" w:sz="24" w:space="11"/>
              <w:bottom w:val="none" w:color="auto" w:sz="0"/>
              <w:right w:val="none" w:color="auto" w:sz="0"/>
            </w:tcBorders>
            <w:shd w:fill="eff6ff" w:color="auto" w:val="clear"/>
            <w:tcMar>
              <w:top w:type="dxa" w:w="180"/>
              <w:left w:type="dxa" w:w="210"/>
              <w:bottom w:type="dxa" w:w="180"/>
              <w:right w:type="dxa" w:w="210"/>
            </w:tcMar>
          </w:tcPr>
          <w:p>
            <w:pPr>
              <w:spacing w:after="0" w:before="0" w:line="294" w:lineRule="exact"/>
              <w:contextualSpacing w:val="false"/>
            </w:pP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Payment instructions:</w:t>
            </w: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Wire to Meridian Analytics · Routing 021000021 · Account ending 8842. Include invoice </w:t>
            </w:r>
            <w:r>
              <w:rPr>
                <w:rFonts w:ascii="Arial" w:cs="Arial" w:eastAsia="Arial" w:hAnsi="Arial"/>
                <w:b/>
                <w:bCs/>
                <w:color w:val="1e40af"/>
                <w:sz w:val="18"/>
                <w:szCs w:val="18"/>
              </w:rPr>
              <w:t xml:space="preserve">#INV-4821</w:t>
            </w: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 </w:t>
            </w:r>
            <w:r>
              <w:rPr>
                <w:rFonts w:ascii="Arial" w:cs="Arial" w:eastAsia="Arial" w:hAnsi="Arial"/>
                <w:color w:val="1e40af"/>
                <w:sz w:val="18"/>
                <w:szCs w:val="18"/>
              </w:rPr>
              <w:t xml:space="preserve">in the memo line. </w:t>
            </w:r>
          </w:p>
        </w:tc>
      </w:tr>
    </w:tbl>
    <w:p>
      <w:pPr>
        <w:spacing w:after="170" w:before="210" w:line="238" w:lineRule="atLeast"/>
        <w:textAlignment w:val="center"/>
      </w:pPr>
      <w:r>
        <w:rPr>
          <w:rFonts w:ascii="Arial" w:cs="Arial" w:eastAsia="Arial" w:hAnsi="Arial"/>
          <w:color w:val="94a3b8"/>
          <w:sz w:val="17"/>
          <w:szCs w:val="17"/>
        </w:rPr>
        <w:t xml:space="preserve">Questions?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 </w:t>
      </w:r>
      <w:hyperlink w:history="1" r:id="rIdusmmyuq6smllq8fgyucth">
        <w:r>
          <w:rPr>
            <w:rStyle w:val="Hyperlink"/>
            <w:rFonts w:ascii="Arial" w:cs="Arial" w:eastAsia="Arial" w:hAnsi="Arial"/>
            <w:color w:val="2563eb"/>
            <w:sz w:val="17"/>
            <w:szCs w:val="17"/>
            <w:u w:val="single" w:color="2563eb"/>
          </w:rPr>
          <w:t xml:space="preserve">ar@meridian.example</w:t>
        </w:r>
      </w:hyperlink>
      <w:r>
        <w:rPr>
          <w:rFonts w:ascii="Arial" w:cs="Arial" w:eastAsia="Arial" w:hAnsi="Arial"/>
          <w:color w:val="94a3b8"/>
          <w:sz w:val="17"/>
          <w:szCs w:val="17"/>
        </w:rPr>
        <w:t xml:space="preserve"> </w:t>
      </w:r>
      <w:r>
        <w:rPr>
          <w:rFonts w:ascii="Arial" w:cs="Arial" w:eastAsia="Arial" w:hAnsi="Arial"/>
          <w:color w:val="94a3b8"/>
          <w:sz w:val="17"/>
          <w:szCs w:val="17"/>
        </w:rPr>
        <w:t xml:space="preserve">· Thank you for your business.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>
      <w:start w:val="1"/>
      <w:numFmt w:val="bullet"/>
      <w:suff w:val="tab"/>
      <w:lvlText w:val="•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•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•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3" w15:restartNumberingAfterBreak="0">
    <w:multiLevelType w:val="hybridMultilevel"/>
    <w:lvl w:ilvl="0">
      <w:start w:val="1"/>
      <w:numFmt w:val="decimal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decimal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decimal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decimal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decimal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4" w15:restartNumberingAfterBreak="0">
    <w:multiLevelType w:val="hybridMultilevel"/>
    <w:lvl w:ilvl="0">
      <w:start w:val="1"/>
      <w:numFmt w:val="low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5" w15:restartNumberingAfterBreak="0">
    <w:multiLevelType w:val="hybridMultilevel"/>
    <w:lvl w:ilvl="0">
      <w:start w:val="1"/>
      <w:numFmt w:val="upperLetter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Letter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Letter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Letter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Letter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6" w15:restartNumberingAfterBreak="0">
    <w:multiLevelType w:val="hybridMultilevel"/>
    <w:lvl w:ilvl="0">
      <w:start w:val="1"/>
      <w:numFmt w:val="low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low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low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low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low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7" w15:restartNumberingAfterBreak="0">
    <w:multiLevelType w:val="hybridMultilevel"/>
    <w:lvl w:ilvl="0">
      <w:start w:val="1"/>
      <w:numFmt w:val="upperRoman"/>
      <w:suff w:val="tab"/>
      <w:lvlText w:val="%1.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upperRoman"/>
      <w:suff w:val="tab"/>
      <w:lvlText w:val="%2.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upperRoman"/>
      <w:suff w:val="tab"/>
      <w:lvlText w:val="%3.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upperRoman"/>
      <w:suff w:val="tab"/>
      <w:lvlText w:val="%4.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upperRoman"/>
      <w:suff w:val="tab"/>
      <w:lvlText w:val="%5.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8" w15:restartNumberingAfterBreak="0">
    <w:multiLevelType w:val="hybridMultilevel"/>
    <w:lvl w:ilvl="0">
      <w:start w:val="1"/>
      <w:numFmt w:val="bullet"/>
      <w:suff w:val="tab"/>
      <w:lvlText w:val="◦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◦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◦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◦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◦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abstractNum w:abstractNumId="9" w15:restartNumberingAfterBreak="0">
    <w:multiLevelType w:val="hybridMultilevel"/>
    <w:lvl w:ilvl="0">
      <w:start w:val="1"/>
      <w:numFmt w:val="bullet"/>
      <w:suff w:val="tab"/>
      <w:lvlText w:val="▪"/>
      <w:lvlJc w:val="left"/>
      <w:pPr>
        <w:tabs>
          <w:tab w:val="num" w:pos="600"/>
        </w:tabs>
        <w:ind w:left="600" w:hanging="300"/>
      </w:pPr>
      <w:rPr>
        <w:rFonts w:ascii="Arial" w:cs="Arial" w:eastAsia="Arial" w:hAnsi="Arial"/>
        <w:sz w:val="21"/>
        <w:szCs w:val="21"/>
      </w:rPr>
    </w:lvl>
    <w:lvl w:ilvl="1">
      <w:start w:val="1"/>
      <w:numFmt w:val="bullet"/>
      <w:suff w:val="tab"/>
      <w:lvlText w:val="▪"/>
      <w:lvlJc w:val="left"/>
      <w:pPr>
        <w:tabs>
          <w:tab w:val="num" w:pos="1200"/>
        </w:tabs>
        <w:ind w:left="1200" w:hanging="300"/>
      </w:pPr>
      <w:rPr>
        <w:rFonts w:ascii="Arial" w:cs="Arial" w:eastAsia="Arial" w:hAnsi="Arial"/>
        <w:sz w:val="21"/>
        <w:szCs w:val="21"/>
      </w:rPr>
    </w:lvl>
    <w:lvl w:ilvl="2">
      <w:start w:val="1"/>
      <w:numFmt w:val="bullet"/>
      <w:suff w:val="tab"/>
      <w:lvlText w:val="▪"/>
      <w:lvlJc w:val="left"/>
      <w:pPr>
        <w:tabs>
          <w:tab w:val="num" w:pos="1800"/>
        </w:tabs>
        <w:ind w:left="1800" w:hanging="300"/>
      </w:pPr>
      <w:rPr>
        <w:rFonts w:ascii="Arial" w:cs="Arial" w:eastAsia="Arial" w:hAnsi="Arial"/>
        <w:sz w:val="21"/>
        <w:szCs w:val="21"/>
      </w:rPr>
    </w:lvl>
    <w:lvl w:ilvl="3">
      <w:start w:val="1"/>
      <w:numFmt w:val="bullet"/>
      <w:suff w:val="tab"/>
      <w:lvlText w:val="▪"/>
      <w:lvlJc w:val="left"/>
      <w:pPr>
        <w:tabs>
          <w:tab w:val="num" w:pos="2400"/>
        </w:tabs>
        <w:ind w:left="2400" w:hanging="300"/>
      </w:pPr>
      <w:rPr>
        <w:rFonts w:ascii="Arial" w:cs="Arial" w:eastAsia="Arial" w:hAnsi="Arial"/>
        <w:sz w:val="21"/>
        <w:szCs w:val="21"/>
      </w:rPr>
    </w:lvl>
    <w:lvl w:ilvl="4">
      <w:start w:val="1"/>
      <w:numFmt w:val="bullet"/>
      <w:suff w:val="tab"/>
      <w:lvlText w:val="▪"/>
      <w:lvlJc w:val="left"/>
      <w:pPr>
        <w:tabs>
          <w:tab w:val="num" w:pos="3000"/>
        </w:tabs>
        <w:ind w:left="3000" w:hanging="300"/>
      </w:pPr>
      <w:rPr>
        <w:rFonts w:ascii="Arial" w:cs="Arial" w:eastAsia="Arial" w:hAnsi="Arial"/>
        <w:sz w:val="21"/>
        <w:szCs w:val="21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ListNumber">
    <w:name w:val="List Number"/>
    <w:basedOn w:val="Normal"/>
    <w:next w:val="Normal"/>
    <w:qFormat/>
    <w:rPr>
      <w:rFonts w:ascii="Arial" w:cs="Arial" w:eastAsia="Arial" w:hAnsi="Arial"/>
      <w:sz w:val="21"/>
      <w:szCs w:val="21"/>
    </w:rPr>
  </w:style>
  <w:style w:type="paragraph" w:styleId="ListBullet">
    <w:name w:val="List Bullet"/>
    <w:basedOn w:val="Normal"/>
    <w:next w:val="Normal"/>
    <w:qFormat/>
    <w:rPr>
      <w:rFonts w:ascii="Arial" w:cs="Arial" w:eastAsia="Arial" w:hAnsi="Arial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smmyuq6smllq8fgyucth" Type="http://schemas.openxmlformats.org/officeDocument/2006/relationships/hyperlink" Target="mailto:ar@meridian.example" TargetMode="External"/><Relationship Id="rId7" Type="http://schemas.openxmlformats.org/officeDocument/2006/relationships/image" Target="media/cc9437b84676d8c5b0827a59ed35de043f9008c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2026-07-05T17:49:08.097Z</dcterms:created>
  <dcterms:modified xsi:type="dcterms:W3CDTF">2026-07-05T17:49:08.097Z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