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2e" w:color="auto" w:val="clear"/>
            <w:tcMar>
              <w:top w:type="dxa" w:w="360"/>
              <w:left w:type="dxa" w:w="420"/>
              <w:bottom w:type="dxa" w:w="360"/>
              <w:right w:type="dxa" w:w="420"/>
            </w:tcMar>
          </w:tcPr>
          <w:p>
            <w:pPr>
              <w:spacing w:line="238" w:lineRule="atLeast"/>
              <w:jc w:val="left"/>
              <w:textAlignment w:val="center"/>
            </w:pPr>
            <w:r>
              <w:rPr>
                <w:color w:val="a8dadc"/>
                <w:sz w:val="17"/>
                <w:szCs w:val="17"/>
              </w:rPr>
              <w:t xml:space="preserve">Product launch</w:t>
            </w:r>
          </w:p>
          <w:p>
            <w:pPr>
              <w:pStyle w:val="Heading1"/>
              <w:spacing w:after="90" w:before="150" w:line="672" w:lineRule="atLeast"/>
              <w:jc w:val="left"/>
              <w:textAlignment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Atlas CRM 3.0</w:t>
            </w:r>
          </w:p>
          <w:p>
            <w:pPr>
              <w:spacing w:line="294" w:lineRule="atLeast"/>
              <w:jc w:val="left"/>
              <w:textAlignment w:val="center"/>
            </w:pPr>
            <w:r>
              <w:rPr>
                <w:color w:val="cbd5e1"/>
                <w:sz w:val="21"/>
                <w:szCs w:val="21"/>
              </w:rPr>
              <w:t xml:space="preserve">General availability · April 14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457b9d" w:sz="30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b/>
                <w:bCs/>
                <w:color w:val="1d3557"/>
                <w:sz w:val="21"/>
                <w:szCs w:val="21"/>
              </w:rPr>
              <w:t xml:space="preserve">North star:</w:t>
            </w:r>
            <w:r>
              <w:rPr>
                <w:color w:val="111111"/>
                <w:sz w:val="21"/>
                <w:szCs w:val="21"/>
              </w:rPr>
              <w:t xml:space="preserve"> </w:t>
            </w:r>
            <w:r>
              <w:rPr>
                <w:color w:val="334155"/>
                <w:sz w:val="21"/>
                <w:szCs w:val="21"/>
              </w:rPr>
              <w:t xml:space="preserve"> Cut time-to-first-deal by 40% for mid-market sales teams.</w:t>
            </w:r>
          </w:p>
        </w:tc>
      </w:tr>
    </w:tbl>
    <w:p>
      <w:pPr>
        <w:spacing w:after="120" w:before="180" w:line="252" w:lineRule="atLeast"/>
        <w:jc w:val="left"/>
        <w:textAlignment w:val="center"/>
      </w:pPr>
      <w:r>
        <w:rPr>
          <w:b/>
          <w:bCs/>
          <w:color w:val="1d3557"/>
          <w:sz w:val="18"/>
          <w:szCs w:val="18"/>
        </w:rPr>
        <w:t xml:space="preserve">Launch KPIs</w:t>
      </w:r>
      <w:r>
        <w:rPr>
          <w:color w:val="1d3557"/>
          <w:sz w:val="18"/>
          <w:szCs w:val="18"/>
        </w:rPr>
        <w:t xml:space="preserve"> </w:t>
      </w:r>
      <w:r>
        <w:rPr>
          <w:color w:val="1d3557"/>
          <w:sz w:val="18"/>
          <w:szCs w:val="18"/>
        </w:rPr>
        <w:t xml:space="preserve">· target 90 days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325"/>
        <w:gridCol w:w="3035"/>
      </w:tblGrid>
      <w:tr>
        <w:trPr>
          <w:trHeight w:val="601" w:hRule="atLeast"/>
        </w:trPr>
        <w:tc>
          <w:tcPr>
            <w:tcW w:type="dxa" w:w="6325"/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35"/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rPr>
          <w:trHeight w:val="609" w:hRule="atLeast"/>
        </w:trP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Activations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12,000</w:t>
            </w:r>
          </w:p>
        </w:tc>
      </w:tr>
      <w:tr>
        <w:trPr>
          <w:trHeight w:val="609" w:hRule="atLeast"/>
        </w:trP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Week-4 retention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68%</w:t>
            </w:r>
          </w:p>
        </w:tc>
      </w:tr>
      <w:tr>
        <w:trPr>
          <w:trHeight w:val="609" w:hRule="atLeast"/>
        </w:trP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NPS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4.6</w:t>
            </w:r>
          </w:p>
        </w:tc>
      </w:tr>
    </w:tbl>
    <w:p>
      <w:pPr>
        <w:pStyle w:val="Heading2"/>
        <w:spacing w:before="300" w:line="294" w:lineRule="atLeast"/>
        <w:jc w:val="left"/>
        <w:textAlignment w:val="center"/>
      </w:pPr>
      <w:r>
        <w:rPr>
          <w:b/>
          <w:bCs/>
          <w:color w:val="1d3557"/>
          <w:sz w:val="21"/>
          <w:szCs w:val="21"/>
        </w:rPr>
        <w:t xml:space="preserve">Activation funnel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3120"/>
        <w:gridCol w:w="2475"/>
        <w:gridCol w:w="3765"/>
      </w:tblGrid>
      <w:tr>
        <w:trPr>
          <w:trHeight w:val="549" w:hRule="atLeast"/>
        </w:trPr>
        <w:tc>
          <w:tcPr>
            <w:tcW w:type="dxa" w:w="3120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Stage</w:t>
            </w:r>
          </w:p>
        </w:tc>
        <w:tc>
          <w:tcPr>
            <w:tcW w:type="dxa" w:w="2475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Count</w:t>
            </w:r>
          </w:p>
        </w:tc>
        <w:tc>
          <w:tcPr>
            <w:tcW w:type="dxa" w:w="3765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Conversion</w:t>
            </w:r>
          </w:p>
        </w:tc>
      </w:tr>
      <w:tr>
        <w:trPr>
          <w:trHeight w:val="549" w:hRule="atLeast"/>
        </w:trP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Signup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12,400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100%</w:t>
            </w:r>
          </w:p>
        </w:tc>
      </w:tr>
      <w:tr>
        <w:trPr>
          <w:trHeight w:val="549" w:hRule="atLeast"/>
        </w:trP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Trial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9,800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79%</w:t>
            </w:r>
          </w:p>
        </w:tc>
      </w:tr>
      <w:tr>
        <w:trPr>
          <w:trHeight w:val="549" w:hRule="atLeast"/>
        </w:trP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color w:val="111111"/>
                <w:sz w:val="21"/>
                <w:szCs w:val="21"/>
              </w:rPr>
              <w:t xml:space="preserve">Qualified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6,200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color w:val="111111"/>
                <w:sz w:val="21"/>
                <w:szCs w:val="21"/>
              </w:rPr>
              <w:t xml:space="preserve">50%</w:t>
            </w:r>
          </w:p>
        </w:tc>
      </w:tr>
      <w:tr>
        <w:trPr>
          <w:trHeight w:val="549" w:hRule="atLeast"/>
        </w:trPr>
        <w:tc>
          <w:tcPr>
            <w:tcW w:type="dxa" w:w="3120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Closed</w:t>
            </w:r>
          </w:p>
        </w:tc>
        <w:tc>
          <w:tcPr>
            <w:tcW w:type="dxa" w:w="2475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3,100</w:t>
            </w:r>
          </w:p>
        </w:tc>
        <w:tc>
          <w:tcPr>
            <w:tcW w:type="dxa" w:w="3765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25%</w:t>
            </w:r>
          </w:p>
        </w:tc>
      </w:tr>
    </w:tbl>
    <w:p>
      <w:pPr>
        <w:pStyle w:val="Heading2"/>
        <w:spacing w:before="300" w:line="294" w:lineRule="atLeast"/>
        <w:jc w:val="left"/>
        <w:textAlignment w:val="center"/>
      </w:pPr>
      <w:r>
        <w:rPr>
          <w:b/>
          <w:bCs/>
          <w:color w:val="1d3557"/>
          <w:sz w:val="21"/>
          <w:szCs w:val="21"/>
        </w:rPr>
        <w:t xml:space="preserve">Roadmap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14532d"/>
          <w:sz w:val="17"/>
          <w:szCs w:val="17"/>
          <w:shd w:fill="BBF7D0" w:color="auto" w:val="clear"/>
        </w:rPr>
        <w:t xml:space="preserve">SHIPPED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Pipeline AI summaries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92400e"/>
          <w:sz w:val="17"/>
          <w:szCs w:val="17"/>
          <w:shd w:fill="FDE68A" w:color="auto" w:val="clear"/>
        </w:rPr>
        <w:t xml:space="preserve">BUILDING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Mobile offline mode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color w:val="57534e"/>
          <w:sz w:val="17"/>
          <w:szCs w:val="17"/>
          <w:shd w:fill="E7E5E4" w:color="auto" w:val="clear"/>
        </w:rPr>
        <w:t xml:space="preserve">PLANNED</w:t>
      </w:r>
      <w:r>
        <w:rPr>
          <w:color w:val="44403c"/>
          <w:sz w:val="21"/>
          <w:szCs w:val="21"/>
        </w:rPr>
        <w:t xml:space="preserve"> </w:t>
      </w:r>
      <w:r>
        <w:rPr>
          <w:color w:val="44403c"/>
          <w:sz w:val="21"/>
          <w:szCs w:val="21"/>
        </w:rPr>
        <w:t xml:space="preserve">Enterprise SSO &amp; audit log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95" w:before="195" w:line="280" w:lineRule="atLeast"/>
        <w:jc w:val="left"/>
        <w:textAlignment w:val="center"/>
      </w:pPr>
      <w:r>
        <w:rPr>
          <w:color w:val="1d3557"/>
          <w:sz w:val="20"/>
          <w:szCs w:val="20"/>
        </w:rPr>
        <w:t xml:space="preserve">Owner: </w:t>
      </w:r>
      <w:r>
        <w:rPr>
          <w:b/>
          <w:bCs/>
          <w:color w:val="1d3557"/>
          <w:sz w:val="20"/>
          <w:szCs w:val="20"/>
        </w:rPr>
        <w:t xml:space="preserve">Jordan Lee</w:t>
      </w:r>
      <w:r>
        <w:rPr>
          <w:color w:val="1d3557"/>
          <w:sz w:val="20"/>
          <w:szCs w:val="20"/>
        </w:rPr>
        <w:t xml:space="preserve"> </w:t>
      </w:r>
      <w:r>
        <w:rPr>
          <w:color w:val="1d3557"/>
          <w:sz w:val="20"/>
          <w:szCs w:val="20"/>
        </w:rPr>
        <w:t xml:space="preserve">·</w:t>
      </w:r>
      <w:r>
        <w:rPr>
          <w:color w:val="1d3557"/>
          <w:sz w:val="20"/>
          <w:szCs w:val="20"/>
        </w:rPr>
        <w:t xml:space="preserve"> </w:t>
      </w:r>
      <w:hyperlink w:history="1" r:id="rIdw1t5pmwd90toyddmopnsh">
        <w:r>
          <w:rPr>
            <w:rStyle w:val="Hyperlink"/>
            <w:color w:val="457b9d"/>
            <w:sz w:val="20"/>
            <w:szCs w:val="20"/>
            <w:u w:val="single" w:color="457b9d"/>
          </w:rPr>
          <w:t xml:space="preserve">launch@example.com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1t5pmwd90toyddmopnsh" Type="http://schemas.openxmlformats.org/officeDocument/2006/relationships/hyperlink" Target="mailto:launch@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2026-07-05T17:48:35.635Z</dcterms:created>
  <dcterms:modified xsi:type="dcterms:W3CDTF">2026-07-05T17:48:35.635Z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