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line="238" w:lineRule="atLeast"/>
        <w:textAlignment w:val="center"/>
      </w:pPr>
      <w:r>
        <w:rPr>
          <w:rFonts w:ascii="Georgia" w:cs="Georgia" w:eastAsia="Georgia" w:hAnsi="Georgia"/>
          <w:caps/>
          <w:color w:val="78716c"/>
          <w:spacing w:val="20"/>
          <w:sz w:val="17"/>
          <w:szCs w:val="17"/>
        </w:rPr>
        <w:t xml:space="preserve">Audited · Form 10-Q excerpt</w:t>
      </w:r>
    </w:p>
    <w:p>
      <w:pPr>
        <w:pStyle w:val="Heading1"/>
        <w:spacing w:after="60" w:line="546" w:lineRule="atLeast"/>
        <w:textAlignment w:val="center"/>
      </w:pPr>
      <w:r>
        <w:rPr>
          <w:rFonts w:ascii="Georgia" w:cs="Georgia" w:eastAsia="Georgia" w:hAnsi="Georgia"/>
          <w:b/>
          <w:bCs/>
          <w:color w:val="14532d"/>
          <w:sz w:val="39"/>
          <w:szCs w:val="39"/>
        </w:rPr>
        <w:t xml:space="preserve">Meridian Analytics, Inc.</w:t>
      </w:r>
    </w:p>
    <w:p>
      <w:pPr>
        <w:pBdr>
          <w:bottom w:val="single" w:color="ca8a04" w:sz="12" w:space="6"/>
        </w:pBdr>
        <w:spacing w:after="360" w:line="280" w:lineRule="atLeast"/>
        <w:textAlignment w:val="center"/>
      </w:pPr>
      <w:r>
        <w:rPr>
          <w:rFonts w:ascii="Georgia" w:cs="Georgia" w:eastAsia="Georgia" w:hAnsi="Georgia"/>
          <w:color w:val="57534e"/>
          <w:sz w:val="20"/>
          <w:szCs w:val="20"/>
        </w:rPr>
        <w:t xml:space="preserve">Condensed Income Statement · Quarter ended March 31, 2026 · (USD, thousands) </w:t>
      </w:r>
    </w:p>
    <w:tbl>
      <w:tblPr>
        <w:tblW w:type="pct" w:w="100%"/>
        <w:tblBorders>
          <w:top w:val="single" w:color="eeeeee" w:sz="2"/>
          <w:left w:val="single" w:color="eeeeee" w:sz="2"/>
          <w:bottom w:val="single" w:color="eeeeee" w:sz="2"/>
          <w:right w:val="single" w:color="eeeeee" w:sz="2"/>
          <w:insideH w:val="single" w:color="eeeeee" w:sz="2"/>
          <w:insideV w:val="single" w:color="eeeeee" w:sz="2"/>
        </w:tblBorders>
        <w:tblLayout w:type="fixed"/>
      </w:tblPr>
      <w:tblGrid>
        <w:gridCol w:w="4125"/>
        <w:gridCol w:w="1856"/>
        <w:gridCol w:w="1856"/>
        <w:gridCol w:w="1523"/>
      </w:tblGrid>
      <w:tr>
        <w:tc>
          <w:tcPr>
            <w:tcW w:type="dxa" w:w="4125"/>
            <w:shd w:fill="14532d" w:color="auto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spacing w:after="0" w:before="0" w:line="280" w:lineRule="exact"/>
            </w:pPr>
            <w:r>
              <w:rPr>
                <w:rFonts w:ascii="Georgia" w:cs="Georgia" w:eastAsia="Georgia" w:hAnsi="Georgia"/>
                <w:b/>
                <w:bCs/>
                <w:color w:val="fef9c3"/>
                <w:sz w:val="20"/>
                <w:szCs w:val="20"/>
              </w:rPr>
              <w:t xml:space="preserve">Line item</w:t>
            </w:r>
          </w:p>
        </w:tc>
        <w:tc>
          <w:tcPr>
            <w:tcW w:type="dxa" w:w="1856"/>
            <w:shd w:fill="14532d" w:color="auto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spacing w:after="0" w:before="0" w:line="280" w:lineRule="exact"/>
              <w:jc w:val="right"/>
            </w:pPr>
            <w:r>
              <w:rPr>
                <w:rFonts w:ascii="Georgia" w:cs="Georgia" w:eastAsia="Georgia" w:hAnsi="Georgia"/>
                <w:b/>
                <w:bCs/>
                <w:color w:val="fef9c3"/>
                <w:sz w:val="20"/>
                <w:szCs w:val="20"/>
              </w:rPr>
              <w:t xml:space="preserve">Q1 2026</w:t>
            </w:r>
          </w:p>
        </w:tc>
        <w:tc>
          <w:tcPr>
            <w:tcW w:type="dxa" w:w="1856"/>
            <w:shd w:fill="14532d" w:color="auto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spacing w:after="0" w:before="0" w:line="280" w:lineRule="exact"/>
              <w:jc w:val="right"/>
            </w:pPr>
            <w:r>
              <w:rPr>
                <w:rFonts w:ascii="Georgia" w:cs="Georgia" w:eastAsia="Georgia" w:hAnsi="Georgia"/>
                <w:b/>
                <w:bCs/>
                <w:color w:val="fef9c3"/>
                <w:sz w:val="20"/>
                <w:szCs w:val="20"/>
              </w:rPr>
              <w:t xml:space="preserve">Q1 2025</w:t>
            </w:r>
          </w:p>
        </w:tc>
        <w:tc>
          <w:tcPr>
            <w:tcW w:type="dxa" w:w="1523"/>
            <w:shd w:fill="14532d" w:color="auto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spacing w:after="0" w:before="0" w:line="280" w:lineRule="exact"/>
              <w:jc w:val="right"/>
            </w:pPr>
            <w:r>
              <w:rPr>
                <w:rFonts w:ascii="Georgia" w:cs="Georgia" w:eastAsia="Georgia" w:hAnsi="Georgia"/>
                <w:b/>
                <w:bCs/>
                <w:color w:val="fef9c3"/>
                <w:sz w:val="20"/>
                <w:szCs w:val="20"/>
              </w:rPr>
              <w:t xml:space="preserve">YoY %</w:t>
            </w:r>
          </w:p>
        </w:tc>
      </w:tr>
      <w:tr>
        <w:tc>
          <w:tcPr>
            <w:tcW w:type="dxa" w:w="4125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spacing w:after="0" w:before="0" w:line="280" w:lineRule="exact"/>
            </w:pPr>
            <w:r>
              <w:rPr>
                <w:rFonts w:ascii="Georgia" w:cs="Georgia" w:eastAsia="Georgia" w:hAnsi="Georgia"/>
                <w:color w:val="111111"/>
                <w:sz w:val="20"/>
                <w:szCs w:val="20"/>
              </w:rPr>
              <w:t xml:space="preserve">Revenue</w:t>
            </w:r>
          </w:p>
        </w:tc>
        <w:tc>
          <w:tcPr>
            <w:tcW w:type="dxa" w:w="1856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spacing w:after="0" w:before="0" w:line="280" w:lineRule="exact"/>
              <w:jc w:val="right"/>
            </w:pPr>
            <w:r>
              <w:rPr>
                <w:rFonts w:ascii="Georgia" w:cs="Georgia" w:eastAsia="Georgia" w:hAnsi="Georgia"/>
                <w:color w:val="111111"/>
                <w:sz w:val="20"/>
                <w:szCs w:val="20"/>
              </w:rPr>
              <w:t xml:space="preserve">$48,320</w:t>
            </w:r>
          </w:p>
        </w:tc>
        <w:tc>
          <w:tcPr>
            <w:tcW w:type="dxa" w:w="1856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spacing w:after="0" w:before="0" w:line="280" w:lineRule="exact"/>
              <w:jc w:val="right"/>
            </w:pPr>
            <w:r>
              <w:rPr>
                <w:rFonts w:ascii="Georgia" w:cs="Georgia" w:eastAsia="Georgia" w:hAnsi="Georgia"/>
                <w:color w:val="111111"/>
                <w:sz w:val="20"/>
                <w:szCs w:val="20"/>
              </w:rPr>
              <w:t xml:space="preserve">$41,180</w:t>
            </w:r>
          </w:p>
        </w:tc>
        <w:tc>
          <w:tcPr>
            <w:tcW w:type="dxa" w:w="1523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spacing w:after="0" w:before="0" w:line="280" w:lineRule="exact"/>
              <w:jc w:val="right"/>
            </w:pPr>
            <w:r>
              <w:rPr>
                <w:rFonts w:ascii="Georgia" w:cs="Georgia" w:eastAsia="Georgia" w:hAnsi="Georgia"/>
                <w:color w:val="15803d"/>
                <w:sz w:val="20"/>
                <w:szCs w:val="20"/>
              </w:rPr>
              <w:t xml:space="preserve">+17.3%</w:t>
            </w:r>
          </w:p>
        </w:tc>
      </w:tr>
      <w:tr>
        <w:tc>
          <w:tcPr>
            <w:tcW w:type="dxa" w:w="4125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spacing w:after="0" w:before="0" w:line="280" w:lineRule="exact"/>
            </w:pPr>
            <w:r>
              <w:rPr>
                <w:rFonts w:ascii="Georgia" w:cs="Georgia" w:eastAsia="Georgia" w:hAnsi="Georgia"/>
                <w:color w:val="111111"/>
                <w:sz w:val="20"/>
                <w:szCs w:val="20"/>
              </w:rPr>
              <w:t xml:space="preserve">Cost of revenue</w:t>
            </w:r>
          </w:p>
        </w:tc>
        <w:tc>
          <w:tcPr>
            <w:tcW w:type="dxa" w:w="1856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spacing w:after="0" w:before="0" w:line="280" w:lineRule="exact"/>
              <w:jc w:val="right"/>
            </w:pPr>
            <w:r>
              <w:rPr>
                <w:rFonts w:ascii="Georgia" w:cs="Georgia" w:eastAsia="Georgia" w:hAnsi="Georgia"/>
                <w:color w:val="111111"/>
                <w:sz w:val="20"/>
                <w:szCs w:val="20"/>
              </w:rPr>
              <w:t xml:space="preserve">($14,896)</w:t>
            </w:r>
          </w:p>
        </w:tc>
        <w:tc>
          <w:tcPr>
            <w:tcW w:type="dxa" w:w="1856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spacing w:after="0" w:before="0" w:line="280" w:lineRule="exact"/>
              <w:jc w:val="right"/>
            </w:pPr>
            <w:r>
              <w:rPr>
                <w:rFonts w:ascii="Georgia" w:cs="Georgia" w:eastAsia="Georgia" w:hAnsi="Georgia"/>
                <w:color w:val="111111"/>
                <w:sz w:val="20"/>
                <w:szCs w:val="20"/>
              </w:rPr>
              <w:t xml:space="preserve">($13,574)</w:t>
            </w:r>
          </w:p>
        </w:tc>
        <w:tc>
          <w:tcPr>
            <w:tcW w:type="dxa" w:w="1523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spacing w:after="0" w:before="0" w:line="280" w:lineRule="exact"/>
              <w:jc w:val="right"/>
            </w:pPr>
            <w:r>
              <w:rPr>
                <w:rFonts w:ascii="Georgia" w:cs="Georgia" w:eastAsia="Georgia" w:hAnsi="Georgia"/>
                <w:color w:val="111111"/>
                <w:sz w:val="20"/>
                <w:szCs w:val="20"/>
              </w:rPr>
              <w:t xml:space="preserve">+9.7%</w:t>
            </w:r>
          </w:p>
        </w:tc>
      </w:tr>
      <w:tr>
        <w:tc>
          <w:tcPr>
            <w:tcW w:type="dxa" w:w="4125"/>
            <w:shd w:fill="ecfdf5" w:color="auto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spacing w:after="0" w:before="0" w:line="280" w:lineRule="exact"/>
            </w:pPr>
            <w:r>
              <w:rPr>
                <w:rFonts w:ascii="Georgia" w:cs="Georgia" w:eastAsia="Georgia" w:hAnsi="Georgia"/>
                <w:b/>
                <w:bCs/>
                <w:color w:val="111111"/>
                <w:sz w:val="20"/>
                <w:szCs w:val="20"/>
              </w:rPr>
              <w:t xml:space="preserve">Gross profit</w:t>
            </w:r>
          </w:p>
        </w:tc>
        <w:tc>
          <w:tcPr>
            <w:tcW w:type="dxa" w:w="1856"/>
            <w:shd w:fill="ecfdf5" w:color="auto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spacing w:after="0" w:before="0" w:line="280" w:lineRule="exact"/>
              <w:jc w:val="right"/>
            </w:pPr>
            <w:r>
              <w:rPr>
                <w:rFonts w:ascii="Georgia" w:cs="Georgia" w:eastAsia="Georgia" w:hAnsi="Georgia"/>
                <w:b/>
                <w:bCs/>
                <w:color w:val="111111"/>
                <w:sz w:val="20"/>
                <w:szCs w:val="20"/>
              </w:rPr>
              <w:t xml:space="preserve">$33,424</w:t>
            </w:r>
          </w:p>
        </w:tc>
        <w:tc>
          <w:tcPr>
            <w:tcW w:type="dxa" w:w="1856"/>
            <w:shd w:fill="ecfdf5" w:color="auto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spacing w:after="0" w:before="0" w:line="280" w:lineRule="exact"/>
              <w:jc w:val="right"/>
            </w:pPr>
            <w:r>
              <w:rPr>
                <w:rFonts w:ascii="Georgia" w:cs="Georgia" w:eastAsia="Georgia" w:hAnsi="Georgia"/>
                <w:b/>
                <w:bCs/>
                <w:color w:val="111111"/>
                <w:sz w:val="20"/>
                <w:szCs w:val="20"/>
              </w:rPr>
              <w:t xml:space="preserve">$27,606</w:t>
            </w:r>
          </w:p>
        </w:tc>
        <w:tc>
          <w:tcPr>
            <w:tcW w:type="dxa" w:w="1523"/>
            <w:shd w:fill="ecfdf5" w:color="auto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spacing w:after="0" w:before="0" w:line="280" w:lineRule="exact"/>
              <w:jc w:val="right"/>
            </w:pPr>
            <w:r>
              <w:rPr>
                <w:rFonts w:ascii="Georgia" w:cs="Georgia" w:eastAsia="Georgia" w:hAnsi="Georgia"/>
                <w:b/>
                <w:bCs/>
                <w:color w:val="111111"/>
                <w:sz w:val="20"/>
                <w:szCs w:val="20"/>
              </w:rPr>
              <w:t xml:space="preserve">+21.1%</w:t>
            </w:r>
          </w:p>
        </w:tc>
      </w:tr>
      <w:tr>
        <w:tc>
          <w:tcPr>
            <w:tcW w:type="dxa" w:w="4125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spacing w:after="0" w:before="0" w:line="280" w:lineRule="exact"/>
            </w:pPr>
            <w:r>
              <w:rPr>
                <w:rFonts w:ascii="Georgia" w:cs="Georgia" w:eastAsia="Georgia" w:hAnsi="Georgia"/>
                <w:color w:val="111111"/>
                <w:sz w:val="20"/>
                <w:szCs w:val="20"/>
              </w:rPr>
              <w:t xml:space="preserve">Sales &amp; marketing</w:t>
            </w:r>
          </w:p>
        </w:tc>
        <w:tc>
          <w:tcPr>
            <w:tcW w:type="dxa" w:w="1856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spacing w:after="0" w:before="0" w:line="280" w:lineRule="exact"/>
              <w:jc w:val="right"/>
            </w:pPr>
            <w:r>
              <w:rPr>
                <w:rFonts w:ascii="Georgia" w:cs="Georgia" w:eastAsia="Georgia" w:hAnsi="Georgia"/>
                <w:color w:val="111111"/>
                <w:sz w:val="20"/>
                <w:szCs w:val="20"/>
              </w:rPr>
              <w:t xml:space="preserve">($9,664)</w:t>
            </w:r>
          </w:p>
        </w:tc>
        <w:tc>
          <w:tcPr>
            <w:tcW w:type="dxa" w:w="1856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spacing w:after="0" w:before="0" w:line="280" w:lineRule="exact"/>
              <w:jc w:val="right"/>
            </w:pPr>
            <w:r>
              <w:rPr>
                <w:rFonts w:ascii="Georgia" w:cs="Georgia" w:eastAsia="Georgia" w:hAnsi="Georgia"/>
                <w:color w:val="111111"/>
                <w:sz w:val="20"/>
                <w:szCs w:val="20"/>
              </w:rPr>
              <w:t xml:space="preserve">($8,236)</w:t>
            </w:r>
          </w:p>
        </w:tc>
        <w:tc>
          <w:tcPr>
            <w:tcW w:type="dxa" w:w="1523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spacing w:after="0" w:before="0" w:line="280" w:lineRule="exact"/>
              <w:jc w:val="right"/>
            </w:pPr>
            <w:r>
              <w:rPr>
                <w:rFonts w:ascii="Georgia" w:cs="Georgia" w:eastAsia="Georgia" w:hAnsi="Georgia"/>
                <w:color w:val="111111"/>
                <w:sz w:val="20"/>
                <w:szCs w:val="20"/>
              </w:rPr>
              <w:t xml:space="preserve">+17.3%</w:t>
            </w:r>
          </w:p>
        </w:tc>
      </w:tr>
      <w:tr>
        <w:tc>
          <w:tcPr>
            <w:tcW w:type="dxa" w:w="4125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spacing w:after="0" w:before="0" w:line="280" w:lineRule="exact"/>
            </w:pPr>
            <w:r>
              <w:rPr>
                <w:rFonts w:ascii="Georgia" w:cs="Georgia" w:eastAsia="Georgia" w:hAnsi="Georgia"/>
                <w:color w:val="111111"/>
                <w:sz w:val="20"/>
                <w:szCs w:val="20"/>
              </w:rPr>
              <w:t xml:space="preserve">Research &amp; development</w:t>
            </w:r>
          </w:p>
        </w:tc>
        <w:tc>
          <w:tcPr>
            <w:tcW w:type="dxa" w:w="1856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spacing w:after="0" w:before="0" w:line="280" w:lineRule="exact"/>
              <w:jc w:val="right"/>
            </w:pPr>
            <w:r>
              <w:rPr>
                <w:rFonts w:ascii="Georgia" w:cs="Georgia" w:eastAsia="Georgia" w:hAnsi="Georgia"/>
                <w:color w:val="111111"/>
                <w:sz w:val="20"/>
                <w:szCs w:val="20"/>
              </w:rPr>
              <w:t xml:space="preserve">($7,248)</w:t>
            </w:r>
          </w:p>
        </w:tc>
        <w:tc>
          <w:tcPr>
            <w:tcW w:type="dxa" w:w="1856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spacing w:after="0" w:before="0" w:line="280" w:lineRule="exact"/>
              <w:jc w:val="right"/>
            </w:pPr>
            <w:r>
              <w:rPr>
                <w:rFonts w:ascii="Georgia" w:cs="Georgia" w:eastAsia="Georgia" w:hAnsi="Georgia"/>
                <w:color w:val="111111"/>
                <w:sz w:val="20"/>
                <w:szCs w:val="20"/>
              </w:rPr>
              <w:t xml:space="preserve">($6,177)</w:t>
            </w:r>
          </w:p>
        </w:tc>
        <w:tc>
          <w:tcPr>
            <w:tcW w:type="dxa" w:w="1523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spacing w:after="0" w:before="0" w:line="280" w:lineRule="exact"/>
              <w:jc w:val="right"/>
            </w:pPr>
            <w:r>
              <w:rPr>
                <w:rFonts w:ascii="Georgia" w:cs="Georgia" w:eastAsia="Georgia" w:hAnsi="Georgia"/>
                <w:color w:val="111111"/>
                <w:sz w:val="20"/>
                <w:szCs w:val="20"/>
              </w:rPr>
              <w:t xml:space="preserve">+17.3%</w:t>
            </w:r>
          </w:p>
        </w:tc>
      </w:tr>
      <w:tr>
        <w:tc>
          <w:tcPr>
            <w:tcW w:type="dxa" w:w="4125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spacing w:after="0" w:before="0" w:line="280" w:lineRule="exact"/>
            </w:pPr>
            <w:r>
              <w:rPr>
                <w:rFonts w:ascii="Georgia" w:cs="Georgia" w:eastAsia="Georgia" w:hAnsi="Georgia"/>
                <w:color w:val="111111"/>
                <w:sz w:val="20"/>
                <w:szCs w:val="20"/>
              </w:rPr>
              <w:t xml:space="preserve">General &amp; administrative</w:t>
            </w:r>
          </w:p>
        </w:tc>
        <w:tc>
          <w:tcPr>
            <w:tcW w:type="dxa" w:w="1856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spacing w:after="0" w:before="0" w:line="280" w:lineRule="exact"/>
              <w:jc w:val="right"/>
            </w:pPr>
            <w:r>
              <w:rPr>
                <w:rFonts w:ascii="Georgia" w:cs="Georgia" w:eastAsia="Georgia" w:hAnsi="Georgia"/>
                <w:color w:val="111111"/>
                <w:sz w:val="20"/>
                <w:szCs w:val="20"/>
              </w:rPr>
              <w:t xml:space="preserve">($4,832)</w:t>
            </w:r>
          </w:p>
        </w:tc>
        <w:tc>
          <w:tcPr>
            <w:tcW w:type="dxa" w:w="1856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spacing w:after="0" w:before="0" w:line="280" w:lineRule="exact"/>
              <w:jc w:val="right"/>
            </w:pPr>
            <w:r>
              <w:rPr>
                <w:rFonts w:ascii="Georgia" w:cs="Georgia" w:eastAsia="Georgia" w:hAnsi="Georgia"/>
                <w:color w:val="111111"/>
                <w:sz w:val="20"/>
                <w:szCs w:val="20"/>
              </w:rPr>
              <w:t xml:space="preserve">($4,118)</w:t>
            </w:r>
          </w:p>
        </w:tc>
        <w:tc>
          <w:tcPr>
            <w:tcW w:type="dxa" w:w="1523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spacing w:after="0" w:before="0" w:line="280" w:lineRule="exact"/>
              <w:jc w:val="right"/>
            </w:pPr>
            <w:r>
              <w:rPr>
                <w:rFonts w:ascii="Georgia" w:cs="Georgia" w:eastAsia="Georgia" w:hAnsi="Georgia"/>
                <w:color w:val="111111"/>
                <w:sz w:val="20"/>
                <w:szCs w:val="20"/>
              </w:rPr>
              <w:t xml:space="preserve">+17.3%</w:t>
            </w:r>
          </w:p>
        </w:tc>
      </w:tr>
      <w:tr>
        <w:tc>
          <w:tcPr>
            <w:tcW w:type="dxa" w:w="4125"/>
            <w:shd w:fill="ecfdf5" w:color="auto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spacing w:after="0" w:before="0" w:line="280" w:lineRule="exact"/>
            </w:pPr>
            <w:r>
              <w:rPr>
                <w:rFonts w:ascii="Georgia" w:cs="Georgia" w:eastAsia="Georgia" w:hAnsi="Georgia"/>
                <w:b/>
                <w:bCs/>
                <w:color w:val="111111"/>
                <w:sz w:val="20"/>
                <w:szCs w:val="20"/>
              </w:rPr>
              <w:t xml:space="preserve">Operating income</w:t>
            </w:r>
          </w:p>
        </w:tc>
        <w:tc>
          <w:tcPr>
            <w:tcW w:type="dxa" w:w="1856"/>
            <w:shd w:fill="ecfdf5" w:color="auto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spacing w:after="0" w:before="0" w:line="280" w:lineRule="exact"/>
              <w:jc w:val="right"/>
            </w:pPr>
            <w:r>
              <w:rPr>
                <w:rFonts w:ascii="Georgia" w:cs="Georgia" w:eastAsia="Georgia" w:hAnsi="Georgia"/>
                <w:b/>
                <w:bCs/>
                <w:color w:val="111111"/>
                <w:sz w:val="20"/>
                <w:szCs w:val="20"/>
              </w:rPr>
              <w:t xml:space="preserve">$11,680</w:t>
            </w:r>
          </w:p>
        </w:tc>
        <w:tc>
          <w:tcPr>
            <w:tcW w:type="dxa" w:w="1856"/>
            <w:shd w:fill="ecfdf5" w:color="auto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spacing w:after="0" w:before="0" w:line="280" w:lineRule="exact"/>
              <w:jc w:val="right"/>
            </w:pPr>
            <w:r>
              <w:rPr>
                <w:rFonts w:ascii="Georgia" w:cs="Georgia" w:eastAsia="Georgia" w:hAnsi="Georgia"/>
                <w:b/>
                <w:bCs/>
                <w:color w:val="111111"/>
                <w:sz w:val="20"/>
                <w:szCs w:val="20"/>
              </w:rPr>
              <w:t xml:space="preserve">$9,075</w:t>
            </w:r>
          </w:p>
        </w:tc>
        <w:tc>
          <w:tcPr>
            <w:tcW w:type="dxa" w:w="1523"/>
            <w:shd w:fill="ecfdf5" w:color="auto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spacing w:after="0" w:before="0" w:line="280" w:lineRule="exact"/>
              <w:jc w:val="right"/>
            </w:pPr>
            <w:r>
              <w:rPr>
                <w:rFonts w:ascii="Georgia" w:cs="Georgia" w:eastAsia="Georgia" w:hAnsi="Georgia"/>
                <w:b/>
                <w:bCs/>
                <w:color w:val="111111"/>
                <w:sz w:val="20"/>
                <w:szCs w:val="20"/>
              </w:rPr>
              <w:t xml:space="preserve">+28.7%</w:t>
            </w:r>
          </w:p>
        </w:tc>
      </w:tr>
      <w:tr>
        <w:tc>
          <w:tcPr>
            <w:tcW w:type="dxa" w:w="4125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spacing w:after="0" w:before="0" w:line="280" w:lineRule="exact"/>
            </w:pPr>
            <w:r>
              <w:rPr>
                <w:rFonts w:ascii="Georgia" w:cs="Georgia" w:eastAsia="Georgia" w:hAnsi="Georgia"/>
                <w:color w:val="111111"/>
                <w:sz w:val="20"/>
                <w:szCs w:val="20"/>
              </w:rPr>
              <w:t xml:space="preserve">Interest &amp; other</w:t>
            </w:r>
          </w:p>
        </w:tc>
        <w:tc>
          <w:tcPr>
            <w:tcW w:type="dxa" w:w="1856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spacing w:after="0" w:before="0" w:line="280" w:lineRule="exact"/>
              <w:jc w:val="right"/>
            </w:pPr>
            <w:r>
              <w:rPr>
                <w:rFonts w:ascii="Georgia" w:cs="Georgia" w:eastAsia="Georgia" w:hAnsi="Georgia"/>
                <w:color w:val="111111"/>
                <w:sz w:val="20"/>
                <w:szCs w:val="20"/>
              </w:rPr>
              <w:t xml:space="preserve">($412)</w:t>
            </w:r>
          </w:p>
        </w:tc>
        <w:tc>
          <w:tcPr>
            <w:tcW w:type="dxa" w:w="1856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spacing w:after="0" w:before="0" w:line="280" w:lineRule="exact"/>
              <w:jc w:val="right"/>
            </w:pPr>
            <w:r>
              <w:rPr>
                <w:rFonts w:ascii="Georgia" w:cs="Georgia" w:eastAsia="Georgia" w:hAnsi="Georgia"/>
                <w:color w:val="111111"/>
                <w:sz w:val="20"/>
                <w:szCs w:val="20"/>
              </w:rPr>
              <w:t xml:space="preserve">($388)</w:t>
            </w:r>
          </w:p>
        </w:tc>
        <w:tc>
          <w:tcPr>
            <w:tcW w:type="dxa" w:w="1523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spacing w:after="0" w:before="0" w:line="280" w:lineRule="exact"/>
              <w:jc w:val="right"/>
            </w:pPr>
            <w:r>
              <w:rPr>
                <w:rFonts w:ascii="Georgia" w:cs="Georgia" w:eastAsia="Georgia" w:hAnsi="Georgia"/>
                <w:color w:val="111111"/>
                <w:sz w:val="20"/>
                <w:szCs w:val="20"/>
              </w:rPr>
              <w:t xml:space="preserve">+6.2%</w:t>
            </w:r>
          </w:p>
        </w:tc>
      </w:tr>
      <w:tr>
        <w:tc>
          <w:tcPr>
            <w:tcW w:type="dxa" w:w="4125"/>
            <w:shd w:fill="fef9c3" w:color="auto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spacing w:after="0" w:before="0" w:line="280" w:lineRule="exact"/>
            </w:pPr>
            <w:r>
              <w:rPr>
                <w:rFonts w:ascii="Georgia" w:cs="Georgia" w:eastAsia="Georgia" w:hAnsi="Georgia"/>
                <w:b/>
                <w:bCs/>
                <w:color w:val="111111"/>
                <w:sz w:val="20"/>
                <w:szCs w:val="20"/>
              </w:rPr>
              <w:t xml:space="preserve">Net income</w:t>
            </w:r>
          </w:p>
        </w:tc>
        <w:tc>
          <w:tcPr>
            <w:tcW w:type="dxa" w:w="1856"/>
            <w:shd w:fill="fef9c3" w:color="auto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spacing w:after="0" w:before="0" w:line="280" w:lineRule="exact"/>
              <w:jc w:val="right"/>
            </w:pPr>
            <w:r>
              <w:rPr>
                <w:rFonts w:ascii="Georgia" w:cs="Georgia" w:eastAsia="Georgia" w:hAnsi="Georgia"/>
                <w:b/>
                <w:bCs/>
                <w:color w:val="111111"/>
                <w:sz w:val="20"/>
                <w:szCs w:val="20"/>
              </w:rPr>
              <w:t xml:space="preserve">$11,268</w:t>
            </w:r>
          </w:p>
        </w:tc>
        <w:tc>
          <w:tcPr>
            <w:tcW w:type="dxa" w:w="1856"/>
            <w:shd w:fill="fef9c3" w:color="auto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spacing w:after="0" w:before="0" w:line="280" w:lineRule="exact"/>
              <w:jc w:val="right"/>
            </w:pPr>
            <w:r>
              <w:rPr>
                <w:rFonts w:ascii="Georgia" w:cs="Georgia" w:eastAsia="Georgia" w:hAnsi="Georgia"/>
                <w:b/>
                <w:bCs/>
                <w:color w:val="111111"/>
                <w:sz w:val="20"/>
                <w:szCs w:val="20"/>
              </w:rPr>
              <w:t xml:space="preserve">$8,687</w:t>
            </w:r>
          </w:p>
        </w:tc>
        <w:tc>
          <w:tcPr>
            <w:tcW w:type="dxa" w:w="1523"/>
            <w:shd w:fill="fef9c3" w:color="auto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spacing w:after="0" w:before="0" w:line="280" w:lineRule="exact"/>
              <w:jc w:val="right"/>
            </w:pPr>
            <w:r>
              <w:rPr>
                <w:rFonts w:ascii="Georgia" w:cs="Georgia" w:eastAsia="Georgia" w:hAnsi="Georgia"/>
                <w:b/>
                <w:bCs/>
                <w:color w:val="15803d"/>
                <w:sz w:val="20"/>
                <w:szCs w:val="20"/>
              </w:rPr>
              <w:t xml:space="preserve">+29.7%</w:t>
            </w:r>
          </w:p>
        </w:tc>
      </w:tr>
    </w:tbl>
    <w:p>
      <w:pPr>
        <w:spacing w:after="170" w:before="180" w:line="238" w:lineRule="atLeast"/>
        <w:textAlignment w:val="center"/>
      </w:pPr>
      <w:r>
        <w:rPr>
          <w:rFonts w:ascii="Georgia" w:cs="Georgia" w:eastAsia="Georgia" w:hAnsi="Georgia"/>
          <w:i/>
          <w:iCs/>
          <w:color w:val="78716c"/>
          <w:sz w:val="17"/>
          <w:szCs w:val="17"/>
        </w:rPr>
        <w:t xml:space="preserve">Non-GAAP adjustments excluded. Prepared by Finance ·</w:t>
      </w:r>
      <w:r>
        <w:rPr>
          <w:rFonts w:ascii="Georgia" w:cs="Georgia" w:eastAsia="Georgia" w:hAnsi="Georgia"/>
          <w:i/>
          <w:iCs/>
          <w:color w:val="78716c"/>
          <w:sz w:val="17"/>
          <w:szCs w:val="17"/>
        </w:rPr>
        <w:t xml:space="preserve"> </w:t>
      </w:r>
      <w:hyperlink w:history="1" r:id="rIdvk1l5cbumv9rokdxkewdw">
        <w:r>
          <w:rPr>
            <w:rStyle w:val="Hyperlink"/>
            <w:rFonts w:ascii="Georgia" w:cs="Georgia" w:eastAsia="Georgia" w:hAnsi="Georgia"/>
            <w:i/>
            <w:iCs/>
            <w:color w:val="14532d"/>
            <w:sz w:val="17"/>
            <w:szCs w:val="17"/>
            <w:u w:val="single" w:color="14532d"/>
          </w:rPr>
          <w:t xml:space="preserve">full 10-Q draft</w:t>
        </w:r>
      </w:hyperlink>
      <w:r>
        <w:rPr>
          <w:rFonts w:ascii="Georgia" w:cs="Georgia" w:eastAsia="Georgia" w:hAnsi="Georgia"/>
          <w:i/>
          <w:iCs/>
          <w:color w:val="78716c"/>
          <w:sz w:val="17"/>
          <w:szCs w:val="17"/>
        </w:rPr>
        <w:t xml:space="preserve">. 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>
      <w:start w:val="1"/>
      <w:numFmt w:val="bullet"/>
      <w:lvlText w:val="●"/>
      <w:lvlJc w:val="left"/>
      <w:pPr>
        <w:ind w:left="720" w:hanging="360"/>
      </w:pPr>
    </w:lvl>
    <w:lvl w:ilvl="1">
      <w:start w:val="1"/>
      <w:numFmt w:val="bullet"/>
      <w:lvlText w:val="○"/>
      <w:lvlJc w:val="left"/>
      <w:pPr>
        <w:ind w:left="1440" w:hanging="360"/>
      </w:pPr>
    </w:lvl>
    <w:lvl w:ilvl="2">
      <w:start w:val="1"/>
      <w:numFmt w:val="bullet"/>
      <w:lvlText w:val="■"/>
      <w:lvlJc w:val="left"/>
      <w:pPr>
        <w:ind w:left="2160" w:hanging="360"/>
      </w:pPr>
    </w:lvl>
    <w:lvl w:ilvl="3">
      <w:start w:val="1"/>
      <w:numFmt w:val="bullet"/>
      <w:lvlText w:val="●"/>
      <w:lvlJc w:val="left"/>
      <w:pPr>
        <w:ind w:left="2880" w:hanging="360"/>
      </w:pPr>
    </w:lvl>
    <w:lvl w:ilvl="4">
      <w:start w:val="1"/>
      <w:numFmt w:val="bullet"/>
      <w:lvlText w:val="○"/>
      <w:lvlJc w:val="left"/>
      <w:pPr>
        <w:ind w:left="3600" w:hanging="360"/>
      </w:pPr>
    </w:lvl>
    <w:lvl w:ilvl="5">
      <w:start w:val="1"/>
      <w:numFmt w:val="bullet"/>
      <w:lvlText w:val="■"/>
      <w:lvlJc w:val="left"/>
      <w:pPr>
        <w:ind w:left="4320" w:hanging="360"/>
      </w:pPr>
    </w:lvl>
    <w:lvl w:ilvl="6">
      <w:start w:val="1"/>
      <w:numFmt w:val="bullet"/>
      <w:lvlText w:val="●"/>
      <w:lvlJc w:val="left"/>
      <w:pPr>
        <w:ind w:left="5040" w:hanging="360"/>
      </w:pPr>
    </w:lvl>
    <w:lvl w:ilvl="7">
      <w:start w:val="1"/>
      <w:numFmt w:val="bullet"/>
      <w:lvlText w:val="●"/>
      <w:lvlJc w:val="left"/>
      <w:pPr>
        <w:ind w:left="5760" w:hanging="360"/>
      </w:pPr>
    </w:lvl>
    <w:lvl w:ilvl="8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>
      <w:start w:val="1"/>
      <w:numFmt w:val="bullet"/>
      <w:suff w:val="tab"/>
      <w:lvlText w:val="•"/>
      <w:lvlJc w:val="left"/>
      <w:pPr>
        <w:tabs>
          <w:tab w:val="num" w:pos="600"/>
        </w:tabs>
        <w:ind w:left="600" w:hanging="300"/>
      </w:pPr>
      <w:rPr>
        <w:rFonts w:ascii="Arial" w:cs="Arial" w:eastAsia="Arial" w:hAnsi="Arial"/>
        <w:sz w:val="21"/>
        <w:szCs w:val="21"/>
      </w:rPr>
    </w:lvl>
    <w:lvl w:ilvl="1">
      <w:start w:val="1"/>
      <w:numFmt w:val="bullet"/>
      <w:suff w:val="tab"/>
      <w:lvlText w:val="◦"/>
      <w:lvlJc w:val="left"/>
      <w:pPr>
        <w:tabs>
          <w:tab w:val="num" w:pos="1200"/>
        </w:tabs>
        <w:ind w:left="1200" w:hanging="300"/>
      </w:pPr>
      <w:rPr>
        <w:rFonts w:ascii="Arial" w:cs="Arial" w:eastAsia="Arial" w:hAnsi="Arial"/>
        <w:sz w:val="21"/>
        <w:szCs w:val="21"/>
      </w:rPr>
    </w:lvl>
    <w:lvl w:ilvl="2">
      <w:start w:val="1"/>
      <w:numFmt w:val="bullet"/>
      <w:suff w:val="tab"/>
      <w:lvlText w:val="•"/>
      <w:lvlJc w:val="left"/>
      <w:pPr>
        <w:tabs>
          <w:tab w:val="num" w:pos="1800"/>
        </w:tabs>
        <w:ind w:left="1800" w:hanging="300"/>
      </w:pPr>
      <w:rPr>
        <w:rFonts w:ascii="Arial" w:cs="Arial" w:eastAsia="Arial" w:hAnsi="Arial"/>
        <w:sz w:val="21"/>
        <w:szCs w:val="21"/>
      </w:rPr>
    </w:lvl>
    <w:lvl w:ilvl="3">
      <w:start w:val="1"/>
      <w:numFmt w:val="bullet"/>
      <w:suff w:val="tab"/>
      <w:lvlText w:val="◦"/>
      <w:lvlJc w:val="left"/>
      <w:pPr>
        <w:tabs>
          <w:tab w:val="num" w:pos="2400"/>
        </w:tabs>
        <w:ind w:left="2400" w:hanging="300"/>
      </w:pPr>
      <w:rPr>
        <w:rFonts w:ascii="Arial" w:cs="Arial" w:eastAsia="Arial" w:hAnsi="Arial"/>
        <w:sz w:val="21"/>
        <w:szCs w:val="21"/>
      </w:rPr>
    </w:lvl>
    <w:lvl w:ilvl="4">
      <w:start w:val="1"/>
      <w:numFmt w:val="bullet"/>
      <w:suff w:val="tab"/>
      <w:lvlText w:val="•"/>
      <w:lvlJc w:val="left"/>
      <w:pPr>
        <w:tabs>
          <w:tab w:val="num" w:pos="3000"/>
        </w:tabs>
        <w:ind w:left="3000" w:hanging="300"/>
      </w:pPr>
      <w:rPr>
        <w:rFonts w:ascii="Arial" w:cs="Arial" w:eastAsia="Arial" w:hAnsi="Arial"/>
        <w:sz w:val="21"/>
        <w:szCs w:val="21"/>
      </w:rPr>
    </w:lvl>
  </w:abstractNum>
  <w:abstractNum w:abstractNumId="3" w15:restartNumberingAfterBreak="0">
    <w:multiLevelType w:val="hybridMultilevel"/>
    <w:lvl w:ilvl="0">
      <w:start w:val="1"/>
      <w:numFmt w:val="decimal"/>
      <w:suff w:val="tab"/>
      <w:lvlText w:val="%1."/>
      <w:lvlJc w:val="left"/>
      <w:pPr>
        <w:tabs>
          <w:tab w:val="num" w:pos="600"/>
        </w:tabs>
        <w:ind w:left="600" w:hanging="300"/>
      </w:pPr>
      <w:rPr>
        <w:rFonts w:ascii="Arial" w:cs="Arial" w:eastAsia="Arial" w:hAnsi="Arial"/>
        <w:sz w:val="21"/>
        <w:szCs w:val="21"/>
      </w:rPr>
    </w:lvl>
    <w:lvl w:ilvl="1">
      <w:start w:val="1"/>
      <w:numFmt w:val="decimal"/>
      <w:suff w:val="tab"/>
      <w:lvlText w:val="%2."/>
      <w:lvlJc w:val="left"/>
      <w:pPr>
        <w:tabs>
          <w:tab w:val="num" w:pos="1200"/>
        </w:tabs>
        <w:ind w:left="1200" w:hanging="300"/>
      </w:pPr>
      <w:rPr>
        <w:rFonts w:ascii="Arial" w:cs="Arial" w:eastAsia="Arial" w:hAnsi="Arial"/>
        <w:sz w:val="21"/>
        <w:szCs w:val="21"/>
      </w:rPr>
    </w:lvl>
    <w:lvl w:ilvl="2">
      <w:start w:val="1"/>
      <w:numFmt w:val="decimal"/>
      <w:suff w:val="tab"/>
      <w:lvlText w:val="%3."/>
      <w:lvlJc w:val="left"/>
      <w:pPr>
        <w:tabs>
          <w:tab w:val="num" w:pos="1800"/>
        </w:tabs>
        <w:ind w:left="1800" w:hanging="300"/>
      </w:pPr>
      <w:rPr>
        <w:rFonts w:ascii="Arial" w:cs="Arial" w:eastAsia="Arial" w:hAnsi="Arial"/>
        <w:sz w:val="21"/>
        <w:szCs w:val="21"/>
      </w:rPr>
    </w:lvl>
    <w:lvl w:ilvl="3">
      <w:start w:val="1"/>
      <w:numFmt w:val="decimal"/>
      <w:suff w:val="tab"/>
      <w:lvlText w:val="%4."/>
      <w:lvlJc w:val="left"/>
      <w:pPr>
        <w:tabs>
          <w:tab w:val="num" w:pos="2400"/>
        </w:tabs>
        <w:ind w:left="2400" w:hanging="300"/>
      </w:pPr>
      <w:rPr>
        <w:rFonts w:ascii="Arial" w:cs="Arial" w:eastAsia="Arial" w:hAnsi="Arial"/>
        <w:sz w:val="21"/>
        <w:szCs w:val="21"/>
      </w:rPr>
    </w:lvl>
    <w:lvl w:ilvl="4">
      <w:start w:val="1"/>
      <w:numFmt w:val="decimal"/>
      <w:suff w:val="tab"/>
      <w:lvlText w:val="%5."/>
      <w:lvlJc w:val="left"/>
      <w:pPr>
        <w:tabs>
          <w:tab w:val="num" w:pos="3000"/>
        </w:tabs>
        <w:ind w:left="3000" w:hanging="300"/>
      </w:pPr>
      <w:rPr>
        <w:rFonts w:ascii="Arial" w:cs="Arial" w:eastAsia="Arial" w:hAnsi="Arial"/>
        <w:sz w:val="21"/>
        <w:szCs w:val="21"/>
      </w:rPr>
    </w:lvl>
  </w:abstractNum>
  <w:abstractNum w:abstractNumId="4" w15:restartNumberingAfterBreak="0">
    <w:multiLevelType w:val="hybridMultilevel"/>
    <w:lvl w:ilvl="0">
      <w:start w:val="1"/>
      <w:numFmt w:val="lowerLetter"/>
      <w:suff w:val="tab"/>
      <w:lvlText w:val="%1."/>
      <w:lvlJc w:val="left"/>
      <w:pPr>
        <w:tabs>
          <w:tab w:val="num" w:pos="600"/>
        </w:tabs>
        <w:ind w:left="600" w:hanging="300"/>
      </w:pPr>
      <w:rPr>
        <w:rFonts w:ascii="Arial" w:cs="Arial" w:eastAsia="Arial" w:hAnsi="Arial"/>
        <w:sz w:val="21"/>
        <w:szCs w:val="21"/>
      </w:rPr>
    </w:lvl>
    <w:lvl w:ilvl="1">
      <w:start w:val="1"/>
      <w:numFmt w:val="lowerLetter"/>
      <w:suff w:val="tab"/>
      <w:lvlText w:val="%2."/>
      <w:lvlJc w:val="left"/>
      <w:pPr>
        <w:tabs>
          <w:tab w:val="num" w:pos="1200"/>
        </w:tabs>
        <w:ind w:left="1200" w:hanging="300"/>
      </w:pPr>
      <w:rPr>
        <w:rFonts w:ascii="Arial" w:cs="Arial" w:eastAsia="Arial" w:hAnsi="Arial"/>
        <w:sz w:val="21"/>
        <w:szCs w:val="21"/>
      </w:rPr>
    </w:lvl>
    <w:lvl w:ilvl="2">
      <w:start w:val="1"/>
      <w:numFmt w:val="lowerLetter"/>
      <w:suff w:val="tab"/>
      <w:lvlText w:val="%3."/>
      <w:lvlJc w:val="left"/>
      <w:pPr>
        <w:tabs>
          <w:tab w:val="num" w:pos="1800"/>
        </w:tabs>
        <w:ind w:left="1800" w:hanging="300"/>
      </w:pPr>
      <w:rPr>
        <w:rFonts w:ascii="Arial" w:cs="Arial" w:eastAsia="Arial" w:hAnsi="Arial"/>
        <w:sz w:val="21"/>
        <w:szCs w:val="21"/>
      </w:rPr>
    </w:lvl>
    <w:lvl w:ilvl="3">
      <w:start w:val="1"/>
      <w:numFmt w:val="lowerLetter"/>
      <w:suff w:val="tab"/>
      <w:lvlText w:val="%4."/>
      <w:lvlJc w:val="left"/>
      <w:pPr>
        <w:tabs>
          <w:tab w:val="num" w:pos="2400"/>
        </w:tabs>
        <w:ind w:left="2400" w:hanging="300"/>
      </w:pPr>
      <w:rPr>
        <w:rFonts w:ascii="Arial" w:cs="Arial" w:eastAsia="Arial" w:hAnsi="Arial"/>
        <w:sz w:val="21"/>
        <w:szCs w:val="21"/>
      </w:rPr>
    </w:lvl>
    <w:lvl w:ilvl="4">
      <w:start w:val="1"/>
      <w:numFmt w:val="lowerLetter"/>
      <w:suff w:val="tab"/>
      <w:lvlText w:val="%5."/>
      <w:lvlJc w:val="left"/>
      <w:pPr>
        <w:tabs>
          <w:tab w:val="num" w:pos="3000"/>
        </w:tabs>
        <w:ind w:left="3000" w:hanging="300"/>
      </w:pPr>
      <w:rPr>
        <w:rFonts w:ascii="Arial" w:cs="Arial" w:eastAsia="Arial" w:hAnsi="Arial"/>
        <w:sz w:val="21"/>
        <w:szCs w:val="21"/>
      </w:rPr>
    </w:lvl>
  </w:abstractNum>
  <w:abstractNum w:abstractNumId="5" w15:restartNumberingAfterBreak="0">
    <w:multiLevelType w:val="hybridMultilevel"/>
    <w:lvl w:ilvl="0">
      <w:start w:val="1"/>
      <w:numFmt w:val="upperLetter"/>
      <w:suff w:val="tab"/>
      <w:lvlText w:val="%1."/>
      <w:lvlJc w:val="left"/>
      <w:pPr>
        <w:tabs>
          <w:tab w:val="num" w:pos="600"/>
        </w:tabs>
        <w:ind w:left="600" w:hanging="300"/>
      </w:pPr>
      <w:rPr>
        <w:rFonts w:ascii="Arial" w:cs="Arial" w:eastAsia="Arial" w:hAnsi="Arial"/>
        <w:sz w:val="21"/>
        <w:szCs w:val="21"/>
      </w:rPr>
    </w:lvl>
    <w:lvl w:ilvl="1">
      <w:start w:val="1"/>
      <w:numFmt w:val="upperLetter"/>
      <w:suff w:val="tab"/>
      <w:lvlText w:val="%2."/>
      <w:lvlJc w:val="left"/>
      <w:pPr>
        <w:tabs>
          <w:tab w:val="num" w:pos="1200"/>
        </w:tabs>
        <w:ind w:left="1200" w:hanging="300"/>
      </w:pPr>
      <w:rPr>
        <w:rFonts w:ascii="Arial" w:cs="Arial" w:eastAsia="Arial" w:hAnsi="Arial"/>
        <w:sz w:val="21"/>
        <w:szCs w:val="21"/>
      </w:rPr>
    </w:lvl>
    <w:lvl w:ilvl="2">
      <w:start w:val="1"/>
      <w:numFmt w:val="upperLetter"/>
      <w:suff w:val="tab"/>
      <w:lvlText w:val="%3."/>
      <w:lvlJc w:val="left"/>
      <w:pPr>
        <w:tabs>
          <w:tab w:val="num" w:pos="1800"/>
        </w:tabs>
        <w:ind w:left="1800" w:hanging="300"/>
      </w:pPr>
      <w:rPr>
        <w:rFonts w:ascii="Arial" w:cs="Arial" w:eastAsia="Arial" w:hAnsi="Arial"/>
        <w:sz w:val="21"/>
        <w:szCs w:val="21"/>
      </w:rPr>
    </w:lvl>
    <w:lvl w:ilvl="3">
      <w:start w:val="1"/>
      <w:numFmt w:val="upperLetter"/>
      <w:suff w:val="tab"/>
      <w:lvlText w:val="%4."/>
      <w:lvlJc w:val="left"/>
      <w:pPr>
        <w:tabs>
          <w:tab w:val="num" w:pos="2400"/>
        </w:tabs>
        <w:ind w:left="2400" w:hanging="300"/>
      </w:pPr>
      <w:rPr>
        <w:rFonts w:ascii="Arial" w:cs="Arial" w:eastAsia="Arial" w:hAnsi="Arial"/>
        <w:sz w:val="21"/>
        <w:szCs w:val="21"/>
      </w:rPr>
    </w:lvl>
    <w:lvl w:ilvl="4">
      <w:start w:val="1"/>
      <w:numFmt w:val="upperLetter"/>
      <w:suff w:val="tab"/>
      <w:lvlText w:val="%5."/>
      <w:lvlJc w:val="left"/>
      <w:pPr>
        <w:tabs>
          <w:tab w:val="num" w:pos="3000"/>
        </w:tabs>
        <w:ind w:left="3000" w:hanging="300"/>
      </w:pPr>
      <w:rPr>
        <w:rFonts w:ascii="Arial" w:cs="Arial" w:eastAsia="Arial" w:hAnsi="Arial"/>
        <w:sz w:val="21"/>
        <w:szCs w:val="21"/>
      </w:rPr>
    </w:lvl>
  </w:abstractNum>
  <w:abstractNum w:abstractNumId="6" w15:restartNumberingAfterBreak="0">
    <w:multiLevelType w:val="hybridMultilevel"/>
    <w:lvl w:ilvl="0">
      <w:start w:val="1"/>
      <w:numFmt w:val="lowerRoman"/>
      <w:suff w:val="tab"/>
      <w:lvlText w:val="%1."/>
      <w:lvlJc w:val="left"/>
      <w:pPr>
        <w:tabs>
          <w:tab w:val="num" w:pos="600"/>
        </w:tabs>
        <w:ind w:left="600" w:hanging="300"/>
      </w:pPr>
      <w:rPr>
        <w:rFonts w:ascii="Arial" w:cs="Arial" w:eastAsia="Arial" w:hAnsi="Arial"/>
        <w:sz w:val="21"/>
        <w:szCs w:val="21"/>
      </w:rPr>
    </w:lvl>
    <w:lvl w:ilvl="1">
      <w:start w:val="1"/>
      <w:numFmt w:val="lowerRoman"/>
      <w:suff w:val="tab"/>
      <w:lvlText w:val="%2."/>
      <w:lvlJc w:val="left"/>
      <w:pPr>
        <w:tabs>
          <w:tab w:val="num" w:pos="1200"/>
        </w:tabs>
        <w:ind w:left="1200" w:hanging="300"/>
      </w:pPr>
      <w:rPr>
        <w:rFonts w:ascii="Arial" w:cs="Arial" w:eastAsia="Arial" w:hAnsi="Arial"/>
        <w:sz w:val="21"/>
        <w:szCs w:val="21"/>
      </w:rPr>
    </w:lvl>
    <w:lvl w:ilvl="2">
      <w:start w:val="1"/>
      <w:numFmt w:val="lowerRoman"/>
      <w:suff w:val="tab"/>
      <w:lvlText w:val="%3."/>
      <w:lvlJc w:val="left"/>
      <w:pPr>
        <w:tabs>
          <w:tab w:val="num" w:pos="1800"/>
        </w:tabs>
        <w:ind w:left="1800" w:hanging="300"/>
      </w:pPr>
      <w:rPr>
        <w:rFonts w:ascii="Arial" w:cs="Arial" w:eastAsia="Arial" w:hAnsi="Arial"/>
        <w:sz w:val="21"/>
        <w:szCs w:val="21"/>
      </w:rPr>
    </w:lvl>
    <w:lvl w:ilvl="3">
      <w:start w:val="1"/>
      <w:numFmt w:val="lowerRoman"/>
      <w:suff w:val="tab"/>
      <w:lvlText w:val="%4."/>
      <w:lvlJc w:val="left"/>
      <w:pPr>
        <w:tabs>
          <w:tab w:val="num" w:pos="2400"/>
        </w:tabs>
        <w:ind w:left="2400" w:hanging="300"/>
      </w:pPr>
      <w:rPr>
        <w:rFonts w:ascii="Arial" w:cs="Arial" w:eastAsia="Arial" w:hAnsi="Arial"/>
        <w:sz w:val="21"/>
        <w:szCs w:val="21"/>
      </w:rPr>
    </w:lvl>
    <w:lvl w:ilvl="4">
      <w:start w:val="1"/>
      <w:numFmt w:val="lowerRoman"/>
      <w:suff w:val="tab"/>
      <w:lvlText w:val="%5."/>
      <w:lvlJc w:val="left"/>
      <w:pPr>
        <w:tabs>
          <w:tab w:val="num" w:pos="3000"/>
        </w:tabs>
        <w:ind w:left="3000" w:hanging="300"/>
      </w:pPr>
      <w:rPr>
        <w:rFonts w:ascii="Arial" w:cs="Arial" w:eastAsia="Arial" w:hAnsi="Arial"/>
        <w:sz w:val="21"/>
        <w:szCs w:val="21"/>
      </w:rPr>
    </w:lvl>
  </w:abstractNum>
  <w:abstractNum w:abstractNumId="7" w15:restartNumberingAfterBreak="0">
    <w:multiLevelType w:val="hybridMultilevel"/>
    <w:lvl w:ilvl="0">
      <w:start w:val="1"/>
      <w:numFmt w:val="upperRoman"/>
      <w:suff w:val="tab"/>
      <w:lvlText w:val="%1."/>
      <w:lvlJc w:val="left"/>
      <w:pPr>
        <w:tabs>
          <w:tab w:val="num" w:pos="600"/>
        </w:tabs>
        <w:ind w:left="600" w:hanging="300"/>
      </w:pPr>
      <w:rPr>
        <w:rFonts w:ascii="Arial" w:cs="Arial" w:eastAsia="Arial" w:hAnsi="Arial"/>
        <w:sz w:val="21"/>
        <w:szCs w:val="21"/>
      </w:rPr>
    </w:lvl>
    <w:lvl w:ilvl="1">
      <w:start w:val="1"/>
      <w:numFmt w:val="upperRoman"/>
      <w:suff w:val="tab"/>
      <w:lvlText w:val="%2."/>
      <w:lvlJc w:val="left"/>
      <w:pPr>
        <w:tabs>
          <w:tab w:val="num" w:pos="1200"/>
        </w:tabs>
        <w:ind w:left="1200" w:hanging="300"/>
      </w:pPr>
      <w:rPr>
        <w:rFonts w:ascii="Arial" w:cs="Arial" w:eastAsia="Arial" w:hAnsi="Arial"/>
        <w:sz w:val="21"/>
        <w:szCs w:val="21"/>
      </w:rPr>
    </w:lvl>
    <w:lvl w:ilvl="2">
      <w:start w:val="1"/>
      <w:numFmt w:val="upperRoman"/>
      <w:suff w:val="tab"/>
      <w:lvlText w:val="%3."/>
      <w:lvlJc w:val="left"/>
      <w:pPr>
        <w:tabs>
          <w:tab w:val="num" w:pos="1800"/>
        </w:tabs>
        <w:ind w:left="1800" w:hanging="300"/>
      </w:pPr>
      <w:rPr>
        <w:rFonts w:ascii="Arial" w:cs="Arial" w:eastAsia="Arial" w:hAnsi="Arial"/>
        <w:sz w:val="21"/>
        <w:szCs w:val="21"/>
      </w:rPr>
    </w:lvl>
    <w:lvl w:ilvl="3">
      <w:start w:val="1"/>
      <w:numFmt w:val="upperRoman"/>
      <w:suff w:val="tab"/>
      <w:lvlText w:val="%4."/>
      <w:lvlJc w:val="left"/>
      <w:pPr>
        <w:tabs>
          <w:tab w:val="num" w:pos="2400"/>
        </w:tabs>
        <w:ind w:left="2400" w:hanging="300"/>
      </w:pPr>
      <w:rPr>
        <w:rFonts w:ascii="Arial" w:cs="Arial" w:eastAsia="Arial" w:hAnsi="Arial"/>
        <w:sz w:val="21"/>
        <w:szCs w:val="21"/>
      </w:rPr>
    </w:lvl>
    <w:lvl w:ilvl="4">
      <w:start w:val="1"/>
      <w:numFmt w:val="upperRoman"/>
      <w:suff w:val="tab"/>
      <w:lvlText w:val="%5."/>
      <w:lvlJc w:val="left"/>
      <w:pPr>
        <w:tabs>
          <w:tab w:val="num" w:pos="3000"/>
        </w:tabs>
        <w:ind w:left="3000" w:hanging="300"/>
      </w:pPr>
      <w:rPr>
        <w:rFonts w:ascii="Arial" w:cs="Arial" w:eastAsia="Arial" w:hAnsi="Arial"/>
        <w:sz w:val="21"/>
        <w:szCs w:val="21"/>
      </w:rPr>
    </w:lvl>
  </w:abstractNum>
  <w:abstractNum w:abstractNumId="8" w15:restartNumberingAfterBreak="0">
    <w:multiLevelType w:val="hybridMultilevel"/>
    <w:lvl w:ilvl="0">
      <w:start w:val="1"/>
      <w:numFmt w:val="bullet"/>
      <w:suff w:val="tab"/>
      <w:lvlText w:val="◦"/>
      <w:lvlJc w:val="left"/>
      <w:pPr>
        <w:tabs>
          <w:tab w:val="num" w:pos="600"/>
        </w:tabs>
        <w:ind w:left="600" w:hanging="300"/>
      </w:pPr>
      <w:rPr>
        <w:rFonts w:ascii="Arial" w:cs="Arial" w:eastAsia="Arial" w:hAnsi="Arial"/>
        <w:sz w:val="21"/>
        <w:szCs w:val="21"/>
      </w:rPr>
    </w:lvl>
    <w:lvl w:ilvl="1">
      <w:start w:val="1"/>
      <w:numFmt w:val="bullet"/>
      <w:suff w:val="tab"/>
      <w:lvlText w:val="◦"/>
      <w:lvlJc w:val="left"/>
      <w:pPr>
        <w:tabs>
          <w:tab w:val="num" w:pos="1200"/>
        </w:tabs>
        <w:ind w:left="1200" w:hanging="300"/>
      </w:pPr>
      <w:rPr>
        <w:rFonts w:ascii="Arial" w:cs="Arial" w:eastAsia="Arial" w:hAnsi="Arial"/>
        <w:sz w:val="21"/>
        <w:szCs w:val="21"/>
      </w:rPr>
    </w:lvl>
    <w:lvl w:ilvl="2">
      <w:start w:val="1"/>
      <w:numFmt w:val="bullet"/>
      <w:suff w:val="tab"/>
      <w:lvlText w:val="◦"/>
      <w:lvlJc w:val="left"/>
      <w:pPr>
        <w:tabs>
          <w:tab w:val="num" w:pos="1800"/>
        </w:tabs>
        <w:ind w:left="1800" w:hanging="300"/>
      </w:pPr>
      <w:rPr>
        <w:rFonts w:ascii="Arial" w:cs="Arial" w:eastAsia="Arial" w:hAnsi="Arial"/>
        <w:sz w:val="21"/>
        <w:szCs w:val="21"/>
      </w:rPr>
    </w:lvl>
    <w:lvl w:ilvl="3">
      <w:start w:val="1"/>
      <w:numFmt w:val="bullet"/>
      <w:suff w:val="tab"/>
      <w:lvlText w:val="◦"/>
      <w:lvlJc w:val="left"/>
      <w:pPr>
        <w:tabs>
          <w:tab w:val="num" w:pos="2400"/>
        </w:tabs>
        <w:ind w:left="2400" w:hanging="300"/>
      </w:pPr>
      <w:rPr>
        <w:rFonts w:ascii="Arial" w:cs="Arial" w:eastAsia="Arial" w:hAnsi="Arial"/>
        <w:sz w:val="21"/>
        <w:szCs w:val="21"/>
      </w:rPr>
    </w:lvl>
    <w:lvl w:ilvl="4">
      <w:start w:val="1"/>
      <w:numFmt w:val="bullet"/>
      <w:suff w:val="tab"/>
      <w:lvlText w:val="◦"/>
      <w:lvlJc w:val="left"/>
      <w:pPr>
        <w:tabs>
          <w:tab w:val="num" w:pos="3000"/>
        </w:tabs>
        <w:ind w:left="3000" w:hanging="300"/>
      </w:pPr>
      <w:rPr>
        <w:rFonts w:ascii="Arial" w:cs="Arial" w:eastAsia="Arial" w:hAnsi="Arial"/>
        <w:sz w:val="21"/>
        <w:szCs w:val="21"/>
      </w:rPr>
    </w:lvl>
  </w:abstractNum>
  <w:abstractNum w:abstractNumId="9" w15:restartNumberingAfterBreak="0">
    <w:multiLevelType w:val="hybridMultilevel"/>
    <w:lvl w:ilvl="0">
      <w:start w:val="1"/>
      <w:numFmt w:val="bullet"/>
      <w:suff w:val="tab"/>
      <w:lvlText w:val="▪"/>
      <w:lvlJc w:val="left"/>
      <w:pPr>
        <w:tabs>
          <w:tab w:val="num" w:pos="600"/>
        </w:tabs>
        <w:ind w:left="600" w:hanging="300"/>
      </w:pPr>
      <w:rPr>
        <w:rFonts w:ascii="Arial" w:cs="Arial" w:eastAsia="Arial" w:hAnsi="Arial"/>
        <w:sz w:val="21"/>
        <w:szCs w:val="21"/>
      </w:rPr>
    </w:lvl>
    <w:lvl w:ilvl="1">
      <w:start w:val="1"/>
      <w:numFmt w:val="bullet"/>
      <w:suff w:val="tab"/>
      <w:lvlText w:val="▪"/>
      <w:lvlJc w:val="left"/>
      <w:pPr>
        <w:tabs>
          <w:tab w:val="num" w:pos="1200"/>
        </w:tabs>
        <w:ind w:left="1200" w:hanging="300"/>
      </w:pPr>
      <w:rPr>
        <w:rFonts w:ascii="Arial" w:cs="Arial" w:eastAsia="Arial" w:hAnsi="Arial"/>
        <w:sz w:val="21"/>
        <w:szCs w:val="21"/>
      </w:rPr>
    </w:lvl>
    <w:lvl w:ilvl="2">
      <w:start w:val="1"/>
      <w:numFmt w:val="bullet"/>
      <w:suff w:val="tab"/>
      <w:lvlText w:val="▪"/>
      <w:lvlJc w:val="left"/>
      <w:pPr>
        <w:tabs>
          <w:tab w:val="num" w:pos="1800"/>
        </w:tabs>
        <w:ind w:left="1800" w:hanging="300"/>
      </w:pPr>
      <w:rPr>
        <w:rFonts w:ascii="Arial" w:cs="Arial" w:eastAsia="Arial" w:hAnsi="Arial"/>
        <w:sz w:val="21"/>
        <w:szCs w:val="21"/>
      </w:rPr>
    </w:lvl>
    <w:lvl w:ilvl="3">
      <w:start w:val="1"/>
      <w:numFmt w:val="bullet"/>
      <w:suff w:val="tab"/>
      <w:lvlText w:val="▪"/>
      <w:lvlJc w:val="left"/>
      <w:pPr>
        <w:tabs>
          <w:tab w:val="num" w:pos="2400"/>
        </w:tabs>
        <w:ind w:left="2400" w:hanging="300"/>
      </w:pPr>
      <w:rPr>
        <w:rFonts w:ascii="Arial" w:cs="Arial" w:eastAsia="Arial" w:hAnsi="Arial"/>
        <w:sz w:val="21"/>
        <w:szCs w:val="21"/>
      </w:rPr>
    </w:lvl>
    <w:lvl w:ilvl="4">
      <w:start w:val="1"/>
      <w:numFmt w:val="bullet"/>
      <w:suff w:val="tab"/>
      <w:lvlText w:val="▪"/>
      <w:lvlJc w:val="left"/>
      <w:pPr>
        <w:tabs>
          <w:tab w:val="num" w:pos="3000"/>
        </w:tabs>
        <w:ind w:left="3000" w:hanging="300"/>
      </w:pPr>
      <w:rPr>
        <w:rFonts w:ascii="Arial" w:cs="Arial" w:eastAsia="Arial" w:hAnsi="Arial"/>
        <w:sz w:val="21"/>
        <w:szCs w:val="21"/>
      </w:r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ListNumber">
    <w:name w:val="List Number"/>
    <w:basedOn w:val="Normal"/>
    <w:next w:val="Normal"/>
    <w:qFormat/>
    <w:rPr>
      <w:rFonts w:ascii="Arial" w:cs="Arial" w:eastAsia="Arial" w:hAnsi="Arial"/>
      <w:sz w:val="21"/>
      <w:szCs w:val="21"/>
    </w:rPr>
  </w:style>
  <w:style w:type="paragraph" w:styleId="ListBullet">
    <w:name w:val="List Bullet"/>
    <w:basedOn w:val="Normal"/>
    <w:next w:val="Normal"/>
    <w:qFormat/>
    <w:rPr>
      <w:rFonts w:ascii="Arial" w:cs="Arial" w:eastAsia="Arial" w:hAnsi="Arial"/>
      <w:sz w:val="21"/>
      <w:szCs w:val="21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vk1l5cbumv9rokdxkewdw" Type="http://schemas.openxmlformats.org/officeDocument/2006/relationships/hyperlink" Target="#" TargetMode="Externa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2026-07-05T17:48:28.558Z</dcterms:created>
  <dcterms:modified xsi:type="dcterms:W3CDTF">2026-07-05T17:48:28.558Z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