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line="238" w:lineRule="atLeast"/>
        <w:jc w:val="center"/>
        <w:textAlignment w:val="center"/>
      </w:pPr>
      <w:r>
        <w:rPr>
          <w:rFonts w:ascii="Georgia" w:cs="Georgia" w:eastAsia="Georgia" w:hAnsi="Georgia"/>
          <w:caps/>
          <w:color w:val="78716c"/>
          <w:spacing w:val="24"/>
          <w:sz w:val="17"/>
          <w:szCs w:val="17"/>
        </w:rPr>
        <w:t xml:space="preserve">Master subscription agreement</w:t>
      </w:r>
    </w:p>
    <w:p>
      <w:pPr>
        <w:pStyle w:val="Heading1"/>
        <w:spacing w:after="60" w:line="462" w:lineRule="atLeast"/>
        <w:jc w:val="center"/>
        <w:textAlignment w:val="center"/>
      </w:pPr>
      <w:r>
        <w:rPr>
          <w:rFonts w:ascii="Georgia" w:cs="Georgia" w:eastAsia="Georgia" w:hAnsi="Georgia"/>
          <w:b/>
          <w:bCs/>
          <w:color w:val="292524"/>
          <w:sz w:val="33"/>
          <w:szCs w:val="33"/>
        </w:rPr>
        <w:t xml:space="preserve">Software Subscription Agreement</w:t>
      </w:r>
    </w:p>
    <w:p>
      <w:pPr>
        <w:pBdr>
          <w:bottom w:val="single" w:color="d6d3d1" w:sz="6" w:space="11"/>
        </w:pBdr>
        <w:spacing w:after="510" w:line="280" w:lineRule="atLeast"/>
        <w:jc w:val="center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Effective as of April 1 · Atlas CRM Enterprise </w:t>
      </w:r>
    </w:p>
    <w:p>
      <w:pPr>
        <w:spacing w:after="24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This Software Subscription Agreement ("Agreement") is entered into by and between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Meridian Analytics, Inc.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("Provider"), a Delaware corporation with offices at 1200 Market Street, San Francisco, CA, and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Northwind Traders LLC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("Customer"), with its principal place of business at 88 Harbor Way, Boston, MA.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1. Subscription &amp; access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Provider grants Customer a non-exclusive, non-transferable right to access the Atlas CRM platform for up to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250 named users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during the Initial Term. Customer may not sublicense, reverse engineer, or use the service to build a competing product.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2. Fees &amp; payment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5958"/>
        <w:gridCol w:w="3402"/>
      </w:tblGrid>
      <w:tr>
        <w:tc>
          <w:tcPr>
            <w:tcW w:type="dxa" w:w="5958"/>
            <w:shd w:fill="44403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fafaf9"/>
                <w:sz w:val="20"/>
                <w:szCs w:val="20"/>
              </w:rPr>
              <w:t xml:space="preserve">Item</w:t>
            </w:r>
          </w:p>
        </w:tc>
        <w:tc>
          <w:tcPr>
            <w:tcW w:type="dxa" w:w="3402"/>
            <w:shd w:fill="44403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afaf9"/>
                <w:sz w:val="20"/>
                <w:szCs w:val="20"/>
              </w:rPr>
              <w:t xml:space="preserve">Annual fee (USD)</w:t>
            </w:r>
          </w:p>
        </w:tc>
      </w:tr>
      <w:tr>
        <w:tc>
          <w:tcPr>
            <w:tcW w:type="dxa" w:w="59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Atlas CRM Enterprise — 250 seats</w:t>
            </w:r>
          </w:p>
        </w:tc>
        <w:tc>
          <w:tcPr>
            <w:tcW w:type="dxa" w:w="34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$186,000</w:t>
            </w:r>
          </w:p>
        </w:tc>
      </w:tr>
      <w:tr>
        <w:tc>
          <w:tcPr>
            <w:tcW w:type="dxa" w:w="59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Premium support (24×5)</w:t>
            </w:r>
          </w:p>
        </w:tc>
        <w:tc>
          <w:tcPr>
            <w:tcW w:type="dxa" w:w="34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5958"/>
            <w:shd w:fill="f5f5f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annual fee</w:t>
            </w:r>
          </w:p>
        </w:tc>
        <w:tc>
          <w:tcPr>
            <w:tcW w:type="dxa" w:w="3402"/>
            <w:shd w:fill="f5f5f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$210,000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Fees are invoiced annually in advance, due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Net 30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. Late payments accrue interest at 1.5% per month. Customer is responsible for applicable sales and use taxes.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3. Term &amp; termination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The Initial Term is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twelve (12) months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, auto-renewing for successive one-year periods unless either party gives written notice at least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sixty (60) days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before renewal. Either party may terminate for material breach uncured within thirty (30) days of notice.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4. Confidentiality &amp; data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Each party shall protect the other's Confidential Information with reasonable care. Provider processes Customer data solely to deliver the service and maintains SOC 2 Type II controls. Upon termination, Provider will delete Customer data within ninety (90) days unless retention is required by law.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5. Limitation of liability</w:t>
      </w:r>
    </w:p>
    <w:p>
      <w:pPr>
        <w:spacing w:after="30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Except for breaches of confidentiality or indemnification obligations, neither party's aggregate liability shall exceed fees paid in the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twelve (12) months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preceding the claim. Neither party is liable for indirect, incidental, or consequential damages. </w:t>
      </w:r>
    </w:p>
    <w:p>
      <w:pPr>
        <w:spacing w:after="42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493"/>
        <w:gridCol w:w="374"/>
        <w:gridCol w:w="4493"/>
      </w:tblGrid>
      <w:tr>
        <w:tc>
          <w:tcPr>
            <w:tcW w:type="dxa" w:w="4493"/>
            <w:tcBorders>
              <w:top w:val="single" w:color="1c1917" w:sz="6"/>
            </w:tcBorders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Meridian Analytics, Inc.</w:t>
            </w:r>
          </w:p>
          <w:p>
            <w:pPr>
              <w:spacing w:after="0" w:before="12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By: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Name: Jordan Lee, VP Sales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Date: _________________________</w:t>
            </w:r>
          </w:p>
        </w:tc>
        <w:tc>
          <w:tcPr>
            <w:tcW w:type="dxa" w:w="374"/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4493"/>
            <w:tcBorders>
              <w:top w:val="single" w:color="1c1917" w:sz="6"/>
            </w:tcBorders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Northwind Traders LLC</w:t>
            </w:r>
          </w:p>
          <w:p>
            <w:pPr>
              <w:spacing w:after="0" w:before="12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By: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Name: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Date: 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2026-07-05T17:49:24.345Z</dcterms:created>
  <dcterms:modified xsi:type="dcterms:W3CDTF">2026-07-05T17:49:24.345Z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